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3D" w:rsidRPr="003854C4" w:rsidRDefault="00C32E3D" w:rsidP="00393375">
      <w:pPr>
        <w:rPr>
          <w:b/>
        </w:rPr>
      </w:pPr>
      <w:r w:rsidRPr="003854C4">
        <w:rPr>
          <w:b/>
          <w:sz w:val="22"/>
          <w:szCs w:val="22"/>
        </w:rPr>
        <w:t xml:space="preserve">Afgørelse om </w:t>
      </w:r>
      <w:r>
        <w:rPr>
          <w:b/>
          <w:sz w:val="22"/>
          <w:szCs w:val="22"/>
        </w:rPr>
        <w:t>etablering</w:t>
      </w:r>
      <w:r w:rsidRPr="003854C4">
        <w:rPr>
          <w:b/>
          <w:sz w:val="22"/>
          <w:szCs w:val="22"/>
        </w:rPr>
        <w:t xml:space="preserve"> af </w:t>
      </w:r>
      <w:r>
        <w:rPr>
          <w:b/>
          <w:sz w:val="22"/>
          <w:szCs w:val="22"/>
        </w:rPr>
        <w:t>maskinhus/halmlade</w:t>
      </w:r>
      <w:r w:rsidR="00E2661F">
        <w:rPr>
          <w:b/>
          <w:sz w:val="22"/>
          <w:szCs w:val="22"/>
        </w:rPr>
        <w:t xml:space="preserve"> på 558 m2</w:t>
      </w:r>
      <w:r>
        <w:rPr>
          <w:b/>
          <w:sz w:val="22"/>
          <w:szCs w:val="22"/>
        </w:rPr>
        <w:t xml:space="preserve"> - § 10</w:t>
      </w:r>
      <w:r w:rsidRPr="003854C4">
        <w:rPr>
          <w:b/>
          <w:sz w:val="22"/>
          <w:szCs w:val="22"/>
        </w:rPr>
        <w:t xml:space="preserve"> anmeldelse</w:t>
      </w:r>
    </w:p>
    <w:p w:rsidR="00C32E3D" w:rsidRDefault="00C32E3D" w:rsidP="00393375">
      <w:r>
        <w:t>Haderslev Kommune træffer</w:t>
      </w:r>
      <w:r w:rsidRPr="003B247B">
        <w:t xml:space="preserve"> </w:t>
      </w:r>
      <w:r>
        <w:t>den 15. september 2017</w:t>
      </w:r>
      <w:r w:rsidRPr="003B247B">
        <w:t xml:space="preserve"> afgørelse </w:t>
      </w:r>
      <w:r>
        <w:t>efter § 10</w:t>
      </w:r>
      <w:r>
        <w:rPr>
          <w:rStyle w:val="Fodnotehenvisning"/>
        </w:rPr>
        <w:footnoteReference w:id="1"/>
      </w:r>
      <w:r>
        <w:t xml:space="preserve"> </w:t>
      </w:r>
      <w:r w:rsidRPr="003B247B">
        <w:t xml:space="preserve">om, at den anmeldte </w:t>
      </w:r>
      <w:r>
        <w:t>maskinhus/halmlade</w:t>
      </w:r>
      <w:r w:rsidRPr="003B247B">
        <w:t xml:space="preserve"> på </w:t>
      </w:r>
      <w:r w:rsidR="00E2661F">
        <w:t xml:space="preserve">558 m2 på </w:t>
      </w:r>
      <w:r>
        <w:t>Langdræt 1, 6100 Haderslev,</w:t>
      </w:r>
      <w:r w:rsidRPr="003B247B">
        <w:t xml:space="preserve"> </w:t>
      </w:r>
      <w:r>
        <w:t>kan blive udført</w:t>
      </w:r>
      <w:r w:rsidRPr="003B247B">
        <w:t xml:space="preserve">, </w:t>
      </w:r>
      <w:r>
        <w:t>når I har</w:t>
      </w:r>
      <w:r w:rsidRPr="003B247B">
        <w:t xml:space="preserve"> en b</w:t>
      </w:r>
      <w:r>
        <w:t>yggetilladelse.</w:t>
      </w:r>
    </w:p>
    <w:p w:rsidR="00C32E3D" w:rsidRPr="003B247B" w:rsidRDefault="00C32E3D" w:rsidP="00393375"/>
    <w:p w:rsidR="00C32E3D" w:rsidRDefault="00C32E3D" w:rsidP="003543F9">
      <w:r>
        <w:t xml:space="preserve">Maskinhuset/halmladen placeres 2,5 meter fra skel og opføres i betonelementer og sort eternit tag med ovenlys i kip. Bygningen bliver 30,5 meter lang og 18 meter lang. </w:t>
      </w:r>
      <w:r w:rsidR="00E2661F">
        <w:t>Der er betonbund. I bi</w:t>
      </w:r>
      <w:r>
        <w:t>l</w:t>
      </w:r>
      <w:r w:rsidR="00E2661F">
        <w:t>a</w:t>
      </w:r>
      <w:r>
        <w:t>g er der vist skitse af bygningen og grundrids.</w:t>
      </w:r>
    </w:p>
    <w:p w:rsidR="00C32E3D" w:rsidRDefault="00C32E3D" w:rsidP="003543F9"/>
    <w:p w:rsidR="00C32E3D" w:rsidRDefault="00C32E3D" w:rsidP="003B247B">
      <w:r w:rsidRPr="003B247B">
        <w:t xml:space="preserve">Afgørelsen </w:t>
      </w:r>
      <w:r>
        <w:t xml:space="preserve">bliver </w:t>
      </w:r>
      <w:r w:rsidRPr="003B247B">
        <w:t xml:space="preserve">annonceres </w:t>
      </w:r>
      <w:r>
        <w:t xml:space="preserve">på hjemmesiden </w:t>
      </w:r>
      <w:hyperlink r:id="rId8" w:history="1">
        <w:r w:rsidRPr="006A6224">
          <w:rPr>
            <w:rStyle w:val="Hyperlink"/>
          </w:rPr>
          <w:t>mst.dma.dk</w:t>
        </w:r>
      </w:hyperlink>
      <w:r>
        <w:t>, hvorefter der vil være en</w:t>
      </w:r>
      <w:r w:rsidRPr="003B247B">
        <w:t xml:space="preserve"> 4 ugers klagefrist, frem til den </w:t>
      </w:r>
      <w:r w:rsidR="00E2661F">
        <w:t>13. oktober 2017</w:t>
      </w:r>
      <w:r w:rsidRPr="003B247B">
        <w:t xml:space="preserve">. Hvor både du selv og enhver med individuel interesse i sagen kan klage over afgørelsen. Efter klagefristens udløb, vil du få besked om, hvorvidt der har været klager, som der skal tages hensyn til. Eventuelle klager har </w:t>
      </w:r>
      <w:r w:rsidRPr="005B0C92">
        <w:t xml:space="preserve">ikke opsættende virkning, men </w:t>
      </w:r>
      <w:r>
        <w:t xml:space="preserve">vær opmærksom på at DETTE IKKE ER EN BYGGETILLADELSE. </w:t>
      </w:r>
    </w:p>
    <w:p w:rsidR="00C32E3D" w:rsidRDefault="00C32E3D" w:rsidP="003B247B"/>
    <w:p w:rsidR="00C32E3D" w:rsidRDefault="00C32E3D" w:rsidP="003B247B">
      <w:r>
        <w:t>B</w:t>
      </w:r>
      <w:r w:rsidRPr="005B0C92">
        <w:t>yggeriet</w:t>
      </w:r>
      <w:r>
        <w:t xml:space="preserve"> må</w:t>
      </w:r>
      <w:r w:rsidRPr="005B0C92">
        <w:t xml:space="preserve"> </w:t>
      </w:r>
      <w:r>
        <w:t xml:space="preserve">IKKE </w:t>
      </w:r>
      <w:r w:rsidRPr="005B0C92">
        <w:t xml:space="preserve">må </w:t>
      </w:r>
      <w:r>
        <w:t>blive sat i gang</w:t>
      </w:r>
      <w:r w:rsidRPr="005B0C92">
        <w:t xml:space="preserve"> før</w:t>
      </w:r>
      <w:r>
        <w:t xml:space="preserve"> der er søgt og meddelt byggetilladelse ved Haderslev Kommune og dette skal ske via www.bygogmiljoe.dk. </w:t>
      </w:r>
    </w:p>
    <w:p w:rsidR="00C32E3D" w:rsidRDefault="00C32E3D" w:rsidP="003B247B"/>
    <w:p w:rsidR="00C32E3D" w:rsidRPr="003B247B" w:rsidRDefault="00C32E3D" w:rsidP="003B247B">
      <w:r>
        <w:t>Endvidere skal ansøger være opmærksom på, at denne afgørelse bortfalder, såfremt den ikke er udnyttet inden for 2 år</w:t>
      </w:r>
      <w:r>
        <w:rPr>
          <w:rStyle w:val="Fodnotehenvisning"/>
        </w:rPr>
        <w:t>1</w:t>
      </w:r>
      <w:r>
        <w:t>, og at hvis det anmeldte helt eller delvist ikke har været udnyttet i 3 på hinanden følgende år bortfalder den del, som ikke har været udnyttet</w:t>
      </w:r>
      <w:r>
        <w:rPr>
          <w:rStyle w:val="Fodnotehenvisning"/>
        </w:rPr>
        <w:t>1</w:t>
      </w:r>
      <w:r>
        <w:t xml:space="preserve">. </w:t>
      </w:r>
      <w:r>
        <w:rPr>
          <w:rStyle w:val="Hyperlink"/>
        </w:rPr>
        <w:t xml:space="preserve">  </w:t>
      </w:r>
    </w:p>
    <w:p w:rsidR="00C32E3D" w:rsidRDefault="00C32E3D" w:rsidP="00CD03DC">
      <w:pPr>
        <w:pStyle w:val="Overskrift2"/>
      </w:pPr>
      <w:r>
        <w:t>Baggrund for afgørelsen</w:t>
      </w:r>
    </w:p>
    <w:p w:rsidR="00C32E3D" w:rsidRDefault="00C32E3D" w:rsidP="00F93D23">
      <w:r>
        <w:t xml:space="preserve">Vi vurderer, at det anmeldte byggeri af en </w:t>
      </w:r>
      <w:r w:rsidR="00E2661F">
        <w:t>et maskinhus/halmlade på 558 m2</w:t>
      </w:r>
      <w:r>
        <w:t xml:space="preserve"> er erhvervsmæssigt nødvendigt for driften og placeret i tilknytning til de eksisterende bygninger på husdyrbruget. </w:t>
      </w:r>
    </w:p>
    <w:p w:rsidR="00C32E3D" w:rsidRDefault="00C32E3D" w:rsidP="00F93D23"/>
    <w:p w:rsidR="00C32E3D" w:rsidRDefault="00C32E3D" w:rsidP="00603668">
      <w:r>
        <w:t xml:space="preserve">Vi vurderer, at de gældende afstandskrav er overholdt. </w:t>
      </w:r>
    </w:p>
    <w:p w:rsidR="00C32E3D" w:rsidRDefault="00C32E3D" w:rsidP="00603668"/>
    <w:p w:rsidR="00C32E3D" w:rsidRDefault="00C32E3D" w:rsidP="00603668">
      <w:r>
        <w:t>Vi vurderer, at valget af byggemateriale</w:t>
      </w:r>
      <w:r w:rsidR="00E2661F">
        <w:t xml:space="preserve"> med betonelementer og sort eternittag</w:t>
      </w:r>
      <w:r>
        <w:t xml:space="preserve"> kan anses som værende et sædvanligt og ikke-reflekterende overflade, og at </w:t>
      </w:r>
      <w:r w:rsidR="00E2661F">
        <w:t>etableringen af maskinhuset/halmladen</w:t>
      </w:r>
      <w:r>
        <w:t xml:space="preserve"> ikke vil medføre væsentlige ændringer i terræn.</w:t>
      </w:r>
    </w:p>
    <w:p w:rsidR="00E2661F" w:rsidRDefault="00E2661F" w:rsidP="00F93D23"/>
    <w:p w:rsidR="00E2661F" w:rsidRDefault="00E2661F" w:rsidP="00F93D23">
      <w:r>
        <w:t>Der har ikke været nabohøring, idet der ikke er naboer indenfor 200 meter.</w:t>
      </w:r>
    </w:p>
    <w:p w:rsidR="00C32E3D" w:rsidRDefault="00C32E3D" w:rsidP="00872821">
      <w:pPr>
        <w:pStyle w:val="Overskrift2"/>
      </w:pPr>
      <w:r>
        <w:t>Offentliggørelse</w:t>
      </w:r>
    </w:p>
    <w:p w:rsidR="00C32E3D" w:rsidRDefault="00C32E3D" w:rsidP="00872821">
      <w:pPr>
        <w:pStyle w:val="Overskrift2"/>
        <w:rPr>
          <w:rFonts w:ascii="Trebuchet MS" w:hAnsi="Trebuchet MS"/>
          <w:b w:val="0"/>
          <w:sz w:val="24"/>
          <w:szCs w:val="24"/>
        </w:rPr>
      </w:pPr>
      <w:r>
        <w:rPr>
          <w:rFonts w:ascii="Trebuchet MS" w:hAnsi="Trebuchet MS"/>
          <w:b w:val="0"/>
          <w:sz w:val="24"/>
          <w:szCs w:val="24"/>
        </w:rPr>
        <w:t xml:space="preserve">Afgørelsen om tilladelse til </w:t>
      </w:r>
      <w:r>
        <w:rPr>
          <w:b w:val="0"/>
        </w:rPr>
        <w:t xml:space="preserve">opførelse af </w:t>
      </w:r>
      <w:r w:rsidR="00476481">
        <w:rPr>
          <w:b w:val="0"/>
        </w:rPr>
        <w:t>maskinhus/halmlade</w:t>
      </w:r>
      <w:r w:rsidRPr="00386446">
        <w:rPr>
          <w:b w:val="0"/>
        </w:rPr>
        <w:t xml:space="preserve"> på </w:t>
      </w:r>
      <w:r w:rsidR="00476481">
        <w:rPr>
          <w:b w:val="0"/>
        </w:rPr>
        <w:t>Langdræt 1, 6100 Haderslev</w:t>
      </w:r>
      <w:r>
        <w:rPr>
          <w:rFonts w:ascii="Trebuchet MS" w:hAnsi="Trebuchet MS"/>
          <w:b w:val="0"/>
          <w:sz w:val="24"/>
          <w:szCs w:val="24"/>
        </w:rPr>
        <w:t xml:space="preserve"> offentliggøres på hjemmesiden </w:t>
      </w:r>
      <w:hyperlink r:id="rId9" w:history="1">
        <w:r w:rsidRPr="00386446">
          <w:rPr>
            <w:rStyle w:val="Hyperlink"/>
            <w:rFonts w:ascii="Trebuchet MS" w:hAnsi="Trebuchet MS"/>
            <w:b w:val="0"/>
            <w:sz w:val="24"/>
            <w:szCs w:val="24"/>
          </w:rPr>
          <w:t>dma.mst.dk</w:t>
        </w:r>
      </w:hyperlink>
      <w:r w:rsidRPr="00386446">
        <w:rPr>
          <w:rFonts w:ascii="Trebuchet MS" w:hAnsi="Trebuchet MS"/>
          <w:b w:val="0"/>
          <w:sz w:val="24"/>
          <w:szCs w:val="24"/>
        </w:rPr>
        <w:t>.</w:t>
      </w:r>
    </w:p>
    <w:p w:rsidR="00C32E3D" w:rsidRDefault="00C32E3D" w:rsidP="00502008">
      <w:pPr>
        <w:spacing w:before="240"/>
        <w:rPr>
          <w:b/>
        </w:rPr>
      </w:pPr>
      <w:r>
        <w:rPr>
          <w:b/>
        </w:rPr>
        <w:t>Klagevejledning</w:t>
      </w:r>
    </w:p>
    <w:p w:rsidR="00C32E3D" w:rsidRDefault="00C32E3D" w:rsidP="00502008">
      <w:r>
        <w:t>Der er mulighed for at klage over kommunens afgørelse jf. husdyrgodkendelseslovens § 76</w:t>
      </w:r>
      <w:r>
        <w:rPr>
          <w:rStyle w:val="Fodnotehenvisning"/>
        </w:rPr>
        <w:footnoteReference w:id="2"/>
      </w:r>
      <w:r>
        <w:t xml:space="preserve">. </w:t>
      </w:r>
    </w:p>
    <w:p w:rsidR="00C32E3D" w:rsidRDefault="00C32E3D" w:rsidP="00502008">
      <w:r>
        <w:lastRenderedPageBreak/>
        <w:t>Klagefristen er fire uger. Klageadgangen er beskrevet i nedenstående.</w:t>
      </w:r>
    </w:p>
    <w:p w:rsidR="00C32E3D" w:rsidRDefault="00C32E3D" w:rsidP="00502008">
      <w:r>
        <w:t xml:space="preserve">Klage over denne afgørelse sendes til Miljø- og Fødevareklagenævnet. Du klager via Klageportalen, som du finder et link til på forsiden af </w:t>
      </w:r>
      <w:hyperlink r:id="rId10" w:history="1">
        <w:r>
          <w:rPr>
            <w:rStyle w:val="Hyperlink"/>
          </w:rPr>
          <w:t>www.nmkn.dk</w:t>
        </w:r>
      </w:hyperlink>
      <w:r>
        <w:t xml:space="preserve">. Klageportalen ligger på </w:t>
      </w:r>
      <w:hyperlink r:id="rId11" w:history="1">
        <w:r>
          <w:rPr>
            <w:rStyle w:val="Hyperlink"/>
          </w:rPr>
          <w:t>www.borger.dk</w:t>
        </w:r>
      </w:hyperlink>
      <w:r>
        <w:rPr>
          <w:color w:val="0000FF"/>
        </w:rPr>
        <w:t xml:space="preserve"> </w:t>
      </w:r>
      <w:r>
        <w:t xml:space="preserve">og </w:t>
      </w:r>
      <w:hyperlink r:id="rId12" w:history="1">
        <w:r>
          <w:rPr>
            <w:rStyle w:val="Hyperlink"/>
          </w:rPr>
          <w:t>www.virk.dk</w:t>
        </w:r>
      </w:hyperlink>
      <w:r>
        <w:t xml:space="preserve">. Du logger på </w:t>
      </w:r>
      <w:hyperlink r:id="rId13" w:history="1">
        <w:r>
          <w:rPr>
            <w:rStyle w:val="Hyperlink"/>
          </w:rPr>
          <w:t>www.borger.dk</w:t>
        </w:r>
      </w:hyperlink>
      <w:r>
        <w:rPr>
          <w:color w:val="0000FF"/>
        </w:rPr>
        <w:t xml:space="preserve"> </w:t>
      </w:r>
      <w:r>
        <w:t xml:space="preserve">eller </w:t>
      </w:r>
      <w:hyperlink r:id="rId14" w:history="1">
        <w:r>
          <w:rPr>
            <w:rStyle w:val="Hyperlink"/>
          </w:rPr>
          <w:t>www.virk.dk</w:t>
        </w:r>
      </w:hyperlink>
      <w:r>
        <w:t>, ligesom du plejer, typisk med NEM-ID. Klagen sendes gennem Klageportalen til Haderslev Kommune, som har truffet afgørelsen.</w:t>
      </w:r>
    </w:p>
    <w:p w:rsidR="00C32E3D" w:rsidRDefault="00C32E3D" w:rsidP="00502008"/>
    <w:p w:rsidR="00C32E3D" w:rsidRDefault="00C32E3D" w:rsidP="00502008">
      <w:r>
        <w:t>En klage er indgivet, når den er tilgængelig for kommunen i Klageportalen. Når du klager, skal der betales et gebyr på 900 kr. for privatpersoners og 1.800 kr. for virksomheders og organisationers vedkommende . Du betaler gebyret med betalingskort i Klageportalen.</w:t>
      </w:r>
    </w:p>
    <w:p w:rsidR="00C32E3D" w:rsidRDefault="00C32E3D" w:rsidP="00502008"/>
    <w:p w:rsidR="00C32E3D" w:rsidRDefault="00C32E3D" w:rsidP="00502008">
      <w:r>
        <w:t xml:space="preserve">Miljø- og Fødevareklagenævnet skal som udgangspunkt afvise en klage, der kommer uden om Klageportalen, hvis der ikke er særlige grunde til det. Hvis du ønsker at blive fritaget for at bruge Klageportalen, skal du sende en begrundet anmodning til Haderslev Kommune, Teknik og Miljø, Simmerstedvej 1A, 1., 6100 Haderslev eller </w:t>
      </w:r>
      <w:hyperlink r:id="rId15" w:history="1">
        <w:r>
          <w:rPr>
            <w:rStyle w:val="Hyperlink"/>
          </w:rPr>
          <w:t>teknikmiljoe@haderslev.dk</w:t>
        </w:r>
      </w:hyperlink>
      <w:r>
        <w:t xml:space="preserve">. Haderslev Kommune videresender herefter anmodningen til Miljø- og Fødevareklagenævnet, som træffer afgørelse om, hvorvidt din anmodning kan imødekommes. </w:t>
      </w:r>
    </w:p>
    <w:p w:rsidR="00C32E3D" w:rsidRDefault="00C32E3D" w:rsidP="00502008"/>
    <w:p w:rsidR="00C32E3D" w:rsidRDefault="00C32E3D" w:rsidP="00502008">
      <w:r>
        <w:t>Søgsmål kan anlægges for domstolene i henhold til § 90 i Husdyrgodkendelsesloven</w:t>
      </w:r>
      <w:r>
        <w:rPr>
          <w:vertAlign w:val="superscript"/>
        </w:rPr>
        <w:t>2</w:t>
      </w:r>
      <w:r>
        <w:t>. Ønskes afgørelsens gyldighed afprøvet ved domstolene, skal sagen være anlagt inden 6 måneder efter miljøgodkendelsen er offentliggjort eller, hvis sagen påklages, inden 6 måneder efter at den endelige administrative afgørelse foreligger.</w:t>
      </w:r>
    </w:p>
    <w:p w:rsidR="00C32E3D" w:rsidRDefault="00C32E3D" w:rsidP="00502008"/>
    <w:p w:rsidR="00C32E3D" w:rsidRDefault="00C32E3D" w:rsidP="00502008">
      <w:r>
        <w:t>Haderslev Kommune gør opmærksom på, at der i medfør af Offentlighedslovens § 7</w:t>
      </w:r>
      <w:r>
        <w:rPr>
          <w:rStyle w:val="Fodnotehenvisning"/>
        </w:rPr>
        <w:footnoteReference w:id="3"/>
      </w:r>
      <w:r>
        <w:t xml:space="preserve"> er mulighed for aktindsigt i sagen. Tidspunktet for eventuelt gennemsyn af sagen kan aftales telefonisk med Haderslev Kommune på 74 34 34 34. </w:t>
      </w:r>
    </w:p>
    <w:p w:rsidR="00C32E3D" w:rsidRDefault="00C32E3D" w:rsidP="00393375"/>
    <w:p w:rsidR="00C32E3D" w:rsidRPr="003B247B" w:rsidRDefault="00C32E3D" w:rsidP="00393375">
      <w:r w:rsidRPr="003B247B">
        <w:t>Hvis der er spørgsmål til dette brev er I velkommen til at kontakte mig.</w:t>
      </w:r>
    </w:p>
    <w:p w:rsidR="00C32E3D" w:rsidRDefault="00C32E3D">
      <w:pPr>
        <w:rPr>
          <w:bCs/>
        </w:rPr>
      </w:pPr>
    </w:p>
    <w:p w:rsidR="00263D5F" w:rsidRDefault="00263D5F">
      <w:r>
        <w:br w:type="page"/>
      </w:r>
    </w:p>
    <w:p w:rsidR="00D32D08" w:rsidRDefault="00263D5F">
      <w:r>
        <w:t>Bilag 1:</w:t>
      </w:r>
    </w:p>
    <w:p w:rsidR="00263D5F" w:rsidRDefault="00263D5F">
      <w:r>
        <w:rPr>
          <w:noProof/>
        </w:rPr>
        <w:drawing>
          <wp:inline distT="0" distB="0" distL="0" distR="0" wp14:anchorId="00EBD8C0" wp14:editId="457C89F2">
            <wp:extent cx="6120130" cy="2722513"/>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20130" cy="2722513"/>
                    </a:xfrm>
                    <a:prstGeom prst="rect">
                      <a:avLst/>
                    </a:prstGeom>
                  </pic:spPr>
                </pic:pic>
              </a:graphicData>
            </a:graphic>
          </wp:inline>
        </w:drawing>
      </w:r>
    </w:p>
    <w:p w:rsidR="00263D5F" w:rsidRDefault="00263D5F">
      <w:r>
        <w:t>Placering af stalden på Langdræt 1, 6100 Haderslev, matrikel 10,Åstrup Ejerlav, Åstrup</w:t>
      </w:r>
      <w:r w:rsidR="00FF2984">
        <w:t>. Maskinhuset/halmladen har en længde på 31 meter og en bredde på 18 meter, svarende til 558 m2</w:t>
      </w:r>
      <w:bookmarkStart w:id="0" w:name="_GoBack"/>
      <w:bookmarkEnd w:id="0"/>
      <w:r w:rsidR="00FF2984">
        <w:t xml:space="preserve">. </w:t>
      </w:r>
    </w:p>
    <w:sectPr w:rsidR="00263D5F" w:rsidSect="00D465D4">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3D" w:rsidRDefault="00C32E3D" w:rsidP="00C32E3D">
      <w:r>
        <w:separator/>
      </w:r>
    </w:p>
  </w:endnote>
  <w:endnote w:type="continuationSeparator" w:id="0">
    <w:p w:rsidR="00C32E3D" w:rsidRDefault="00C32E3D" w:rsidP="00C3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668" w:rsidRDefault="00FF2984" w:rsidP="00727C5B">
    <w:pPr>
      <w:pStyle w:val="Sidefod"/>
    </w:pPr>
    <w:r>
      <w:rPr>
        <w:rStyle w:val="Sidetal"/>
      </w:rPr>
      <w:tab/>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3</w:t>
    </w:r>
    <w:r>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3D" w:rsidRDefault="00C32E3D" w:rsidP="00C32E3D">
      <w:r>
        <w:separator/>
      </w:r>
    </w:p>
  </w:footnote>
  <w:footnote w:type="continuationSeparator" w:id="0">
    <w:p w:rsidR="00C32E3D" w:rsidRDefault="00C32E3D" w:rsidP="00C32E3D">
      <w:r>
        <w:continuationSeparator/>
      </w:r>
    </w:p>
  </w:footnote>
  <w:footnote w:id="1">
    <w:p w:rsidR="00C32E3D" w:rsidRPr="00502008" w:rsidRDefault="00C32E3D">
      <w:pPr>
        <w:pStyle w:val="Fodnotetekst"/>
        <w:rPr>
          <w:sz w:val="16"/>
          <w:szCs w:val="16"/>
        </w:rPr>
      </w:pPr>
      <w:r w:rsidRPr="00502008">
        <w:rPr>
          <w:rStyle w:val="Fodnotehenvisning"/>
          <w:sz w:val="16"/>
          <w:szCs w:val="16"/>
        </w:rPr>
        <w:footnoteRef/>
      </w:r>
      <w:r w:rsidRPr="00502008">
        <w:rPr>
          <w:sz w:val="16"/>
          <w:szCs w:val="16"/>
        </w:rPr>
        <w:t xml:space="preserve"> Bekendtgørelse om godkendelse </w:t>
      </w:r>
      <w:r>
        <w:rPr>
          <w:sz w:val="16"/>
          <w:szCs w:val="16"/>
        </w:rPr>
        <w:t xml:space="preserve">og </w:t>
      </w:r>
      <w:r w:rsidRPr="00502008">
        <w:rPr>
          <w:sz w:val="16"/>
          <w:szCs w:val="16"/>
        </w:rPr>
        <w:t>tilladelse m.v. af husdyrbrug.</w:t>
      </w:r>
      <w:hyperlink r:id="rId1" w:history="1">
        <w:r w:rsidRPr="00787F2D">
          <w:rPr>
            <w:rStyle w:val="Hyperlink"/>
            <w:sz w:val="16"/>
            <w:szCs w:val="16"/>
          </w:rPr>
          <w:t xml:space="preserve"> Bek. nr. </w:t>
        </w:r>
        <w:r>
          <w:rPr>
            <w:rStyle w:val="Hyperlink"/>
            <w:sz w:val="16"/>
            <w:szCs w:val="16"/>
          </w:rPr>
          <w:t>916 af 23/06/2017</w:t>
        </w:r>
      </w:hyperlink>
      <w:r>
        <w:rPr>
          <w:sz w:val="16"/>
          <w:szCs w:val="16"/>
        </w:rPr>
        <w:t xml:space="preserve"> </w:t>
      </w:r>
    </w:p>
  </w:footnote>
  <w:footnote w:id="2">
    <w:p w:rsidR="00C32E3D" w:rsidRPr="00502008" w:rsidRDefault="00C32E3D" w:rsidP="00502008">
      <w:pPr>
        <w:pStyle w:val="Fodnotetekst"/>
        <w:rPr>
          <w:sz w:val="16"/>
          <w:szCs w:val="16"/>
        </w:rPr>
      </w:pPr>
      <w:r w:rsidRPr="00502008">
        <w:rPr>
          <w:rStyle w:val="Fodnotehenvisning"/>
          <w:sz w:val="16"/>
          <w:szCs w:val="16"/>
        </w:rPr>
        <w:footnoteRef/>
      </w:r>
      <w:r w:rsidRPr="00502008">
        <w:rPr>
          <w:sz w:val="16"/>
          <w:szCs w:val="16"/>
        </w:rPr>
        <w:t xml:space="preserve"> Bekendtgørelse af lov om husdyrbrug</w:t>
      </w:r>
      <w:r>
        <w:rPr>
          <w:sz w:val="16"/>
          <w:szCs w:val="16"/>
        </w:rPr>
        <w:t xml:space="preserve"> og anvendelse af gødning m.v</w:t>
      </w:r>
      <w:r w:rsidRPr="00502008">
        <w:rPr>
          <w:sz w:val="16"/>
          <w:szCs w:val="16"/>
        </w:rPr>
        <w:t xml:space="preserve">. </w:t>
      </w:r>
      <w:hyperlink r:id="rId2" w:history="1">
        <w:r w:rsidRPr="00B0334A">
          <w:rPr>
            <w:rStyle w:val="Hyperlink"/>
            <w:sz w:val="16"/>
            <w:szCs w:val="16"/>
          </w:rPr>
          <w:t xml:space="preserve">Lbk.nr. </w:t>
        </w:r>
        <w:r>
          <w:rPr>
            <w:rStyle w:val="Hyperlink"/>
            <w:sz w:val="16"/>
            <w:szCs w:val="16"/>
          </w:rPr>
          <w:t>256</w:t>
        </w:r>
      </w:hyperlink>
      <w:r>
        <w:rPr>
          <w:rStyle w:val="Hyperlink"/>
          <w:sz w:val="16"/>
          <w:szCs w:val="16"/>
        </w:rPr>
        <w:t xml:space="preserve"> af 21/03/2017</w:t>
      </w:r>
    </w:p>
  </w:footnote>
  <w:footnote w:id="3">
    <w:p w:rsidR="00C32E3D" w:rsidRDefault="00C32E3D" w:rsidP="00502008">
      <w:pPr>
        <w:pStyle w:val="Fodnotetekst"/>
        <w:rPr>
          <w:sz w:val="16"/>
          <w:szCs w:val="16"/>
        </w:rPr>
      </w:pPr>
      <w:r w:rsidRPr="00502008">
        <w:rPr>
          <w:rStyle w:val="Fodnotehenvisning"/>
          <w:sz w:val="16"/>
          <w:szCs w:val="16"/>
        </w:rPr>
        <w:footnoteRef/>
      </w:r>
      <w:r w:rsidRPr="00502008">
        <w:rPr>
          <w:sz w:val="16"/>
          <w:szCs w:val="16"/>
        </w:rPr>
        <w:t xml:space="preserve"> Lov om Offentlighed i forvaltningen. </w:t>
      </w:r>
      <w:hyperlink r:id="rId3" w:history="1">
        <w:r w:rsidRPr="00502008">
          <w:rPr>
            <w:rStyle w:val="Hyperlink"/>
            <w:sz w:val="16"/>
            <w:szCs w:val="16"/>
          </w:rPr>
          <w:t>Lov nr. 606 af 12/06/2013.</w:t>
        </w:r>
      </w:hyperlink>
      <w:r>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testPhrase" w:val="\\udcfs1\diskabeloner\dynamictemplate\Fraser\Erhvervs- og Borgerservice\Teknik og Miljø\Erhverv\Landbrug\05 Anmeldelser §§ 25 til 35\Anmeldelse efter § 10\Afgørelse på § 10.docx"/>
  </w:docVars>
  <w:rsids>
    <w:rsidRoot w:val="00C32E3D"/>
    <w:rsid w:val="00263D5F"/>
    <w:rsid w:val="00476481"/>
    <w:rsid w:val="00805B64"/>
    <w:rsid w:val="00C32E3D"/>
    <w:rsid w:val="00D32D08"/>
    <w:rsid w:val="00E2661F"/>
    <w:rsid w:val="00FF29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sz w:val="24"/>
      <w:szCs w:val="24"/>
    </w:rPr>
  </w:style>
  <w:style w:type="paragraph" w:styleId="Overskrift2">
    <w:name w:val="heading 2"/>
    <w:basedOn w:val="Normal"/>
    <w:next w:val="Normal"/>
    <w:link w:val="Overskrift2Tegn"/>
    <w:qFormat/>
    <w:rsid w:val="00C32E3D"/>
    <w:pPr>
      <w:keepNext/>
      <w:spacing w:before="240" w:after="120" w:line="260" w:lineRule="atLeast"/>
      <w:outlineLvl w:val="1"/>
    </w:pPr>
    <w:rPr>
      <w:rFonts w:ascii="Verdana" w:hAnsi="Verdana" w:cs="Arial"/>
      <w:b/>
      <w:bCs/>
      <w:iCs/>
      <w:sz w:val="20"/>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C32E3D"/>
    <w:rPr>
      <w:rFonts w:ascii="Verdana" w:hAnsi="Verdana" w:cs="Arial"/>
      <w:b/>
      <w:bCs/>
      <w:iCs/>
      <w:szCs w:val="28"/>
      <w:lang w:eastAsia="en-US"/>
    </w:rPr>
  </w:style>
  <w:style w:type="paragraph" w:styleId="Sidefod">
    <w:name w:val="footer"/>
    <w:basedOn w:val="Normal"/>
    <w:link w:val="SidefodTegn"/>
    <w:rsid w:val="00C32E3D"/>
    <w:pPr>
      <w:tabs>
        <w:tab w:val="center" w:pos="4320"/>
        <w:tab w:val="right" w:pos="8640"/>
      </w:tabs>
      <w:spacing w:after="120" w:line="260" w:lineRule="atLeast"/>
    </w:pPr>
    <w:rPr>
      <w:rFonts w:ascii="Verdana" w:hAnsi="Verdana"/>
      <w:sz w:val="20"/>
      <w:szCs w:val="20"/>
      <w:lang w:eastAsia="en-US"/>
    </w:rPr>
  </w:style>
  <w:style w:type="character" w:customStyle="1" w:styleId="SidefodTegn">
    <w:name w:val="Sidefod Tegn"/>
    <w:basedOn w:val="Standardskrifttypeiafsnit"/>
    <w:link w:val="Sidefod"/>
    <w:rsid w:val="00C32E3D"/>
    <w:rPr>
      <w:rFonts w:ascii="Verdana" w:hAnsi="Verdana"/>
      <w:lang w:eastAsia="en-US"/>
    </w:rPr>
  </w:style>
  <w:style w:type="character" w:styleId="Sidetal">
    <w:name w:val="page number"/>
    <w:rsid w:val="00C32E3D"/>
    <w:rPr>
      <w:rFonts w:ascii="Verdana" w:hAnsi="Verdana"/>
      <w:sz w:val="14"/>
    </w:rPr>
  </w:style>
  <w:style w:type="character" w:styleId="Hyperlink">
    <w:name w:val="Hyperlink"/>
    <w:rsid w:val="00C32E3D"/>
    <w:rPr>
      <w:color w:val="0000FF"/>
      <w:u w:val="single"/>
    </w:rPr>
  </w:style>
  <w:style w:type="paragraph" w:styleId="Fodnotetekst">
    <w:name w:val="footnote text"/>
    <w:basedOn w:val="Normal"/>
    <w:link w:val="FodnotetekstTegn"/>
    <w:uiPriority w:val="99"/>
    <w:rsid w:val="00C32E3D"/>
    <w:pPr>
      <w:spacing w:after="120" w:line="260" w:lineRule="atLeast"/>
    </w:pPr>
    <w:rPr>
      <w:rFonts w:ascii="Verdana" w:hAnsi="Verdana"/>
      <w:sz w:val="20"/>
      <w:szCs w:val="20"/>
      <w:lang w:eastAsia="en-US"/>
    </w:rPr>
  </w:style>
  <w:style w:type="character" w:customStyle="1" w:styleId="FodnotetekstTegn">
    <w:name w:val="Fodnotetekst Tegn"/>
    <w:basedOn w:val="Standardskrifttypeiafsnit"/>
    <w:link w:val="Fodnotetekst"/>
    <w:uiPriority w:val="99"/>
    <w:rsid w:val="00C32E3D"/>
    <w:rPr>
      <w:rFonts w:ascii="Verdana" w:hAnsi="Verdana"/>
      <w:lang w:eastAsia="en-US"/>
    </w:rPr>
  </w:style>
  <w:style w:type="character" w:styleId="Fodnotehenvisning">
    <w:name w:val="footnote reference"/>
    <w:uiPriority w:val="99"/>
    <w:rsid w:val="00C32E3D"/>
    <w:rPr>
      <w:vertAlign w:val="superscript"/>
    </w:rPr>
  </w:style>
  <w:style w:type="paragraph" w:styleId="Markeringsbobletekst">
    <w:name w:val="Balloon Text"/>
    <w:basedOn w:val="Normal"/>
    <w:link w:val="MarkeringsbobletekstTegn"/>
    <w:rsid w:val="00263D5F"/>
    <w:rPr>
      <w:rFonts w:ascii="Tahoma" w:hAnsi="Tahoma" w:cs="Tahoma"/>
      <w:sz w:val="16"/>
      <w:szCs w:val="16"/>
    </w:rPr>
  </w:style>
  <w:style w:type="character" w:customStyle="1" w:styleId="MarkeringsbobletekstTegn">
    <w:name w:val="Markeringsbobletekst Tegn"/>
    <w:basedOn w:val="Standardskrifttypeiafsnit"/>
    <w:link w:val="Markeringsbobletekst"/>
    <w:rsid w:val="00263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sz w:val="24"/>
      <w:szCs w:val="24"/>
    </w:rPr>
  </w:style>
  <w:style w:type="paragraph" w:styleId="Overskrift2">
    <w:name w:val="heading 2"/>
    <w:basedOn w:val="Normal"/>
    <w:next w:val="Normal"/>
    <w:link w:val="Overskrift2Tegn"/>
    <w:qFormat/>
    <w:rsid w:val="00C32E3D"/>
    <w:pPr>
      <w:keepNext/>
      <w:spacing w:before="240" w:after="120" w:line="260" w:lineRule="atLeast"/>
      <w:outlineLvl w:val="1"/>
    </w:pPr>
    <w:rPr>
      <w:rFonts w:ascii="Verdana" w:hAnsi="Verdana" w:cs="Arial"/>
      <w:b/>
      <w:bCs/>
      <w:iCs/>
      <w:sz w:val="20"/>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C32E3D"/>
    <w:rPr>
      <w:rFonts w:ascii="Verdana" w:hAnsi="Verdana" w:cs="Arial"/>
      <w:b/>
      <w:bCs/>
      <w:iCs/>
      <w:szCs w:val="28"/>
      <w:lang w:eastAsia="en-US"/>
    </w:rPr>
  </w:style>
  <w:style w:type="paragraph" w:styleId="Sidefod">
    <w:name w:val="footer"/>
    <w:basedOn w:val="Normal"/>
    <w:link w:val="SidefodTegn"/>
    <w:rsid w:val="00C32E3D"/>
    <w:pPr>
      <w:tabs>
        <w:tab w:val="center" w:pos="4320"/>
        <w:tab w:val="right" w:pos="8640"/>
      </w:tabs>
      <w:spacing w:after="120" w:line="260" w:lineRule="atLeast"/>
    </w:pPr>
    <w:rPr>
      <w:rFonts w:ascii="Verdana" w:hAnsi="Verdana"/>
      <w:sz w:val="20"/>
      <w:szCs w:val="20"/>
      <w:lang w:eastAsia="en-US"/>
    </w:rPr>
  </w:style>
  <w:style w:type="character" w:customStyle="1" w:styleId="SidefodTegn">
    <w:name w:val="Sidefod Tegn"/>
    <w:basedOn w:val="Standardskrifttypeiafsnit"/>
    <w:link w:val="Sidefod"/>
    <w:rsid w:val="00C32E3D"/>
    <w:rPr>
      <w:rFonts w:ascii="Verdana" w:hAnsi="Verdana"/>
      <w:lang w:eastAsia="en-US"/>
    </w:rPr>
  </w:style>
  <w:style w:type="character" w:styleId="Sidetal">
    <w:name w:val="page number"/>
    <w:rsid w:val="00C32E3D"/>
    <w:rPr>
      <w:rFonts w:ascii="Verdana" w:hAnsi="Verdana"/>
      <w:sz w:val="14"/>
    </w:rPr>
  </w:style>
  <w:style w:type="character" w:styleId="Hyperlink">
    <w:name w:val="Hyperlink"/>
    <w:rsid w:val="00C32E3D"/>
    <w:rPr>
      <w:color w:val="0000FF"/>
      <w:u w:val="single"/>
    </w:rPr>
  </w:style>
  <w:style w:type="paragraph" w:styleId="Fodnotetekst">
    <w:name w:val="footnote text"/>
    <w:basedOn w:val="Normal"/>
    <w:link w:val="FodnotetekstTegn"/>
    <w:uiPriority w:val="99"/>
    <w:rsid w:val="00C32E3D"/>
    <w:pPr>
      <w:spacing w:after="120" w:line="260" w:lineRule="atLeast"/>
    </w:pPr>
    <w:rPr>
      <w:rFonts w:ascii="Verdana" w:hAnsi="Verdana"/>
      <w:sz w:val="20"/>
      <w:szCs w:val="20"/>
      <w:lang w:eastAsia="en-US"/>
    </w:rPr>
  </w:style>
  <w:style w:type="character" w:customStyle="1" w:styleId="FodnotetekstTegn">
    <w:name w:val="Fodnotetekst Tegn"/>
    <w:basedOn w:val="Standardskrifttypeiafsnit"/>
    <w:link w:val="Fodnotetekst"/>
    <w:uiPriority w:val="99"/>
    <w:rsid w:val="00C32E3D"/>
    <w:rPr>
      <w:rFonts w:ascii="Verdana" w:hAnsi="Verdana"/>
      <w:lang w:eastAsia="en-US"/>
    </w:rPr>
  </w:style>
  <w:style w:type="character" w:styleId="Fodnotehenvisning">
    <w:name w:val="footnote reference"/>
    <w:uiPriority w:val="99"/>
    <w:rsid w:val="00C32E3D"/>
    <w:rPr>
      <w:vertAlign w:val="superscript"/>
    </w:rPr>
  </w:style>
  <w:style w:type="paragraph" w:styleId="Markeringsbobletekst">
    <w:name w:val="Balloon Text"/>
    <w:basedOn w:val="Normal"/>
    <w:link w:val="MarkeringsbobletekstTegn"/>
    <w:rsid w:val="00263D5F"/>
    <w:rPr>
      <w:rFonts w:ascii="Tahoma" w:hAnsi="Tahoma" w:cs="Tahoma"/>
      <w:sz w:val="16"/>
      <w:szCs w:val="16"/>
    </w:rPr>
  </w:style>
  <w:style w:type="character" w:customStyle="1" w:styleId="MarkeringsbobletekstTegn">
    <w:name w:val="Markeringsbobletekst Tegn"/>
    <w:basedOn w:val="Standardskrifttypeiafsnit"/>
    <w:link w:val="Markeringsbobletekst"/>
    <w:rsid w:val="00263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http://www.borger.d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yperlink" Target="mailto:teknikmiljoe@haderslev.dk" TargetMode="External"/><Relationship Id="rId10" Type="http://schemas.openxmlformats.org/officeDocument/2006/relationships/hyperlink" Target="http://www.nmkn.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ma.mst.dk/" TargetMode="External"/><Relationship Id="rId14" Type="http://schemas.openxmlformats.org/officeDocument/2006/relationships/hyperlink" Target="http://www.virk.d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Forms/R0710.aspx?id=152299" TargetMode="External"/><Relationship Id="rId2" Type="http://schemas.openxmlformats.org/officeDocument/2006/relationships/hyperlink" Target="https://www.retsinformation.dk/Forms/R0710.aspx?id=188313" TargetMode="External"/><Relationship Id="rId1" Type="http://schemas.openxmlformats.org/officeDocument/2006/relationships/hyperlink" Target="https://www.retsinformation.dk/Forms/R0710.aspx?id=192162"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0C0DB-B587-45E1-943A-6D53D53C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807A9189.dotm</Template>
  <TotalTime>169</TotalTime>
  <Pages>3</Pages>
  <Words>634</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Kjærulff Jepsen</dc:creator>
  <cp:lastModifiedBy>Astrid Kjærulff Jepsen</cp:lastModifiedBy>
  <cp:revision>3</cp:revision>
  <dcterms:created xsi:type="dcterms:W3CDTF">2017-09-15T08:14:00Z</dcterms:created>
  <dcterms:modified xsi:type="dcterms:W3CDTF">2017-09-15T11:04:00Z</dcterms:modified>
</cp:coreProperties>
</file>