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6675DF" w:rsidTr="00AF12A7">
        <w:trPr>
          <w:trHeight w:val="1417"/>
          <w:tblHeader/>
        </w:trPr>
        <w:tc>
          <w:tcPr>
            <w:tcW w:w="5670" w:type="dxa"/>
          </w:tcPr>
          <w:p w:rsidR="003755AF" w:rsidRDefault="006675DF" w:rsidP="006675DF">
            <w:pPr>
              <w:pStyle w:val="Modtager"/>
              <w:rPr>
                <w:rFonts w:ascii="Calibri" w:hAnsi="Calibri" w:cs="Calibri"/>
              </w:rPr>
            </w:pPr>
            <w:bookmarkStart w:id="0" w:name="_GoBack"/>
            <w:bookmarkEnd w:id="0"/>
            <w:r w:rsidRPr="006675DF">
              <w:rPr>
                <w:rFonts w:ascii="Calibri" w:hAnsi="Calibri" w:cs="Calibri"/>
              </w:rPr>
              <w:t>HJM Recycling</w:t>
            </w:r>
          </w:p>
          <w:p w:rsidR="006675DF" w:rsidRDefault="006675DF" w:rsidP="006675DF">
            <w:pPr>
              <w:pStyle w:val="Modtager"/>
              <w:rPr>
                <w:rFonts w:ascii="Calibri" w:hAnsi="Calibri" w:cs="Calibri"/>
              </w:rPr>
            </w:pPr>
            <w:r>
              <w:rPr>
                <w:rFonts w:ascii="Calibri" w:hAnsi="Calibri" w:cs="Calibri"/>
              </w:rPr>
              <w:t>Jesper Olsen, jo@hjmrecycling.dk</w:t>
            </w:r>
          </w:p>
          <w:p w:rsidR="006675DF" w:rsidRDefault="006675DF" w:rsidP="006675DF">
            <w:pPr>
              <w:pStyle w:val="Modtager"/>
              <w:rPr>
                <w:rFonts w:ascii="Calibri" w:hAnsi="Calibri" w:cs="Calibri"/>
              </w:rPr>
            </w:pPr>
            <w:r>
              <w:rPr>
                <w:rFonts w:ascii="Calibri" w:hAnsi="Calibri" w:cs="Calibri"/>
              </w:rPr>
              <w:t>Svend Flindt,</w:t>
            </w:r>
            <w:r>
              <w:t xml:space="preserve"> </w:t>
            </w:r>
            <w:r>
              <w:rPr>
                <w:rFonts w:ascii="Calibri" w:hAnsi="Calibri" w:cs="Calibri"/>
              </w:rPr>
              <w:t>flindt@miljodk.dk</w:t>
            </w:r>
          </w:p>
          <w:p w:rsidR="006675DF" w:rsidRPr="006675DF" w:rsidRDefault="006675DF" w:rsidP="006675DF">
            <w:pPr>
              <w:pStyle w:val="Modtager"/>
            </w:pPr>
            <w:r>
              <w:rPr>
                <w:rFonts w:ascii="Calibri" w:hAnsi="Calibri" w:cs="Calibri"/>
              </w:rPr>
              <w:t>Industrivej 6</w:t>
            </w:r>
          </w:p>
        </w:tc>
      </w:tr>
    </w:tbl>
    <w:p w:rsidR="003755AF" w:rsidRPr="006675DF"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6675DF" w:rsidTr="00AF12A7">
        <w:trPr>
          <w:trHeight w:val="397"/>
          <w:tblHeader/>
        </w:trPr>
        <w:tc>
          <w:tcPr>
            <w:tcW w:w="4196" w:type="dxa"/>
            <w:vAlign w:val="bottom"/>
          </w:tcPr>
          <w:p w:rsidR="003755AF" w:rsidRPr="006675DF" w:rsidRDefault="006675DF" w:rsidP="006675DF">
            <w:pPr>
              <w:pStyle w:val="KolofonFed"/>
            </w:pPr>
            <w:r w:rsidRPr="006675DF">
              <w:rPr>
                <w:rFonts w:ascii="Calibri" w:hAnsi="Calibri" w:cs="Calibri"/>
              </w:rPr>
              <w:t>Center for By Land og Vand</w:t>
            </w:r>
          </w:p>
        </w:tc>
      </w:tr>
    </w:tbl>
    <w:p w:rsidR="003755AF" w:rsidRPr="006675DF"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6675DF" w:rsidTr="00654F3D">
        <w:trPr>
          <w:trHeight w:val="1985"/>
          <w:tblHeader/>
        </w:trPr>
        <w:tc>
          <w:tcPr>
            <w:tcW w:w="2268" w:type="dxa"/>
          </w:tcPr>
          <w:p w:rsidR="006675DF" w:rsidRPr="006675DF" w:rsidRDefault="006675DF" w:rsidP="006675DF">
            <w:pPr>
              <w:pStyle w:val="Kolofon"/>
              <w:rPr>
                <w:rFonts w:ascii="Calibri" w:hAnsi="Calibri" w:cs="Calibri"/>
              </w:rPr>
            </w:pPr>
            <w:r w:rsidRPr="006675DF">
              <w:rPr>
                <w:rFonts w:ascii="Calibri" w:hAnsi="Calibri" w:cs="Calibri"/>
              </w:rPr>
              <w:t>Natur og Miljø</w:t>
            </w:r>
          </w:p>
          <w:p w:rsidR="006675DF" w:rsidRPr="006675DF" w:rsidRDefault="006675DF" w:rsidP="006675DF">
            <w:pPr>
              <w:pStyle w:val="Kolofon"/>
              <w:rPr>
                <w:rFonts w:ascii="Calibri" w:hAnsi="Calibri" w:cs="Calibri"/>
              </w:rPr>
            </w:pPr>
            <w:r w:rsidRPr="006675DF">
              <w:rPr>
                <w:rFonts w:ascii="Calibri" w:hAnsi="Calibri" w:cs="Calibri"/>
              </w:rPr>
              <w:t>Prøvestensvej 52</w:t>
            </w:r>
          </w:p>
          <w:p w:rsidR="006675DF" w:rsidRPr="006675DF" w:rsidRDefault="006675DF" w:rsidP="006675DF">
            <w:pPr>
              <w:pStyle w:val="Kolofon"/>
              <w:rPr>
                <w:rFonts w:ascii="Calibri" w:hAnsi="Calibri" w:cs="Calibri"/>
              </w:rPr>
            </w:pPr>
            <w:r w:rsidRPr="006675DF">
              <w:rPr>
                <w:rFonts w:ascii="Calibri" w:hAnsi="Calibri" w:cs="Calibri"/>
              </w:rPr>
              <w:t>3000 Helsingør</w:t>
            </w:r>
          </w:p>
          <w:p w:rsidR="006675DF" w:rsidRPr="006675DF" w:rsidRDefault="006675DF" w:rsidP="006675DF">
            <w:pPr>
              <w:pStyle w:val="KolofonAfstand"/>
            </w:pPr>
          </w:p>
          <w:p w:rsidR="006675DF" w:rsidRPr="006675DF" w:rsidRDefault="006675DF" w:rsidP="006675DF">
            <w:pPr>
              <w:pStyle w:val="Kolofon"/>
              <w:rPr>
                <w:rFonts w:ascii="Calibri" w:hAnsi="Calibri" w:cs="Calibri"/>
              </w:rPr>
            </w:pPr>
            <w:r w:rsidRPr="006675DF">
              <w:rPr>
                <w:rFonts w:ascii="Calibri" w:hAnsi="Calibri" w:cs="Calibri"/>
              </w:rPr>
              <w:t>Cvr nr. 64 50 20 18</w:t>
            </w:r>
          </w:p>
          <w:p w:rsidR="006675DF" w:rsidRPr="006675DF" w:rsidRDefault="006675DF" w:rsidP="006675DF">
            <w:pPr>
              <w:pStyle w:val="Kolofon"/>
              <w:rPr>
                <w:rFonts w:ascii="Calibri" w:hAnsi="Calibri" w:cs="Calibri"/>
              </w:rPr>
            </w:pPr>
            <w:r w:rsidRPr="006675DF">
              <w:rPr>
                <w:rFonts w:ascii="Calibri" w:hAnsi="Calibri" w:cs="Calibri"/>
              </w:rPr>
              <w:t>Dato 18. oktober 2022</w:t>
            </w:r>
          </w:p>
          <w:p w:rsidR="006675DF" w:rsidRPr="006675DF" w:rsidRDefault="006675DF" w:rsidP="006675DF">
            <w:pPr>
              <w:pStyle w:val="KolofonAfstand"/>
            </w:pPr>
          </w:p>
          <w:p w:rsidR="006675DF" w:rsidRPr="006675DF" w:rsidRDefault="006675DF" w:rsidP="006675DF">
            <w:pPr>
              <w:pStyle w:val="Kolofon"/>
              <w:rPr>
                <w:rFonts w:ascii="Calibri" w:hAnsi="Calibri" w:cs="Calibri"/>
              </w:rPr>
            </w:pPr>
            <w:r w:rsidRPr="006675DF">
              <w:rPr>
                <w:rFonts w:ascii="Calibri" w:hAnsi="Calibri" w:cs="Calibri"/>
                <w:b/>
              </w:rPr>
              <w:t>Malene Kamstrup</w:t>
            </w:r>
          </w:p>
          <w:p w:rsidR="006675DF" w:rsidRPr="006675DF" w:rsidRDefault="006675DF" w:rsidP="006675DF">
            <w:pPr>
              <w:pStyle w:val="Kolofon"/>
              <w:rPr>
                <w:rFonts w:ascii="Calibri" w:hAnsi="Calibri" w:cs="Calibri"/>
              </w:rPr>
            </w:pPr>
            <w:r w:rsidRPr="006675DF">
              <w:rPr>
                <w:rFonts w:ascii="Calibri" w:hAnsi="Calibri" w:cs="Calibri"/>
              </w:rPr>
              <w:t>Ingeniør</w:t>
            </w:r>
          </w:p>
          <w:p w:rsidR="006675DF" w:rsidRPr="006675DF" w:rsidRDefault="006675DF" w:rsidP="006675DF">
            <w:pPr>
              <w:pStyle w:val="Kolofon"/>
              <w:rPr>
                <w:rFonts w:ascii="Calibri" w:hAnsi="Calibri" w:cs="Calibri"/>
              </w:rPr>
            </w:pPr>
            <w:r w:rsidRPr="006675DF">
              <w:rPr>
                <w:rFonts w:ascii="Calibri" w:hAnsi="Calibri" w:cs="Calibri"/>
              </w:rPr>
              <w:t>Tlf. 49 28 24 54</w:t>
            </w:r>
          </w:p>
          <w:p w:rsidR="006675DF" w:rsidRPr="006675DF" w:rsidRDefault="006675DF" w:rsidP="006675DF">
            <w:pPr>
              <w:pStyle w:val="KolofonAfstand"/>
            </w:pPr>
          </w:p>
          <w:p w:rsidR="003755AF" w:rsidRPr="006675DF" w:rsidRDefault="006675DF" w:rsidP="006675DF">
            <w:pPr>
              <w:pStyle w:val="Kolofon"/>
            </w:pPr>
            <w:r w:rsidRPr="006675DF">
              <w:rPr>
                <w:rFonts w:ascii="Calibri" w:hAnsi="Calibri" w:cs="Calibri"/>
              </w:rPr>
              <w:t>www.helsingor.dk</w:t>
            </w:r>
          </w:p>
        </w:tc>
      </w:tr>
    </w:tbl>
    <w:p w:rsidR="003755AF" w:rsidRPr="006675DF" w:rsidRDefault="003755AF" w:rsidP="001C760A">
      <w:pPr>
        <w:spacing w:line="24" w:lineRule="auto"/>
      </w:pPr>
    </w:p>
    <w:p w:rsidR="003755AF" w:rsidRPr="006675DF"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6675DF" w:rsidTr="00AF12A7">
        <w:trPr>
          <w:trHeight w:val="2835"/>
          <w:tblHeader/>
        </w:trPr>
        <w:tc>
          <w:tcPr>
            <w:tcW w:w="2268" w:type="dxa"/>
            <w:vAlign w:val="bottom"/>
          </w:tcPr>
          <w:p w:rsidR="003755AF" w:rsidRPr="006675DF" w:rsidRDefault="003755AF" w:rsidP="00AF12A7">
            <w:pPr>
              <w:pStyle w:val="Kolofon"/>
            </w:pPr>
          </w:p>
        </w:tc>
      </w:tr>
    </w:tbl>
    <w:p w:rsidR="006675DF" w:rsidRDefault="006675DF" w:rsidP="006675DF">
      <w:pPr>
        <w:pStyle w:val="Overskrift1"/>
      </w:pPr>
      <w:r>
        <w:t>Miljøgodkendelse af maskine til neddeling og prøvetagning af keramisk katalysator samt til tre nye maskiner til opskæring af katalysatorer</w:t>
      </w:r>
    </w:p>
    <w:p w:rsidR="006675DF" w:rsidRDefault="006675DF" w:rsidP="006675DF">
      <w:pPr>
        <w:pStyle w:val="Overskrift1"/>
        <w:rPr>
          <w:b w:val="0"/>
        </w:rPr>
      </w:pPr>
      <w:r>
        <w:rPr>
          <w:b w:val="0"/>
        </w:rPr>
        <w:t xml:space="preserve">Svend Flindt har på dine vegne søgt om miljøgodkendelse </w:t>
      </w:r>
      <w:r w:rsidRPr="008806E7">
        <w:rPr>
          <w:b w:val="0"/>
        </w:rPr>
        <w:t>af maskine til neddeling af keramisk katalysator</w:t>
      </w:r>
      <w:r>
        <w:rPr>
          <w:b w:val="0"/>
        </w:rPr>
        <w:t xml:space="preserve">. Formålet med maskinen er at gøre det muligt at tage en ensartet prøve af katalysatormaterialet til analyse for ædle </w:t>
      </w:r>
      <w:r w:rsidRPr="004803F1">
        <w:rPr>
          <w:b w:val="0"/>
        </w:rPr>
        <w:t>metaller.</w:t>
      </w:r>
      <w:r w:rsidRPr="004803F1">
        <w:rPr>
          <w:rFonts w:eastAsiaTheme="minorHAnsi" w:cs="Times New Roman"/>
          <w:b w:val="0"/>
          <w:bCs w:val="0"/>
          <w:szCs w:val="20"/>
        </w:rPr>
        <w:t xml:space="preserve"> Svend Flindt har også søgt</w:t>
      </w:r>
      <w:r w:rsidRPr="004803F1">
        <w:rPr>
          <w:b w:val="0"/>
        </w:rPr>
        <w:t xml:space="preserve"> om miljøgodkendelse af tre nye maskiner, der kan skære katalysatorer op.</w:t>
      </w:r>
    </w:p>
    <w:p w:rsidR="006675DF" w:rsidRDefault="006675DF" w:rsidP="006675DF"/>
    <w:p w:rsidR="006675DF" w:rsidRPr="00AA6BF0" w:rsidRDefault="006675DF" w:rsidP="006675DF">
      <w:pPr>
        <w:rPr>
          <w:b/>
        </w:rPr>
      </w:pPr>
      <w:r>
        <w:rPr>
          <w:b/>
        </w:rPr>
        <w:t xml:space="preserve">Kommunens </w:t>
      </w:r>
      <w:r w:rsidRPr="00AA6BF0">
        <w:rPr>
          <w:b/>
        </w:rPr>
        <w:t>afgørelse</w:t>
      </w:r>
    </w:p>
    <w:p w:rsidR="006675DF" w:rsidRDefault="006675DF" w:rsidP="006675DF">
      <w:r>
        <w:t>Med hjemmel i miljøbeskyttelsesloven §33 meddeler Helsingør kommune miljøgodkendelse til etablering og drift af ny maskine – Separator size 2 fra Steinlein und Kunze gmbh – der kan behandle keramisk katalysatormateriale samt til etablering og drift af tre nye maskiner til at skære katalysatorer op på følgende vilkår:</w:t>
      </w:r>
    </w:p>
    <w:p w:rsidR="006675DF" w:rsidRDefault="006675DF" w:rsidP="006675DF"/>
    <w:p w:rsidR="006675DF" w:rsidRDefault="006675DF" w:rsidP="006675DF">
      <w:r w:rsidRPr="00A97B89">
        <w:t>Samtidig bortfalder miljøgodkendelse af 9. juni 2011 til anlæg til opskæring af katalysatorer med ændrede vilkår af 6. august 2012 og 10. april 2017.</w:t>
      </w:r>
    </w:p>
    <w:p w:rsidR="006675DF" w:rsidRDefault="006675DF" w:rsidP="006675DF"/>
    <w:p w:rsidR="006675DF" w:rsidRDefault="006675DF" w:rsidP="006675DF">
      <w:pPr>
        <w:pStyle w:val="Listeafsnit"/>
        <w:numPr>
          <w:ilvl w:val="0"/>
          <w:numId w:val="2"/>
        </w:numPr>
      </w:pPr>
      <w:r>
        <w:t>Godkendelsen bortfalder hvis den ikke er taget i brug inden den 1. september 2023.</w:t>
      </w:r>
    </w:p>
    <w:p w:rsidR="006675DF" w:rsidRDefault="006675DF" w:rsidP="006675DF">
      <w:pPr>
        <w:pStyle w:val="Listeafsnit"/>
      </w:pPr>
    </w:p>
    <w:p w:rsidR="006675DF" w:rsidRDefault="006675DF" w:rsidP="006675DF">
      <w:pPr>
        <w:pStyle w:val="Listeafsnit"/>
        <w:numPr>
          <w:ilvl w:val="0"/>
          <w:numId w:val="2"/>
        </w:numPr>
      </w:pPr>
      <w:r>
        <w:t>Et eksemplar af denne godkendelse skal være tilgængelig for de personer, der har ansvar for virksomhedens indretning og drift.</w:t>
      </w:r>
    </w:p>
    <w:p w:rsidR="006675DF" w:rsidRDefault="006675DF" w:rsidP="006675DF">
      <w:pPr>
        <w:pStyle w:val="Listeafsnit"/>
      </w:pPr>
    </w:p>
    <w:p w:rsidR="006675DF" w:rsidRDefault="006675DF" w:rsidP="006675DF">
      <w:pPr>
        <w:pStyle w:val="Listeafsnit"/>
        <w:numPr>
          <w:ilvl w:val="0"/>
          <w:numId w:val="2"/>
        </w:numPr>
      </w:pPr>
      <w:r>
        <w:t>Maskinen til prøvetagning må kun være i drift bag lukkede døre, porte og vinduer. Der må ikke være noget afkast med luft til det fri.</w:t>
      </w:r>
    </w:p>
    <w:p w:rsidR="006675DF" w:rsidRDefault="006675DF" w:rsidP="006675DF">
      <w:pPr>
        <w:pStyle w:val="Listeafsnit"/>
      </w:pPr>
    </w:p>
    <w:p w:rsidR="006675DF" w:rsidRPr="009524B7" w:rsidRDefault="006675DF" w:rsidP="006675DF">
      <w:pPr>
        <w:ind w:left="1304" w:hanging="1304"/>
        <w:rPr>
          <w:u w:val="single"/>
        </w:rPr>
      </w:pPr>
      <w:r w:rsidRPr="009524B7">
        <w:rPr>
          <w:u w:val="single"/>
        </w:rPr>
        <w:t>Indretning og drift</w:t>
      </w:r>
    </w:p>
    <w:p w:rsidR="006675DF" w:rsidRDefault="006675DF" w:rsidP="006675DF">
      <w:pPr>
        <w:numPr>
          <w:ilvl w:val="0"/>
          <w:numId w:val="2"/>
        </w:numPr>
        <w:spacing w:line="240" w:lineRule="auto"/>
        <w:rPr>
          <w:rFonts w:cs="Arial"/>
          <w:color w:val="000000"/>
        </w:rPr>
      </w:pPr>
      <w:r>
        <w:t xml:space="preserve">Virksomheden må opbevare op til </w:t>
      </w:r>
      <w:r>
        <w:rPr>
          <w:rFonts w:cs="Arial"/>
          <w:color w:val="000000"/>
        </w:rPr>
        <w:t xml:space="preserve">5.000 hele katalysatorer og op til </w:t>
      </w:r>
      <w:smartTag w:uri="urn:schemas-microsoft-com:office:smarttags" w:element="metricconverter">
        <w:smartTagPr>
          <w:attr w:name="ProductID" w:val="5.400 kg"/>
        </w:smartTagPr>
        <w:r>
          <w:rPr>
            <w:rFonts w:cs="Arial"/>
            <w:color w:val="000000"/>
          </w:rPr>
          <w:t>5.400 kg</w:t>
        </w:r>
      </w:smartTag>
      <w:r>
        <w:rPr>
          <w:rFonts w:cs="Arial"/>
          <w:color w:val="000000"/>
        </w:rPr>
        <w:t xml:space="preserve"> keramisk materiale fra katalysatorer i bigbags.</w:t>
      </w:r>
    </w:p>
    <w:p w:rsidR="006675DF" w:rsidRDefault="006675DF" w:rsidP="006675DF">
      <w:pPr>
        <w:rPr>
          <w:rFonts w:cs="Arial"/>
          <w:color w:val="000000"/>
        </w:rPr>
      </w:pPr>
    </w:p>
    <w:p w:rsidR="006675DF" w:rsidRDefault="006675DF" w:rsidP="006675DF">
      <w:pPr>
        <w:numPr>
          <w:ilvl w:val="0"/>
          <w:numId w:val="2"/>
        </w:numPr>
        <w:spacing w:line="240" w:lineRule="auto"/>
        <w:rPr>
          <w:rFonts w:cs="Arial"/>
          <w:color w:val="000000"/>
        </w:rPr>
      </w:pPr>
      <w:r>
        <w:rPr>
          <w:rFonts w:cs="Arial"/>
          <w:color w:val="000000"/>
        </w:rPr>
        <w:t xml:space="preserve">Afkast fra hvert af de tre anlæg til opskæring skal føres mindst </w:t>
      </w:r>
      <w:smartTag w:uri="urn:schemas-microsoft-com:office:smarttags" w:element="metricconverter">
        <w:smartTagPr>
          <w:attr w:name="ProductID" w:val="1 meter"/>
        </w:smartTagPr>
        <w:r>
          <w:rPr>
            <w:rFonts w:cs="Arial"/>
            <w:color w:val="000000"/>
          </w:rPr>
          <w:t>1 meter</w:t>
        </w:r>
      </w:smartTag>
      <w:r>
        <w:rPr>
          <w:rFonts w:cs="Arial"/>
          <w:color w:val="000000"/>
        </w:rPr>
        <w:t xml:space="preserve"> over tag.</w:t>
      </w:r>
    </w:p>
    <w:p w:rsidR="006675DF" w:rsidRDefault="006675DF" w:rsidP="006675DF">
      <w:pPr>
        <w:ind w:left="1304" w:hanging="1304"/>
        <w:rPr>
          <w:rFonts w:cs="Arial"/>
          <w:color w:val="000000"/>
        </w:rPr>
      </w:pPr>
    </w:p>
    <w:p w:rsidR="006675DF" w:rsidRDefault="006675DF" w:rsidP="006675DF">
      <w:pPr>
        <w:numPr>
          <w:ilvl w:val="0"/>
          <w:numId w:val="2"/>
        </w:numPr>
        <w:spacing w:line="240" w:lineRule="auto"/>
        <w:rPr>
          <w:rFonts w:cs="Arial"/>
          <w:color w:val="000000"/>
        </w:rPr>
      </w:pPr>
      <w:r>
        <w:rPr>
          <w:rFonts w:cs="Arial"/>
          <w:color w:val="000000"/>
        </w:rPr>
        <w:lastRenderedPageBreak/>
        <w:t>Ventilatorer og kompressore skal være placeret indendørs for at minimere støj i forhold til naboerne.</w:t>
      </w:r>
    </w:p>
    <w:p w:rsidR="006675DF" w:rsidRDefault="006675DF" w:rsidP="006675DF">
      <w:pPr>
        <w:ind w:left="1304" w:hanging="1304"/>
        <w:rPr>
          <w:rFonts w:cs="Arial"/>
          <w:color w:val="000000"/>
        </w:rPr>
      </w:pPr>
    </w:p>
    <w:p w:rsidR="006675DF" w:rsidRPr="00A30103" w:rsidRDefault="006675DF" w:rsidP="006675DF">
      <w:pPr>
        <w:numPr>
          <w:ilvl w:val="0"/>
          <w:numId w:val="2"/>
        </w:numPr>
        <w:spacing w:line="240" w:lineRule="auto"/>
      </w:pPr>
      <w:r>
        <w:rPr>
          <w:rFonts w:cs="Arial"/>
          <w:color w:val="000000"/>
        </w:rPr>
        <w:t>Det keramiske materiale fra katalysatorer skal opbevares indendørs.</w:t>
      </w:r>
    </w:p>
    <w:p w:rsidR="006675DF" w:rsidRDefault="006675DF" w:rsidP="006675DF"/>
    <w:p w:rsidR="006675DF" w:rsidRDefault="006675DF" w:rsidP="006675DF">
      <w:r w:rsidRPr="003610F9">
        <w:rPr>
          <w:u w:val="single"/>
        </w:rPr>
        <w:t>Grænser for emissioner til luft</w:t>
      </w:r>
    </w:p>
    <w:p w:rsidR="006675DF" w:rsidRDefault="006675DF" w:rsidP="006675DF">
      <w:pPr>
        <w:pStyle w:val="Listeafsnit"/>
        <w:numPr>
          <w:ilvl w:val="0"/>
          <w:numId w:val="2"/>
        </w:numPr>
      </w:pPr>
      <w:r>
        <w:t>For at sikre at grænser for b-værdier for støv, aluminium og krom er overholdt, skal hvert afkast fra anlæg til opskæring overholde en grænse for emission af støv på 0,7 mg/Nm</w:t>
      </w:r>
      <w:r w:rsidRPr="001C0B76">
        <w:rPr>
          <w:vertAlign w:val="superscript"/>
        </w:rPr>
        <w:t>3</w:t>
      </w:r>
      <w:r>
        <w:t>.</w:t>
      </w:r>
    </w:p>
    <w:p w:rsidR="006675DF" w:rsidRDefault="006675DF" w:rsidP="006675DF">
      <w:pPr>
        <w:ind w:left="720"/>
      </w:pPr>
    </w:p>
    <w:p w:rsidR="006675DF" w:rsidRPr="000A0678" w:rsidRDefault="006675DF" w:rsidP="006675DF">
      <w:pPr>
        <w:ind w:left="720"/>
      </w:pPr>
      <w:r w:rsidRPr="001C0B76">
        <w:t xml:space="preserve">Grænsen for emission er overholdt når resultatet af målinger og </w:t>
      </w:r>
      <w:r w:rsidRPr="000A0678">
        <w:t xml:space="preserve">beregninger efter vilkår 9 er mindre end grænsen. </w:t>
      </w:r>
    </w:p>
    <w:p w:rsidR="006675DF" w:rsidRPr="000A0678" w:rsidRDefault="006675DF" w:rsidP="006675DF">
      <w:r w:rsidRPr="000A0678">
        <w:t xml:space="preserve"> </w:t>
      </w:r>
    </w:p>
    <w:p w:rsidR="006675DF" w:rsidRPr="000A0678" w:rsidRDefault="006675DF" w:rsidP="006675DF">
      <w:pPr>
        <w:rPr>
          <w:rFonts w:cs="Arial"/>
          <w:color w:val="000000"/>
          <w:u w:val="single"/>
        </w:rPr>
      </w:pPr>
      <w:r w:rsidRPr="000A0678">
        <w:rPr>
          <w:rFonts w:cs="Arial"/>
          <w:color w:val="000000"/>
          <w:u w:val="single"/>
        </w:rPr>
        <w:t>Egenkontrol</w:t>
      </w:r>
    </w:p>
    <w:p w:rsidR="006675DF" w:rsidRDefault="006675DF" w:rsidP="006675DF">
      <w:pPr>
        <w:pStyle w:val="Listeafsnit"/>
        <w:numPr>
          <w:ilvl w:val="0"/>
          <w:numId w:val="2"/>
        </w:numPr>
        <w:spacing w:line="240" w:lineRule="auto"/>
        <w:rPr>
          <w:rFonts w:cs="Arial"/>
          <w:color w:val="000000"/>
        </w:rPr>
      </w:pPr>
      <w:r w:rsidRPr="000A0678">
        <w:rPr>
          <w:rFonts w:cs="Arial"/>
          <w:color w:val="000000"/>
        </w:rPr>
        <w:t>Virksomheden skal vise, at den overholder grænsen i vilkår 8 med en årlig præstationskontrol. Med præstationskontrol menes målinger, der</w:t>
      </w:r>
      <w:r w:rsidRPr="001C0B76">
        <w:rPr>
          <w:rFonts w:cs="Arial"/>
          <w:color w:val="000000"/>
        </w:rPr>
        <w:t xml:space="preserve"> er foretaget under normal og maksimal drift, og hvor man forventer størst emission. Målingerne skal foretages akkrediteret og efter Miljøstyrelsens metodeblad MEL8a</w:t>
      </w:r>
      <w:r>
        <w:rPr>
          <w:rFonts w:cs="Arial"/>
          <w:color w:val="000000"/>
        </w:rPr>
        <w:t xml:space="preserve"> og MEL22</w:t>
      </w:r>
      <w:r w:rsidRPr="001C0B76">
        <w:rPr>
          <w:rFonts w:cs="Arial"/>
          <w:color w:val="000000"/>
        </w:rPr>
        <w:t>.</w:t>
      </w:r>
    </w:p>
    <w:p w:rsidR="006675DF" w:rsidRDefault="006675DF" w:rsidP="006675DF">
      <w:pPr>
        <w:spacing w:line="240" w:lineRule="auto"/>
        <w:rPr>
          <w:rFonts w:cs="Arial"/>
          <w:color w:val="000000"/>
        </w:rPr>
      </w:pPr>
    </w:p>
    <w:p w:rsidR="006675DF" w:rsidRDefault="006675DF" w:rsidP="006675DF">
      <w:pPr>
        <w:tabs>
          <w:tab w:val="left" w:pos="1418"/>
          <w:tab w:val="left" w:pos="1701"/>
        </w:tabs>
        <w:ind w:left="709"/>
      </w:pPr>
      <w:r>
        <w:t>Målingerne skal foretages hvert år. Viser det sig et år, at emissionen af støv er mindre end 0,375 mg/Nm3 for en af afkastene, behøver virksomheden ikke at måle emissionen for dette afkast det følgende år.</w:t>
      </w:r>
    </w:p>
    <w:p w:rsidR="006675DF" w:rsidRDefault="006675DF" w:rsidP="006675DF">
      <w:pPr>
        <w:tabs>
          <w:tab w:val="left" w:pos="1418"/>
          <w:tab w:val="left" w:pos="1701"/>
        </w:tabs>
        <w:ind w:left="1134" w:hanging="1134"/>
      </w:pPr>
    </w:p>
    <w:p w:rsidR="006675DF" w:rsidRDefault="006675DF" w:rsidP="006675DF">
      <w:pPr>
        <w:spacing w:line="240" w:lineRule="auto"/>
        <w:ind w:left="1134" w:hanging="425"/>
      </w:pPr>
      <w:r>
        <w:t xml:space="preserve">Resultatet af målingen skal sendes til kommunen højst en måned efter </w:t>
      </w:r>
    </w:p>
    <w:p w:rsidR="006675DF" w:rsidRDefault="006675DF" w:rsidP="006675DF">
      <w:pPr>
        <w:spacing w:line="240" w:lineRule="auto"/>
        <w:ind w:left="709"/>
        <w:rPr>
          <w:rFonts w:cs="Arial"/>
          <w:color w:val="000000"/>
        </w:rPr>
      </w:pPr>
      <w:r>
        <w:t xml:space="preserve">Den er gennemført. Næste </w:t>
      </w:r>
      <w:r>
        <w:rPr>
          <w:rFonts w:cs="Arial"/>
          <w:color w:val="000000"/>
        </w:rPr>
        <w:t>måling skal gennemføres inden den 1. februar 2024.</w:t>
      </w:r>
    </w:p>
    <w:p w:rsidR="006675DF" w:rsidRDefault="006675DF" w:rsidP="006675DF">
      <w:pPr>
        <w:rPr>
          <w:rFonts w:cs="Arial"/>
          <w:color w:val="000000"/>
        </w:rPr>
      </w:pPr>
    </w:p>
    <w:p w:rsidR="006675DF" w:rsidRPr="00AB5A81" w:rsidRDefault="006675DF" w:rsidP="006675DF">
      <w:pPr>
        <w:pStyle w:val="Listeafsnit"/>
        <w:numPr>
          <w:ilvl w:val="0"/>
          <w:numId w:val="2"/>
        </w:numPr>
        <w:rPr>
          <w:rFonts w:eastAsia="Times New Roman"/>
        </w:rPr>
      </w:pPr>
      <w:r>
        <w:t xml:space="preserve">Virksomheden skal </w:t>
      </w:r>
      <w:r>
        <w:rPr>
          <w:rFonts w:eastAsia="Times New Roman"/>
        </w:rPr>
        <w:t>tage</w:t>
      </w:r>
      <w:r w:rsidRPr="00AB5A81">
        <w:rPr>
          <w:rFonts w:eastAsia="Times New Roman"/>
        </w:rPr>
        <w:t xml:space="preserve"> </w:t>
      </w:r>
      <w:r>
        <w:rPr>
          <w:rFonts w:eastAsia="Times New Roman"/>
        </w:rPr>
        <w:t>filterkassetterne ud af filtrene til de tre anlæg til opskæring</w:t>
      </w:r>
      <w:r w:rsidRPr="00AB5A81">
        <w:rPr>
          <w:rFonts w:eastAsia="Times New Roman"/>
        </w:rPr>
        <w:t xml:space="preserve">, </w:t>
      </w:r>
      <w:r>
        <w:rPr>
          <w:rFonts w:eastAsia="Times New Roman"/>
        </w:rPr>
        <w:t>støvsuge filterdugen og efterse</w:t>
      </w:r>
      <w:r w:rsidRPr="00AB5A81">
        <w:rPr>
          <w:rFonts w:eastAsia="Times New Roman"/>
        </w:rPr>
        <w:t xml:space="preserve"> den for huller og revner mindst en gang om ugen efter producentens anvisning. Er der en uge uden filteret er i brug, er det dog ikke nødvendigt at tilse filteret.</w:t>
      </w:r>
    </w:p>
    <w:p w:rsidR="006675DF" w:rsidRDefault="006675DF" w:rsidP="006675DF">
      <w:pPr>
        <w:ind w:left="1304" w:hanging="1304"/>
        <w:rPr>
          <w:rFonts w:eastAsia="Times New Roman"/>
        </w:rPr>
      </w:pPr>
    </w:p>
    <w:p w:rsidR="006675DF" w:rsidRDefault="006675DF" w:rsidP="006675DF">
      <w:pPr>
        <w:ind w:left="709"/>
        <w:rPr>
          <w:rFonts w:eastAsia="Times New Roman"/>
        </w:rPr>
      </w:pPr>
      <w:r>
        <w:rPr>
          <w:rFonts w:eastAsia="Times New Roman"/>
        </w:rPr>
        <w:t xml:space="preserve">Skulle der være et hul, må filteret ikke bruges før kassetten er skiftet ud med en ny. </w:t>
      </w:r>
    </w:p>
    <w:p w:rsidR="006675DF" w:rsidRDefault="006675DF" w:rsidP="006675DF">
      <w:pPr>
        <w:ind w:left="709"/>
        <w:rPr>
          <w:rFonts w:eastAsia="Times New Roman"/>
        </w:rPr>
      </w:pPr>
    </w:p>
    <w:p w:rsidR="006675DF" w:rsidRDefault="006675DF" w:rsidP="006675DF">
      <w:pPr>
        <w:ind w:left="709"/>
        <w:rPr>
          <w:rFonts w:eastAsia="Times New Roman"/>
        </w:rPr>
      </w:pPr>
      <w:r>
        <w:rPr>
          <w:rFonts w:eastAsia="Times New Roman"/>
        </w:rPr>
        <w:t xml:space="preserve">Virksomheden skal føre tilsynene og resultat i journal sammen med oplysning om filtrenes driftstid. Virksomheden skal gemme journalen i mindst et år og vise den til kommunen ved tilsyn. </w:t>
      </w:r>
    </w:p>
    <w:p w:rsidR="006675DF" w:rsidRDefault="006675DF" w:rsidP="006675DF">
      <w:pPr>
        <w:rPr>
          <w:rFonts w:cs="Arial"/>
          <w:color w:val="000000"/>
        </w:rPr>
      </w:pPr>
    </w:p>
    <w:p w:rsidR="006675DF" w:rsidRPr="0085533A" w:rsidRDefault="006675DF" w:rsidP="006675DF">
      <w:pPr>
        <w:rPr>
          <w:u w:val="single"/>
        </w:rPr>
      </w:pPr>
      <w:r w:rsidRPr="0085533A">
        <w:rPr>
          <w:u w:val="single"/>
        </w:rPr>
        <w:t>Støj</w:t>
      </w:r>
    </w:p>
    <w:p w:rsidR="006675DF" w:rsidRDefault="006675DF" w:rsidP="006675DF">
      <w:pPr>
        <w:pStyle w:val="Listeafsnit"/>
        <w:numPr>
          <w:ilvl w:val="0"/>
          <w:numId w:val="2"/>
        </w:numPr>
      </w:pPr>
      <w:r>
        <w:t>V</w:t>
      </w:r>
      <w:r w:rsidRPr="0085533A">
        <w:t>irksomheden</w:t>
      </w:r>
      <w:r>
        <w:t xml:space="preserve"> må</w:t>
      </w:r>
      <w:r w:rsidRPr="0085533A">
        <w:t xml:space="preserve"> ikke</w:t>
      </w:r>
      <w:r>
        <w:t xml:space="preserve"> </w:t>
      </w:r>
      <w:r w:rsidRPr="0085533A">
        <w:t xml:space="preserve">modtage og håndtere andet skrot end katalysatorer på de dage, hvor den arbejder med katalysatorer. </w:t>
      </w:r>
    </w:p>
    <w:p w:rsidR="006675DF" w:rsidRDefault="006675DF" w:rsidP="006675DF">
      <w:pPr>
        <w:pStyle w:val="Listeafsnit"/>
      </w:pPr>
    </w:p>
    <w:p w:rsidR="006675DF" w:rsidRDefault="006675DF" w:rsidP="006675DF">
      <w:pPr>
        <w:pStyle w:val="Listeafsnit"/>
      </w:pPr>
      <w:r>
        <w:lastRenderedPageBreak/>
        <w:t xml:space="preserve">Virksomheden må ikke bruge </w:t>
      </w:r>
      <w:r w:rsidRPr="00F35DC4">
        <w:t xml:space="preserve">Separator size 2 </w:t>
      </w:r>
      <w:r>
        <w:t xml:space="preserve">eller maskiner til at skære katalysatorer op på de dage, hvor virksomheden modtagerer eller håndterer andet skrot. </w:t>
      </w:r>
    </w:p>
    <w:p w:rsidR="006675DF" w:rsidRDefault="006675DF" w:rsidP="006675DF">
      <w:pPr>
        <w:pStyle w:val="Listeafsnit"/>
      </w:pPr>
    </w:p>
    <w:p w:rsidR="006675DF" w:rsidRPr="005A05C0" w:rsidRDefault="006675DF" w:rsidP="006675DF">
      <w:pPr>
        <w:rPr>
          <w:b/>
          <w:u w:val="single"/>
        </w:rPr>
      </w:pPr>
      <w:r w:rsidRPr="005A05C0">
        <w:rPr>
          <w:b/>
          <w:u w:val="single"/>
        </w:rPr>
        <w:t>Baggrund</w:t>
      </w:r>
    </w:p>
    <w:p w:rsidR="006675DF" w:rsidRPr="005A05C0" w:rsidRDefault="006675DF" w:rsidP="006675DF">
      <w:pPr>
        <w:autoSpaceDE w:val="0"/>
        <w:autoSpaceDN w:val="0"/>
        <w:adjustRightInd w:val="0"/>
        <w:spacing w:line="240" w:lineRule="auto"/>
        <w:rPr>
          <w:rFonts w:cstheme="minorHAnsi"/>
          <w:b/>
          <w:szCs w:val="22"/>
        </w:rPr>
      </w:pPr>
      <w:r w:rsidRPr="005A05C0">
        <w:rPr>
          <w:rFonts w:cstheme="minorHAnsi"/>
          <w:b/>
          <w:szCs w:val="22"/>
        </w:rPr>
        <w:t>Maskine til prøvetagning</w:t>
      </w:r>
      <w:r>
        <w:rPr>
          <w:rFonts w:cstheme="minorHAnsi"/>
          <w:b/>
          <w:szCs w:val="22"/>
        </w:rPr>
        <w:t xml:space="preserve"> - </w:t>
      </w:r>
      <w:r w:rsidRPr="00F35DC4">
        <w:rPr>
          <w:rFonts w:cstheme="minorHAnsi"/>
          <w:b/>
          <w:szCs w:val="22"/>
        </w:rPr>
        <w:t>Separator size 2</w:t>
      </w:r>
    </w:p>
    <w:p w:rsidR="006675DF" w:rsidRPr="007676D7" w:rsidRDefault="006675DF" w:rsidP="006675DF">
      <w:pPr>
        <w:autoSpaceDE w:val="0"/>
        <w:autoSpaceDN w:val="0"/>
        <w:adjustRightInd w:val="0"/>
        <w:spacing w:line="240" w:lineRule="auto"/>
        <w:rPr>
          <w:rFonts w:cstheme="minorHAnsi"/>
          <w:szCs w:val="22"/>
        </w:rPr>
      </w:pPr>
      <w:r w:rsidRPr="007676D7">
        <w:rPr>
          <w:rFonts w:cstheme="minorHAnsi"/>
          <w:szCs w:val="22"/>
        </w:rPr>
        <w:t>Virksomheden øn</w:t>
      </w:r>
      <w:r>
        <w:rPr>
          <w:rFonts w:cstheme="minorHAnsi"/>
          <w:szCs w:val="22"/>
        </w:rPr>
        <w:t xml:space="preserve">sker bedre kontrol med </w:t>
      </w:r>
      <w:r w:rsidRPr="007676D7">
        <w:rPr>
          <w:rFonts w:cstheme="minorHAnsi"/>
          <w:szCs w:val="22"/>
        </w:rPr>
        <w:t xml:space="preserve">indhold </w:t>
      </w:r>
      <w:r>
        <w:rPr>
          <w:rFonts w:cstheme="minorHAnsi"/>
          <w:szCs w:val="22"/>
        </w:rPr>
        <w:t>af ædelmetaller af den afsendte monolit fra de</w:t>
      </w:r>
      <w:r w:rsidRPr="007676D7">
        <w:rPr>
          <w:rFonts w:cstheme="minorHAnsi"/>
          <w:szCs w:val="22"/>
        </w:rPr>
        <w:t xml:space="preserve"> opskårne katalysatorer</w:t>
      </w:r>
      <w:r>
        <w:rPr>
          <w:rFonts w:cstheme="minorHAnsi"/>
          <w:szCs w:val="22"/>
        </w:rPr>
        <w:t>, før de bliver sendt til T</w:t>
      </w:r>
      <w:r w:rsidRPr="007676D7">
        <w:rPr>
          <w:rFonts w:cstheme="minorHAnsi"/>
          <w:szCs w:val="22"/>
        </w:rPr>
        <w:t>yskland</w:t>
      </w:r>
      <w:r>
        <w:rPr>
          <w:rFonts w:cstheme="minorHAnsi"/>
          <w:szCs w:val="22"/>
        </w:rPr>
        <w:t xml:space="preserve"> </w:t>
      </w:r>
      <w:r w:rsidRPr="007676D7">
        <w:rPr>
          <w:rFonts w:cstheme="minorHAnsi"/>
          <w:szCs w:val="22"/>
        </w:rPr>
        <w:t>for endelig udvinding.</w:t>
      </w:r>
      <w:r>
        <w:rPr>
          <w:rFonts w:cstheme="minorHAnsi"/>
          <w:szCs w:val="22"/>
        </w:rPr>
        <w:t xml:space="preserve"> T</w:t>
      </w:r>
      <w:r w:rsidRPr="007676D7">
        <w:rPr>
          <w:rFonts w:cstheme="minorHAnsi"/>
          <w:szCs w:val="22"/>
        </w:rPr>
        <w:t>il dette for</w:t>
      </w:r>
      <w:r>
        <w:rPr>
          <w:rFonts w:cstheme="minorHAnsi"/>
          <w:szCs w:val="22"/>
        </w:rPr>
        <w:t>mål påtænkes at indkøbe et test</w:t>
      </w:r>
      <w:r w:rsidRPr="007676D7">
        <w:rPr>
          <w:rFonts w:cstheme="minorHAnsi"/>
          <w:szCs w:val="22"/>
        </w:rPr>
        <w:t>anlæg</w:t>
      </w:r>
      <w:r>
        <w:rPr>
          <w:rFonts w:cstheme="minorHAnsi"/>
          <w:szCs w:val="22"/>
        </w:rPr>
        <w:t>,</w:t>
      </w:r>
      <w:r w:rsidRPr="007676D7">
        <w:rPr>
          <w:rFonts w:cstheme="minorHAnsi"/>
          <w:szCs w:val="22"/>
        </w:rPr>
        <w:t xml:space="preserve"> som er i</w:t>
      </w:r>
      <w:r>
        <w:rPr>
          <w:rFonts w:cstheme="minorHAnsi"/>
          <w:szCs w:val="22"/>
        </w:rPr>
        <w:t xml:space="preserve"> </w:t>
      </w:r>
      <w:r w:rsidRPr="007676D7">
        <w:rPr>
          <w:rFonts w:cstheme="minorHAnsi"/>
          <w:szCs w:val="22"/>
        </w:rPr>
        <w:t>stand til at</w:t>
      </w:r>
      <w:r>
        <w:rPr>
          <w:rFonts w:cstheme="minorHAnsi"/>
          <w:szCs w:val="22"/>
        </w:rPr>
        <w:t xml:space="preserve"> tage en prøve til</w:t>
      </w:r>
      <w:r w:rsidRPr="007676D7">
        <w:rPr>
          <w:rFonts w:cstheme="minorHAnsi"/>
          <w:szCs w:val="22"/>
        </w:rPr>
        <w:t xml:space="preserve"> analyse </w:t>
      </w:r>
      <w:r>
        <w:rPr>
          <w:rFonts w:cstheme="minorHAnsi"/>
          <w:szCs w:val="22"/>
        </w:rPr>
        <w:t>af indholdet af ædelmet</w:t>
      </w:r>
      <w:r w:rsidRPr="007676D7">
        <w:rPr>
          <w:rFonts w:cstheme="minorHAnsi"/>
          <w:szCs w:val="22"/>
        </w:rPr>
        <w:t>aller. Derved opnår</w:t>
      </w:r>
      <w:r>
        <w:rPr>
          <w:rFonts w:cstheme="minorHAnsi"/>
          <w:szCs w:val="22"/>
        </w:rPr>
        <w:t xml:space="preserve"> </w:t>
      </w:r>
      <w:r w:rsidRPr="007676D7">
        <w:rPr>
          <w:rFonts w:cstheme="minorHAnsi"/>
          <w:szCs w:val="22"/>
        </w:rPr>
        <w:t>virksomheden en kontrol af den tilbagemelding</w:t>
      </w:r>
      <w:r>
        <w:rPr>
          <w:rFonts w:cstheme="minorHAnsi"/>
          <w:szCs w:val="22"/>
        </w:rPr>
        <w:t>,</w:t>
      </w:r>
      <w:r w:rsidRPr="007676D7">
        <w:rPr>
          <w:rFonts w:cstheme="minorHAnsi"/>
          <w:szCs w:val="22"/>
        </w:rPr>
        <w:t xml:space="preserve"> virksomh</w:t>
      </w:r>
      <w:r>
        <w:rPr>
          <w:rFonts w:cstheme="minorHAnsi"/>
          <w:szCs w:val="22"/>
        </w:rPr>
        <w:t xml:space="preserve">eden modtager i forbindelse med </w:t>
      </w:r>
      <w:r w:rsidRPr="007676D7">
        <w:rPr>
          <w:rFonts w:cstheme="minorHAnsi"/>
          <w:szCs w:val="22"/>
        </w:rPr>
        <w:t>afregning fra den tyske aftager.</w:t>
      </w:r>
    </w:p>
    <w:p w:rsidR="006675DF" w:rsidRPr="007676D7" w:rsidRDefault="006675DF" w:rsidP="006675DF">
      <w:pPr>
        <w:rPr>
          <w:rFonts w:cstheme="minorHAnsi"/>
          <w:szCs w:val="22"/>
        </w:rPr>
      </w:pPr>
    </w:p>
    <w:p w:rsidR="006675DF" w:rsidRPr="003725E6" w:rsidRDefault="006675DF" w:rsidP="006675DF">
      <w:pPr>
        <w:pStyle w:val="FormateretHTML"/>
        <w:rPr>
          <w:rFonts w:asciiTheme="minorHAnsi" w:eastAsiaTheme="minorHAnsi" w:hAnsiTheme="minorHAnsi" w:cstheme="minorHAnsi"/>
          <w:sz w:val="22"/>
          <w:szCs w:val="22"/>
          <w:lang w:eastAsia="en-US"/>
        </w:rPr>
      </w:pPr>
      <w:r w:rsidRPr="003725E6">
        <w:rPr>
          <w:rFonts w:asciiTheme="minorHAnsi" w:eastAsiaTheme="minorHAnsi" w:hAnsiTheme="minorHAnsi" w:cstheme="minorHAnsi"/>
          <w:sz w:val="22"/>
          <w:szCs w:val="22"/>
          <w:lang w:eastAsia="en-US"/>
        </w:rPr>
        <w:t>Vi</w:t>
      </w:r>
      <w:r>
        <w:rPr>
          <w:rFonts w:asciiTheme="minorHAnsi" w:eastAsiaTheme="minorHAnsi" w:hAnsiTheme="minorHAnsi" w:cstheme="minorHAnsi"/>
          <w:sz w:val="22"/>
          <w:szCs w:val="22"/>
          <w:lang w:eastAsia="en-US"/>
        </w:rPr>
        <w:t>rksomheden har valgt en maskine</w:t>
      </w:r>
      <w:r w:rsidRPr="003725E6">
        <w:rPr>
          <w:rFonts w:asciiTheme="minorHAnsi" w:eastAsiaTheme="minorHAnsi" w:hAnsiTheme="minorHAnsi" w:cstheme="minorHAnsi"/>
          <w:sz w:val="22"/>
          <w:szCs w:val="22"/>
          <w:lang w:eastAsia="en-US"/>
        </w:rPr>
        <w:t xml:space="preserve"> - separator size 2 – fra Steinlein &amp; Kunze GMBH. Hele processen foregår ved at i den ene ende af systemet hældes monolitten i maskinen. Her er monteret sug så evt. støv suges ind i maskinen og ikke </w:t>
      </w:r>
      <w:r>
        <w:rPr>
          <w:rFonts w:asciiTheme="minorHAnsi" w:eastAsiaTheme="minorHAnsi" w:hAnsiTheme="minorHAnsi" w:cstheme="minorHAnsi"/>
          <w:sz w:val="22"/>
          <w:szCs w:val="22"/>
          <w:lang w:eastAsia="en-US"/>
        </w:rPr>
        <w:t xml:space="preserve">flyver </w:t>
      </w:r>
      <w:r w:rsidRPr="003725E6">
        <w:rPr>
          <w:rFonts w:asciiTheme="minorHAnsi" w:eastAsiaTheme="minorHAnsi" w:hAnsiTheme="minorHAnsi" w:cstheme="minorHAnsi"/>
          <w:sz w:val="22"/>
          <w:szCs w:val="22"/>
          <w:lang w:eastAsia="en-US"/>
        </w:rPr>
        <w:t>ud i omgivelserne</w:t>
      </w:r>
      <w:r>
        <w:rPr>
          <w:rFonts w:asciiTheme="minorHAnsi" w:eastAsiaTheme="minorHAnsi" w:hAnsiTheme="minorHAnsi" w:cstheme="minorHAnsi"/>
          <w:sz w:val="22"/>
          <w:szCs w:val="22"/>
          <w:lang w:eastAsia="en-US"/>
        </w:rPr>
        <w:t xml:space="preserve">. </w:t>
      </w:r>
      <w:r w:rsidRPr="003725E6">
        <w:rPr>
          <w:rFonts w:asciiTheme="minorHAnsi" w:eastAsiaTheme="minorHAnsi" w:hAnsiTheme="minorHAnsi" w:cstheme="minorHAnsi"/>
          <w:sz w:val="22"/>
          <w:szCs w:val="22"/>
          <w:lang w:eastAsia="en-US"/>
        </w:rPr>
        <w:t>Monolitten transporteres igennem de forskellige stationer inde i maskinen. Producenten oplyser, at hjertet i maskinen er en kuglemølle, hvor keramikken knuses til d</w:t>
      </w:r>
      <w:r>
        <w:rPr>
          <w:rFonts w:asciiTheme="minorHAnsi" w:eastAsiaTheme="minorHAnsi" w:hAnsiTheme="minorHAnsi" w:cstheme="minorHAnsi"/>
          <w:sz w:val="22"/>
          <w:szCs w:val="22"/>
          <w:lang w:eastAsia="en-US"/>
        </w:rPr>
        <w:t>en ønskede kornstørrelse, og urenheder</w:t>
      </w:r>
      <w:r w:rsidRPr="003725E6">
        <w:rPr>
          <w:rFonts w:asciiTheme="minorHAnsi" w:eastAsiaTheme="minorHAnsi" w:hAnsiTheme="minorHAnsi" w:cstheme="minorHAnsi"/>
          <w:sz w:val="22"/>
          <w:szCs w:val="22"/>
          <w:lang w:eastAsia="en-US"/>
        </w:rPr>
        <w:t xml:space="preserve"> såsom flanger, skruer osv. </w:t>
      </w:r>
      <w:r>
        <w:rPr>
          <w:rFonts w:asciiTheme="minorHAnsi" w:eastAsiaTheme="minorHAnsi" w:hAnsiTheme="minorHAnsi" w:cstheme="minorHAnsi"/>
          <w:sz w:val="22"/>
          <w:szCs w:val="22"/>
          <w:lang w:eastAsia="en-US"/>
        </w:rPr>
        <w:t>s</w:t>
      </w:r>
      <w:r w:rsidRPr="003725E6">
        <w:rPr>
          <w:rFonts w:asciiTheme="minorHAnsi" w:eastAsiaTheme="minorHAnsi" w:hAnsiTheme="minorHAnsi" w:cstheme="minorHAnsi"/>
          <w:sz w:val="22"/>
          <w:szCs w:val="22"/>
          <w:lang w:eastAsia="en-US"/>
        </w:rPr>
        <w:t>orteres fra. Efter knusningen</w:t>
      </w:r>
      <w:r w:rsidRPr="00F13A21">
        <w:rPr>
          <w:rFonts w:asciiTheme="minorHAnsi" w:eastAsiaTheme="minorHAnsi" w:hAnsiTheme="minorHAnsi" w:cstheme="minorHAnsi"/>
          <w:sz w:val="22"/>
          <w:szCs w:val="22"/>
          <w:lang w:eastAsia="en-US"/>
        </w:rPr>
        <w:t xml:space="preserve"> begynder prøveudtagni</w:t>
      </w:r>
      <w:r>
        <w:rPr>
          <w:rFonts w:asciiTheme="minorHAnsi" w:eastAsiaTheme="minorHAnsi" w:hAnsiTheme="minorHAnsi" w:cstheme="minorHAnsi"/>
          <w:sz w:val="22"/>
          <w:szCs w:val="22"/>
          <w:lang w:eastAsia="en-US"/>
        </w:rPr>
        <w:t>ngen:</w:t>
      </w:r>
      <w:r w:rsidRPr="003725E6">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D</w:t>
      </w:r>
      <w:r w:rsidRPr="003725E6">
        <w:rPr>
          <w:rFonts w:asciiTheme="minorHAnsi" w:eastAsiaTheme="minorHAnsi" w:hAnsiTheme="minorHAnsi" w:cstheme="minorHAnsi"/>
          <w:sz w:val="22"/>
          <w:szCs w:val="22"/>
          <w:lang w:eastAsia="en-US"/>
        </w:rPr>
        <w:t>et knuste materiale</w:t>
      </w:r>
      <w:r w:rsidRPr="00F13A21">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føres gennem en roterende</w:t>
      </w:r>
      <w:r w:rsidRPr="003725E6">
        <w:rPr>
          <w:rFonts w:asciiTheme="minorHAnsi" w:eastAsiaTheme="minorHAnsi" w:hAnsiTheme="minorHAnsi" w:cstheme="minorHAnsi"/>
          <w:sz w:val="22"/>
          <w:szCs w:val="22"/>
          <w:lang w:eastAsia="en-US"/>
        </w:rPr>
        <w:t xml:space="preserve"> prøve</w:t>
      </w:r>
      <w:r>
        <w:rPr>
          <w:rFonts w:asciiTheme="minorHAnsi" w:eastAsiaTheme="minorHAnsi" w:hAnsiTheme="minorHAnsi" w:cstheme="minorHAnsi"/>
          <w:sz w:val="22"/>
          <w:szCs w:val="22"/>
          <w:lang w:eastAsia="en-US"/>
        </w:rPr>
        <w:t>deler</w:t>
      </w:r>
      <w:r w:rsidRPr="00F13A21">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hvor der automatisk tages en repræsentativ prøve. Efter prøvetagning ledes materialet til en bigbag. Systemet</w:t>
      </w:r>
      <w:r w:rsidRPr="003725E6">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er styret</w:t>
      </w:r>
      <w:r w:rsidRPr="003725E6">
        <w:rPr>
          <w:rFonts w:asciiTheme="minorHAnsi" w:eastAsiaTheme="minorHAnsi" w:hAnsiTheme="minorHAnsi" w:cstheme="minorHAnsi"/>
          <w:sz w:val="22"/>
          <w:szCs w:val="22"/>
          <w:lang w:eastAsia="en-US"/>
        </w:rPr>
        <w:t xml:space="preserve"> af en PLC og fungerer fuldt ud automatisk.</w:t>
      </w:r>
    </w:p>
    <w:p w:rsidR="006675DF" w:rsidRDefault="006675DF" w:rsidP="006675DF"/>
    <w:p w:rsidR="006675DF" w:rsidRDefault="006675DF" w:rsidP="006675DF">
      <w:r>
        <w:rPr>
          <w:noProof/>
          <w:lang w:eastAsia="da-DK"/>
        </w:rPr>
        <w:drawing>
          <wp:inline distT="0" distB="0" distL="0" distR="0" wp14:anchorId="599C363A" wp14:editId="58D92FF4">
            <wp:extent cx="4716145" cy="3030855"/>
            <wp:effectExtent l="0" t="0" r="825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6145" cy="3030855"/>
                    </a:xfrm>
                    <a:prstGeom prst="rect">
                      <a:avLst/>
                    </a:prstGeom>
                  </pic:spPr>
                </pic:pic>
              </a:graphicData>
            </a:graphic>
          </wp:inline>
        </w:drawing>
      </w:r>
    </w:p>
    <w:p w:rsidR="006675DF" w:rsidRDefault="006675DF" w:rsidP="006675DF">
      <w:pPr>
        <w:rPr>
          <w:rFonts w:cstheme="minorHAnsi"/>
          <w:szCs w:val="22"/>
        </w:rPr>
      </w:pPr>
    </w:p>
    <w:p w:rsidR="006675DF" w:rsidRDefault="006675DF" w:rsidP="006675DF">
      <w:pPr>
        <w:rPr>
          <w:rFonts w:cstheme="minorHAnsi"/>
          <w:szCs w:val="22"/>
        </w:rPr>
      </w:pPr>
      <w:r>
        <w:rPr>
          <w:rFonts w:cstheme="minorHAnsi"/>
          <w:szCs w:val="22"/>
        </w:rPr>
        <w:t xml:space="preserve">Figur 1: Fra højre: </w:t>
      </w:r>
    </w:p>
    <w:p w:rsidR="006675DF" w:rsidRDefault="006675DF" w:rsidP="006675DF">
      <w:pPr>
        <w:pStyle w:val="Listeafsnit"/>
        <w:numPr>
          <w:ilvl w:val="0"/>
          <w:numId w:val="3"/>
        </w:numPr>
        <w:rPr>
          <w:rFonts w:cstheme="minorHAnsi"/>
          <w:szCs w:val="22"/>
        </w:rPr>
      </w:pPr>
      <w:r>
        <w:rPr>
          <w:rFonts w:cstheme="minorHAnsi"/>
          <w:szCs w:val="22"/>
        </w:rPr>
        <w:t>Tragt til indfødning</w:t>
      </w:r>
    </w:p>
    <w:p w:rsidR="006675DF" w:rsidRPr="00945454" w:rsidRDefault="006675DF" w:rsidP="006675DF">
      <w:pPr>
        <w:pStyle w:val="Listeafsnit"/>
        <w:numPr>
          <w:ilvl w:val="0"/>
          <w:numId w:val="3"/>
        </w:numPr>
        <w:rPr>
          <w:rFonts w:cstheme="minorHAnsi"/>
          <w:szCs w:val="22"/>
        </w:rPr>
      </w:pPr>
      <w:r w:rsidRPr="00945454">
        <w:rPr>
          <w:rFonts w:cstheme="minorHAnsi"/>
          <w:szCs w:val="22"/>
        </w:rPr>
        <w:t>Kuglemølle</w:t>
      </w:r>
    </w:p>
    <w:p w:rsidR="006675DF" w:rsidRPr="00945454" w:rsidRDefault="006675DF" w:rsidP="006675DF">
      <w:pPr>
        <w:pStyle w:val="Listeafsnit"/>
        <w:numPr>
          <w:ilvl w:val="0"/>
          <w:numId w:val="3"/>
        </w:numPr>
        <w:rPr>
          <w:rFonts w:cstheme="minorHAnsi"/>
          <w:szCs w:val="22"/>
        </w:rPr>
      </w:pPr>
      <w:r w:rsidRPr="00945454">
        <w:rPr>
          <w:rFonts w:cstheme="minorHAnsi"/>
          <w:szCs w:val="22"/>
        </w:rPr>
        <w:t>Filter uden afkast</w:t>
      </w:r>
    </w:p>
    <w:p w:rsidR="006675DF" w:rsidRDefault="006675DF" w:rsidP="006675DF">
      <w:pPr>
        <w:pStyle w:val="Listeafsnit"/>
        <w:numPr>
          <w:ilvl w:val="0"/>
          <w:numId w:val="3"/>
        </w:numPr>
        <w:rPr>
          <w:rFonts w:cstheme="minorHAnsi"/>
          <w:szCs w:val="22"/>
        </w:rPr>
      </w:pPr>
      <w:r>
        <w:rPr>
          <w:rFonts w:cstheme="minorHAnsi"/>
          <w:szCs w:val="22"/>
        </w:rPr>
        <w:t>Automatisk prøvetager</w:t>
      </w:r>
    </w:p>
    <w:p w:rsidR="006675DF" w:rsidRPr="00705EE2" w:rsidRDefault="006675DF" w:rsidP="006675DF">
      <w:pPr>
        <w:pStyle w:val="Listeafsnit"/>
        <w:numPr>
          <w:ilvl w:val="0"/>
          <w:numId w:val="3"/>
        </w:numPr>
        <w:rPr>
          <w:rFonts w:cstheme="minorHAnsi"/>
          <w:szCs w:val="22"/>
        </w:rPr>
      </w:pPr>
      <w:r>
        <w:rPr>
          <w:rFonts w:cstheme="minorHAnsi"/>
          <w:szCs w:val="22"/>
        </w:rPr>
        <w:t>Tragt til læsning i bigbag</w:t>
      </w:r>
    </w:p>
    <w:p w:rsidR="006675DF" w:rsidRDefault="006675DF" w:rsidP="006675DF">
      <w:pPr>
        <w:rPr>
          <w:rFonts w:cstheme="minorHAnsi"/>
          <w:szCs w:val="22"/>
        </w:rPr>
      </w:pPr>
    </w:p>
    <w:p w:rsidR="006675DF" w:rsidRDefault="006675DF" w:rsidP="006675DF">
      <w:pPr>
        <w:rPr>
          <w:rFonts w:cstheme="minorHAnsi"/>
          <w:szCs w:val="22"/>
        </w:rPr>
      </w:pPr>
      <w:r>
        <w:rPr>
          <w:rFonts w:cstheme="minorHAnsi"/>
          <w:szCs w:val="22"/>
        </w:rPr>
        <w:t>Den nye maskine skal placeres i det lokale, hvor det indtil nu har været affald fra miljøbehandling af biler:</w:t>
      </w:r>
    </w:p>
    <w:p w:rsidR="006675DF" w:rsidRDefault="006675DF" w:rsidP="006675DF">
      <w:pPr>
        <w:rPr>
          <w:rFonts w:cstheme="minorHAnsi"/>
          <w:szCs w:val="22"/>
        </w:rPr>
      </w:pPr>
    </w:p>
    <w:p w:rsidR="006675DF" w:rsidRDefault="006675DF" w:rsidP="006675DF">
      <w:pPr>
        <w:rPr>
          <w:rFonts w:cstheme="minorHAnsi"/>
          <w:szCs w:val="22"/>
        </w:rPr>
      </w:pPr>
    </w:p>
    <w:p w:rsidR="006675DF" w:rsidRDefault="006675DF" w:rsidP="006675DF"/>
    <w:p w:rsidR="006675DF" w:rsidRDefault="006675DF" w:rsidP="006675DF">
      <w:r>
        <w:rPr>
          <w:noProof/>
          <w:lang w:eastAsia="da-DK"/>
        </w:rPr>
        <w:drawing>
          <wp:inline distT="0" distB="0" distL="0" distR="0" wp14:anchorId="1F117829" wp14:editId="7C3B9289">
            <wp:extent cx="4716145" cy="3712210"/>
            <wp:effectExtent l="0" t="0" r="8255" b="254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6145" cy="3712210"/>
                    </a:xfrm>
                    <a:prstGeom prst="rect">
                      <a:avLst/>
                    </a:prstGeom>
                  </pic:spPr>
                </pic:pic>
              </a:graphicData>
            </a:graphic>
          </wp:inline>
        </w:drawing>
      </w:r>
    </w:p>
    <w:p w:rsidR="006675DF" w:rsidRDefault="006675DF" w:rsidP="006675DF">
      <w:pPr>
        <w:rPr>
          <w:rFonts w:cstheme="minorHAnsi"/>
          <w:szCs w:val="22"/>
        </w:rPr>
      </w:pPr>
      <w:r>
        <w:rPr>
          <w:rFonts w:cstheme="minorHAnsi"/>
          <w:szCs w:val="22"/>
        </w:rPr>
        <w:t>Figur 2</w:t>
      </w:r>
    </w:p>
    <w:p w:rsidR="006675DF" w:rsidRPr="007676D7" w:rsidRDefault="006675DF" w:rsidP="006675DF">
      <w:pPr>
        <w:rPr>
          <w:rFonts w:cstheme="minorHAnsi"/>
          <w:szCs w:val="22"/>
        </w:rPr>
      </w:pPr>
      <w:r>
        <w:rPr>
          <w:rFonts w:cstheme="minorHAnsi"/>
          <w:szCs w:val="22"/>
        </w:rPr>
        <w:t>Virksomheden etablerer væg og</w:t>
      </w:r>
      <w:r w:rsidRPr="007676D7">
        <w:rPr>
          <w:rFonts w:cstheme="minorHAnsi"/>
          <w:szCs w:val="22"/>
        </w:rPr>
        <w:t xml:space="preserve"> port</w:t>
      </w:r>
      <w:r>
        <w:rPr>
          <w:rFonts w:cstheme="minorHAnsi"/>
          <w:szCs w:val="22"/>
        </w:rPr>
        <w:t>,</w:t>
      </w:r>
      <w:r w:rsidRPr="007676D7">
        <w:rPr>
          <w:rFonts w:cstheme="minorHAnsi"/>
          <w:szCs w:val="22"/>
        </w:rPr>
        <w:t xml:space="preserve"> så rummet bliver lukket</w:t>
      </w:r>
      <w:r>
        <w:rPr>
          <w:rFonts w:cstheme="minorHAnsi"/>
          <w:szCs w:val="22"/>
        </w:rPr>
        <w:t>,</w:t>
      </w:r>
      <w:r w:rsidRPr="007676D7">
        <w:rPr>
          <w:rFonts w:cstheme="minorHAnsi"/>
          <w:szCs w:val="22"/>
        </w:rPr>
        <w:t xml:space="preserve"> når der arbejdes</w:t>
      </w:r>
      <w:r>
        <w:rPr>
          <w:rFonts w:cstheme="minorHAnsi"/>
          <w:szCs w:val="22"/>
        </w:rPr>
        <w:t>. Der</w:t>
      </w:r>
      <w:r w:rsidRPr="007676D7">
        <w:rPr>
          <w:rFonts w:cstheme="minorHAnsi"/>
          <w:szCs w:val="22"/>
        </w:rPr>
        <w:t xml:space="preserve"> vil kun være ud</w:t>
      </w:r>
      <w:r>
        <w:rPr>
          <w:rFonts w:cstheme="minorHAnsi"/>
          <w:szCs w:val="22"/>
        </w:rPr>
        <w:t>-</w:t>
      </w:r>
      <w:r w:rsidRPr="007676D7">
        <w:rPr>
          <w:rFonts w:cstheme="minorHAnsi"/>
          <w:szCs w:val="22"/>
        </w:rPr>
        <w:t xml:space="preserve"> og indkørsel med truck</w:t>
      </w:r>
      <w:r>
        <w:rPr>
          <w:rFonts w:cstheme="minorHAnsi"/>
          <w:szCs w:val="22"/>
        </w:rPr>
        <w:t>.</w:t>
      </w:r>
    </w:p>
    <w:p w:rsidR="006675DF" w:rsidRDefault="006675DF" w:rsidP="006675DF"/>
    <w:p w:rsidR="006675DF" w:rsidRDefault="006675DF" w:rsidP="006675DF">
      <w:r>
        <w:t>Virksomheden oplyser, at der ikke vil være noget afkast med luft til det fri.</w:t>
      </w:r>
    </w:p>
    <w:p w:rsidR="006675DF" w:rsidRDefault="006675DF" w:rsidP="006675DF"/>
    <w:p w:rsidR="006675DF" w:rsidRPr="005A05C0" w:rsidRDefault="006675DF" w:rsidP="006675DF">
      <w:pPr>
        <w:rPr>
          <w:b/>
        </w:rPr>
      </w:pPr>
      <w:r w:rsidRPr="005A05C0">
        <w:rPr>
          <w:b/>
        </w:rPr>
        <w:t>Maskiner til opskæring af katalysatorer</w:t>
      </w:r>
    </w:p>
    <w:p w:rsidR="006675DF" w:rsidRDefault="006675DF" w:rsidP="006675DF">
      <w:pPr>
        <w:rPr>
          <w:rFonts w:cs="Arial"/>
        </w:rPr>
      </w:pPr>
      <w:r>
        <w:rPr>
          <w:rFonts w:cs="Arial"/>
        </w:rPr>
        <w:t>Virksomheden ønsker at etablere tre nye anlæg til at tømme katalysatorer for deres indhold ved at skære katalysatoren op. Samtidig sløjfer den det eksisterende anlæg.</w:t>
      </w:r>
    </w:p>
    <w:p w:rsidR="006675DF" w:rsidRDefault="006675DF" w:rsidP="006675DF"/>
    <w:p w:rsidR="006675DF" w:rsidRDefault="006675DF" w:rsidP="006675DF"/>
    <w:p w:rsidR="006675DF" w:rsidRDefault="006675DF" w:rsidP="006675DF">
      <w:r>
        <w:rPr>
          <w:noProof/>
          <w:lang w:eastAsia="da-DK"/>
        </w:rPr>
        <w:drawing>
          <wp:anchor distT="0" distB="0" distL="114300" distR="114300" simplePos="0" relativeHeight="251659264" behindDoc="0" locked="0" layoutInCell="1" allowOverlap="1" wp14:anchorId="14718337" wp14:editId="61C388C1">
            <wp:simplePos x="0" y="0"/>
            <wp:positionH relativeFrom="margin">
              <wp:align>left</wp:align>
            </wp:positionH>
            <wp:positionV relativeFrom="paragraph">
              <wp:posOffset>-921385</wp:posOffset>
            </wp:positionV>
            <wp:extent cx="3629025" cy="5629275"/>
            <wp:effectExtent l="9525" t="0" r="0" b="0"/>
            <wp:wrapTopAndBottom/>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3629025" cy="5629275"/>
                    </a:xfrm>
                    <a:prstGeom prst="rect">
                      <a:avLst/>
                    </a:prstGeom>
                  </pic:spPr>
                </pic:pic>
              </a:graphicData>
            </a:graphic>
          </wp:anchor>
        </w:drawing>
      </w:r>
    </w:p>
    <w:p w:rsidR="006675DF" w:rsidRDefault="006675DF" w:rsidP="006675DF">
      <w:pPr>
        <w:widowControl w:val="0"/>
        <w:autoSpaceDE w:val="0"/>
        <w:autoSpaceDN w:val="0"/>
        <w:adjustRightInd w:val="0"/>
      </w:pPr>
      <w:r w:rsidRPr="009A6313">
        <w:t xml:space="preserve">Katalysatoren består af en jernkappe og inden i er der et </w:t>
      </w:r>
      <w:r>
        <w:t xml:space="preserve">net af </w:t>
      </w:r>
      <w:r w:rsidRPr="009A6313">
        <w:t>rustfrit stål</w:t>
      </w:r>
      <w:r>
        <w:t>,</w:t>
      </w:r>
      <w:r w:rsidRPr="009A6313">
        <w:t xml:space="preserve"> som holder en </w:t>
      </w:r>
      <w:r>
        <w:t>keramisk</w:t>
      </w:r>
      <w:r w:rsidRPr="009A6313">
        <w:t xml:space="preserve"> kappe</w:t>
      </w:r>
      <w:r>
        <w:t>. D</w:t>
      </w:r>
      <w:r w:rsidRPr="009A6313">
        <w:t xml:space="preserve">enne </w:t>
      </w:r>
      <w:r>
        <w:t>keramiske</w:t>
      </w:r>
      <w:r w:rsidRPr="009A6313">
        <w:t xml:space="preserve"> kappe er </w:t>
      </w:r>
      <w:r>
        <w:t xml:space="preserve">meget porøs og er bærer af selve katalysatoren, der igen </w:t>
      </w:r>
      <w:r w:rsidRPr="009A6313">
        <w:t>bestå</w:t>
      </w:r>
      <w:r>
        <w:t>r</w:t>
      </w:r>
      <w:r w:rsidRPr="009A6313">
        <w:t xml:space="preserve"> af </w:t>
      </w:r>
      <w:r>
        <w:t>de tre</w:t>
      </w:r>
      <w:r w:rsidRPr="009A6313">
        <w:t xml:space="preserve"> ædelmetaller </w:t>
      </w:r>
      <w:r>
        <w:t>p</w:t>
      </w:r>
      <w:r w:rsidRPr="009A6313">
        <w:t xml:space="preserve">latin </w:t>
      </w:r>
      <w:r>
        <w:t>r</w:t>
      </w:r>
      <w:r w:rsidRPr="009A6313">
        <w:t xml:space="preserve">hodium og </w:t>
      </w:r>
      <w:r>
        <w:t>p</w:t>
      </w:r>
      <w:r w:rsidRPr="009A6313">
        <w:t>alladium.</w:t>
      </w:r>
      <w:r>
        <w:t xml:space="preserve"> Det keramiske materiale består typisk af magnesium, aluminium, krom, jern og silicium. I hver katalysator er der ca. </w:t>
      </w:r>
      <w:smartTag w:uri="urn:schemas-microsoft-com:office:smarttags" w:element="metricconverter">
        <w:smartTagPr>
          <w:attr w:name="ProductID" w:val="1 kg"/>
        </w:smartTagPr>
        <w:r>
          <w:t>1 kg</w:t>
        </w:r>
      </w:smartTag>
      <w:r>
        <w:t xml:space="preserve"> keramisk materiale, der igen indeholder 1 – </w:t>
      </w:r>
      <w:smartTag w:uri="urn:schemas-microsoft-com:office:smarttags" w:element="metricconverter">
        <w:smartTagPr>
          <w:attr w:name="ProductID" w:val="5 g"/>
        </w:smartTagPr>
        <w:r>
          <w:t>5 g</w:t>
        </w:r>
      </w:smartTag>
      <w:r>
        <w:t xml:space="preserve"> ædelmetal (eller 1 – 5‰).</w:t>
      </w:r>
    </w:p>
    <w:p w:rsidR="006675DF" w:rsidRPr="009A6313" w:rsidRDefault="006675DF" w:rsidP="006675DF">
      <w:pPr>
        <w:widowControl w:val="0"/>
        <w:autoSpaceDE w:val="0"/>
        <w:autoSpaceDN w:val="0"/>
        <w:adjustRightInd w:val="0"/>
      </w:pPr>
    </w:p>
    <w:p w:rsidR="006675DF" w:rsidRDefault="006675DF" w:rsidP="006675DF">
      <w:r w:rsidRPr="009A6313">
        <w:t xml:space="preserve">Hele processen går ud på at få </w:t>
      </w:r>
      <w:r>
        <w:t xml:space="preserve">skilt det keramiske materiale med katalysatoren fra jernkappen og stålgitteret. På autoværkstedet afmonteres </w:t>
      </w:r>
      <w:r w:rsidRPr="009A6313">
        <w:t xml:space="preserve">udstødningssystemet </w:t>
      </w:r>
      <w:r>
        <w:t>fra</w:t>
      </w:r>
      <w:r w:rsidRPr="009A6313">
        <w:t xml:space="preserve"> bilen</w:t>
      </w:r>
      <w:r>
        <w:t xml:space="preserve">, og </w:t>
      </w:r>
      <w:r w:rsidRPr="009A6313">
        <w:t>katalysatoren skæres af selve udstødningssystemet</w:t>
      </w:r>
      <w:r>
        <w:t>.</w:t>
      </w:r>
      <w:r w:rsidRPr="009A6313">
        <w:t xml:space="preserve"> </w:t>
      </w:r>
      <w:r>
        <w:t xml:space="preserve">Virksomheden skærer </w:t>
      </w:r>
      <w:r w:rsidRPr="009A6313">
        <w:t>jernkappen op</w:t>
      </w:r>
      <w:r>
        <w:t xml:space="preserve"> med en automatisk saks, og </w:t>
      </w:r>
      <w:r w:rsidRPr="009A6313">
        <w:t>trådnet af rustfrit</w:t>
      </w:r>
      <w:r>
        <w:t xml:space="preserve"> </w:t>
      </w:r>
      <w:r w:rsidRPr="009A6313">
        <w:t>stål</w:t>
      </w:r>
      <w:r>
        <w:t xml:space="preserve"> og kappen af jern </w:t>
      </w:r>
      <w:r w:rsidRPr="009A6313">
        <w:t>sorteres fra og sælges sammen med virksomhedens øvrige mængder af disse fraktioner.</w:t>
      </w:r>
      <w:r>
        <w:t xml:space="preserve"> Det keramiske materiale</w:t>
      </w:r>
      <w:r w:rsidRPr="009A6313">
        <w:t xml:space="preserve"> opsam</w:t>
      </w:r>
      <w:r>
        <w:t>les som støv eller pulver i en</w:t>
      </w:r>
      <w:r w:rsidRPr="009A6313">
        <w:t xml:space="preserve"> bigbag </w:t>
      </w:r>
      <w:r>
        <w:t>under saksen.</w:t>
      </w:r>
    </w:p>
    <w:p w:rsidR="006675DF" w:rsidRDefault="006675DF" w:rsidP="006675DF">
      <w:pPr>
        <w:rPr>
          <w:rFonts w:cs="Arial"/>
        </w:rPr>
      </w:pPr>
    </w:p>
    <w:p w:rsidR="006675DF" w:rsidRPr="00B14EED" w:rsidRDefault="006675DF" w:rsidP="006675DF">
      <w:pPr>
        <w:rPr>
          <w:rFonts w:cs="Arial"/>
        </w:rPr>
      </w:pPr>
      <w:r w:rsidRPr="00B14EED">
        <w:rPr>
          <w:rFonts w:cs="Arial"/>
        </w:rPr>
        <w:t>En ventilator sikrer dels arbejdsmiljøet og dels at resterende støv bliver fanget af et posefilter og sam</w:t>
      </w:r>
      <w:r>
        <w:rPr>
          <w:rFonts w:cs="Arial"/>
        </w:rPr>
        <w:t>let op i en kasse. Virksomheden tømmer d</w:t>
      </w:r>
      <w:r w:rsidRPr="009A6313">
        <w:t>en opsamlede støv fra filter</w:t>
      </w:r>
      <w:r>
        <w:t>et</w:t>
      </w:r>
      <w:r w:rsidRPr="009A6313">
        <w:t xml:space="preserve"> over i </w:t>
      </w:r>
      <w:r>
        <w:t xml:space="preserve">bigbagen under saksen. </w:t>
      </w:r>
      <w:r>
        <w:rPr>
          <w:rFonts w:cs="Arial"/>
        </w:rPr>
        <w:t xml:space="preserve">Luften ledes </w:t>
      </w:r>
      <w:r w:rsidRPr="00B14EED">
        <w:rPr>
          <w:rFonts w:cs="Arial"/>
        </w:rPr>
        <w:t>via et nyt afkast op til en meter over tag til det fri gennem en jethætte. Ventila</w:t>
      </w:r>
      <w:r>
        <w:rPr>
          <w:rFonts w:cs="Arial"/>
        </w:rPr>
        <w:t>toren er placeret indendørs.</w:t>
      </w:r>
    </w:p>
    <w:p w:rsidR="006675DF" w:rsidRDefault="006675DF" w:rsidP="006675DF">
      <w:pPr>
        <w:widowControl w:val="0"/>
        <w:autoSpaceDE w:val="0"/>
        <w:autoSpaceDN w:val="0"/>
        <w:adjustRightInd w:val="0"/>
      </w:pPr>
    </w:p>
    <w:p w:rsidR="006675DF" w:rsidRPr="009A6313" w:rsidRDefault="006675DF" w:rsidP="006675DF">
      <w:pPr>
        <w:widowControl w:val="0"/>
        <w:autoSpaceDE w:val="0"/>
        <w:autoSpaceDN w:val="0"/>
        <w:adjustRightInd w:val="0"/>
      </w:pPr>
      <w:r w:rsidRPr="009A6313">
        <w:t xml:space="preserve">Bigbags </w:t>
      </w:r>
      <w:r>
        <w:t xml:space="preserve">med det keramiske materiale </w:t>
      </w:r>
      <w:r w:rsidRPr="009A6313">
        <w:t xml:space="preserve">lukkes og sendes </w:t>
      </w:r>
      <w:r>
        <w:t xml:space="preserve">til en modtager, </w:t>
      </w:r>
      <w:r w:rsidRPr="009A6313">
        <w:t>som forestår den endelige udvinding</w:t>
      </w:r>
      <w:r>
        <w:t xml:space="preserve"> af de ædle metaller.</w:t>
      </w:r>
    </w:p>
    <w:p w:rsidR="006675DF" w:rsidRPr="009A6313" w:rsidRDefault="006675DF" w:rsidP="006675DF">
      <w:pPr>
        <w:rPr>
          <w:rFonts w:cs="Arial"/>
        </w:rPr>
      </w:pPr>
    </w:p>
    <w:p w:rsidR="006675DF" w:rsidRPr="005A05C0" w:rsidRDefault="006675DF" w:rsidP="006675DF">
      <w:pPr>
        <w:rPr>
          <w:rFonts w:cs="Arial"/>
          <w:u w:val="single"/>
        </w:rPr>
      </w:pPr>
      <w:r w:rsidRPr="005A05C0">
        <w:rPr>
          <w:rFonts w:cs="Arial"/>
          <w:u w:val="single"/>
        </w:rPr>
        <w:t>Luftforurening</w:t>
      </w:r>
    </w:p>
    <w:p w:rsidR="006675DF" w:rsidRPr="00737C4B" w:rsidRDefault="006675DF" w:rsidP="006675DF">
      <w:pPr>
        <w:rPr>
          <w:rFonts w:cs="Arial"/>
          <w:b/>
        </w:rPr>
      </w:pPr>
      <w:r w:rsidRPr="00737C4B">
        <w:rPr>
          <w:rFonts w:cs="Arial"/>
        </w:rPr>
        <w:t xml:space="preserve">Leverandøren af filteret og ventilatoren, Nederman, oplyser, at </w:t>
      </w:r>
      <w:r>
        <w:rPr>
          <w:rFonts w:cs="Arial"/>
        </w:rPr>
        <w:t>ventilatoren suger 2.500</w:t>
      </w:r>
      <w:r w:rsidRPr="00737C4B">
        <w:rPr>
          <w:rFonts w:cs="Arial"/>
        </w:rPr>
        <w:t xml:space="preserve"> m3/h, og at filteret er et tekstilfilter, der renses automatisk med en luftimpuls. Ren</w:t>
      </w:r>
      <w:r>
        <w:rPr>
          <w:rFonts w:cs="Arial"/>
        </w:rPr>
        <w:t xml:space="preserve">segraden er 99% eller 99,9% </w:t>
      </w:r>
      <w:r w:rsidRPr="00737C4B">
        <w:rPr>
          <w:rFonts w:cs="Arial"/>
        </w:rPr>
        <w:t>et PTFE-filter for partikler større end 0,5 μm efter nogen tids drift.</w:t>
      </w:r>
      <w:r>
        <w:rPr>
          <w:rFonts w:cs="Arial"/>
        </w:rPr>
        <w:t xml:space="preserve"> Virksomheden har dog ikke oplyst hvilken type poser, den bruger.</w:t>
      </w:r>
    </w:p>
    <w:p w:rsidR="006675DF" w:rsidRDefault="006675DF" w:rsidP="006675DF">
      <w:pPr>
        <w:rPr>
          <w:rFonts w:cs="Arial"/>
        </w:rPr>
      </w:pPr>
    </w:p>
    <w:p w:rsidR="006675DF" w:rsidRDefault="006675DF" w:rsidP="006675DF">
      <w:pPr>
        <w:rPr>
          <w:rFonts w:cs="Arial"/>
        </w:rPr>
      </w:pPr>
      <w:r>
        <w:rPr>
          <w:rFonts w:cs="Arial"/>
        </w:rPr>
        <w:t xml:space="preserve">Virksomheden oplyser, at anlægget vil være i drift op til fem dage om ugen i ca. seks timer pr. dag. Der kan klippes ca. 30 katalysatorer i timen. </w:t>
      </w:r>
    </w:p>
    <w:p w:rsidR="006675DF" w:rsidRDefault="006675DF" w:rsidP="006675DF"/>
    <w:p w:rsidR="006675DF" w:rsidRDefault="006675DF" w:rsidP="006675DF">
      <w:r>
        <w:t>I har ca. hvert andet år fået gennemført måling af emissionen fra den eksisterende maskine, der skærer katalysatorer op. Senest har I fået målt emissionen 14. februar 2020 og 31. januar 2022. Grænsen for emission for den eksisterende maskine er sat så I netop kan overholde b-værdien eller grænsen for immission: Udledningen af summen af krom og aluminium må højst være 0,097 mg/sek.</w:t>
      </w:r>
    </w:p>
    <w:p w:rsidR="006675DF" w:rsidRDefault="006675DF" w:rsidP="006675DF">
      <w:r>
        <w:t>Resultatet for de to seneste målinger var:</w:t>
      </w:r>
    </w:p>
    <w:tbl>
      <w:tblPr>
        <w:tblStyle w:val="Tabel-Gitter"/>
        <w:tblW w:w="0" w:type="auto"/>
        <w:tblLook w:val="04A0" w:firstRow="1" w:lastRow="0" w:firstColumn="1" w:lastColumn="0" w:noHBand="0" w:noVBand="1"/>
      </w:tblPr>
      <w:tblGrid>
        <w:gridCol w:w="2471"/>
        <w:gridCol w:w="2470"/>
        <w:gridCol w:w="2471"/>
      </w:tblGrid>
      <w:tr w:rsidR="006675DF" w:rsidTr="000C30E3">
        <w:tc>
          <w:tcPr>
            <w:tcW w:w="2472" w:type="dxa"/>
            <w:tcBorders>
              <w:right w:val="single" w:sz="8" w:space="0" w:color="auto"/>
            </w:tcBorders>
          </w:tcPr>
          <w:p w:rsidR="006675DF" w:rsidRDefault="006675DF" w:rsidP="000C30E3"/>
        </w:tc>
        <w:tc>
          <w:tcPr>
            <w:tcW w:w="2472" w:type="dxa"/>
            <w:tcBorders>
              <w:top w:val="single" w:sz="8" w:space="0" w:color="auto"/>
              <w:left w:val="single" w:sz="8" w:space="0" w:color="auto"/>
              <w:bottom w:val="single" w:sz="12" w:space="0" w:color="auto"/>
              <w:right w:val="single" w:sz="8" w:space="0" w:color="auto"/>
            </w:tcBorders>
          </w:tcPr>
          <w:p w:rsidR="006675DF" w:rsidRDefault="006675DF" w:rsidP="000C30E3">
            <w:pPr>
              <w:jc w:val="center"/>
            </w:pPr>
            <w:r>
              <w:t>Februar 2020</w:t>
            </w:r>
          </w:p>
        </w:tc>
        <w:tc>
          <w:tcPr>
            <w:tcW w:w="2473" w:type="dxa"/>
            <w:tcBorders>
              <w:top w:val="single" w:sz="8" w:space="0" w:color="auto"/>
              <w:left w:val="single" w:sz="8" w:space="0" w:color="auto"/>
              <w:bottom w:val="single" w:sz="12" w:space="0" w:color="auto"/>
              <w:right w:val="single" w:sz="8" w:space="0" w:color="auto"/>
            </w:tcBorders>
          </w:tcPr>
          <w:p w:rsidR="006675DF" w:rsidRDefault="006675DF" w:rsidP="000C30E3">
            <w:pPr>
              <w:jc w:val="center"/>
            </w:pPr>
            <w:r>
              <w:t>Januar 2022</w:t>
            </w:r>
          </w:p>
        </w:tc>
      </w:tr>
      <w:tr w:rsidR="006675DF" w:rsidTr="000C30E3">
        <w:tc>
          <w:tcPr>
            <w:tcW w:w="2472" w:type="dxa"/>
            <w:tcBorders>
              <w:bottom w:val="single" w:sz="12" w:space="0" w:color="auto"/>
            </w:tcBorders>
          </w:tcPr>
          <w:p w:rsidR="006675DF" w:rsidRPr="00792CEC" w:rsidRDefault="006675DF" w:rsidP="000C30E3">
            <w:r>
              <w:t>Luftflow, m</w:t>
            </w:r>
            <w:r>
              <w:rPr>
                <w:vertAlign w:val="superscript"/>
              </w:rPr>
              <w:t>3</w:t>
            </w:r>
            <w:r>
              <w:t>/h</w:t>
            </w:r>
          </w:p>
        </w:tc>
        <w:tc>
          <w:tcPr>
            <w:tcW w:w="2472" w:type="dxa"/>
            <w:tcBorders>
              <w:top w:val="single" w:sz="12" w:space="0" w:color="auto"/>
              <w:bottom w:val="single" w:sz="12" w:space="0" w:color="auto"/>
            </w:tcBorders>
          </w:tcPr>
          <w:p w:rsidR="006675DF" w:rsidRDefault="006675DF" w:rsidP="000C30E3">
            <w:pPr>
              <w:jc w:val="center"/>
            </w:pPr>
            <w:r>
              <w:t>2.200</w:t>
            </w:r>
          </w:p>
        </w:tc>
        <w:tc>
          <w:tcPr>
            <w:tcW w:w="2473" w:type="dxa"/>
            <w:tcBorders>
              <w:top w:val="single" w:sz="12" w:space="0" w:color="auto"/>
              <w:bottom w:val="single" w:sz="12" w:space="0" w:color="auto"/>
            </w:tcBorders>
          </w:tcPr>
          <w:p w:rsidR="006675DF" w:rsidRDefault="006675DF" w:rsidP="000C30E3">
            <w:pPr>
              <w:jc w:val="center"/>
            </w:pPr>
            <w:r>
              <w:t>1.900</w:t>
            </w:r>
          </w:p>
        </w:tc>
      </w:tr>
      <w:tr w:rsidR="006675DF" w:rsidTr="000C30E3">
        <w:tc>
          <w:tcPr>
            <w:tcW w:w="2472" w:type="dxa"/>
            <w:tcBorders>
              <w:top w:val="single" w:sz="12" w:space="0" w:color="auto"/>
            </w:tcBorders>
          </w:tcPr>
          <w:p w:rsidR="006675DF" w:rsidRPr="00792CEC" w:rsidRDefault="006675DF" w:rsidP="000C30E3">
            <w:pPr>
              <w:rPr>
                <w:vertAlign w:val="superscript"/>
              </w:rPr>
            </w:pPr>
            <w:r>
              <w:t>Partikler, mg/Nm</w:t>
            </w:r>
            <w:r>
              <w:rPr>
                <w:vertAlign w:val="superscript"/>
              </w:rPr>
              <w:t>3</w:t>
            </w:r>
          </w:p>
        </w:tc>
        <w:tc>
          <w:tcPr>
            <w:tcW w:w="2472" w:type="dxa"/>
            <w:tcBorders>
              <w:top w:val="single" w:sz="12" w:space="0" w:color="auto"/>
            </w:tcBorders>
          </w:tcPr>
          <w:p w:rsidR="006675DF" w:rsidRDefault="006675DF" w:rsidP="000C30E3">
            <w:pPr>
              <w:jc w:val="center"/>
            </w:pPr>
            <w:r>
              <w:t>0,1</w:t>
            </w:r>
          </w:p>
        </w:tc>
        <w:tc>
          <w:tcPr>
            <w:tcW w:w="2473" w:type="dxa"/>
            <w:tcBorders>
              <w:top w:val="single" w:sz="12" w:space="0" w:color="auto"/>
            </w:tcBorders>
          </w:tcPr>
          <w:p w:rsidR="006675DF" w:rsidRDefault="006675DF" w:rsidP="000C30E3">
            <w:pPr>
              <w:jc w:val="center"/>
            </w:pPr>
            <w:r>
              <w:t>0,22</w:t>
            </w:r>
          </w:p>
        </w:tc>
      </w:tr>
      <w:tr w:rsidR="006675DF" w:rsidTr="000C30E3">
        <w:tc>
          <w:tcPr>
            <w:tcW w:w="2472" w:type="dxa"/>
            <w:tcBorders>
              <w:bottom w:val="single" w:sz="4" w:space="0" w:color="auto"/>
            </w:tcBorders>
          </w:tcPr>
          <w:p w:rsidR="006675DF" w:rsidRDefault="006675DF" w:rsidP="000C30E3">
            <w:r>
              <w:t>Aluminium,</w:t>
            </w:r>
            <w:r w:rsidRPr="00792CEC">
              <w:t xml:space="preserve"> mg/Nm</w:t>
            </w:r>
            <w:r w:rsidRPr="00792CEC">
              <w:rPr>
                <w:vertAlign w:val="superscript"/>
              </w:rPr>
              <w:t>3</w:t>
            </w:r>
          </w:p>
        </w:tc>
        <w:tc>
          <w:tcPr>
            <w:tcW w:w="2472" w:type="dxa"/>
            <w:tcBorders>
              <w:bottom w:val="single" w:sz="4" w:space="0" w:color="auto"/>
            </w:tcBorders>
          </w:tcPr>
          <w:p w:rsidR="006675DF" w:rsidRDefault="006675DF" w:rsidP="000C30E3">
            <w:pPr>
              <w:jc w:val="center"/>
            </w:pPr>
            <w:r>
              <w:t>0,13</w:t>
            </w:r>
          </w:p>
        </w:tc>
        <w:tc>
          <w:tcPr>
            <w:tcW w:w="2473" w:type="dxa"/>
            <w:tcBorders>
              <w:bottom w:val="single" w:sz="4" w:space="0" w:color="auto"/>
            </w:tcBorders>
          </w:tcPr>
          <w:p w:rsidR="006675DF" w:rsidRDefault="006675DF" w:rsidP="000C30E3">
            <w:pPr>
              <w:jc w:val="center"/>
            </w:pPr>
            <w:r>
              <w:t>0,14</w:t>
            </w:r>
          </w:p>
        </w:tc>
      </w:tr>
      <w:tr w:rsidR="006675DF" w:rsidTr="000C30E3">
        <w:tc>
          <w:tcPr>
            <w:tcW w:w="2472" w:type="dxa"/>
            <w:tcBorders>
              <w:bottom w:val="single" w:sz="12" w:space="0" w:color="auto"/>
            </w:tcBorders>
          </w:tcPr>
          <w:p w:rsidR="006675DF" w:rsidRDefault="006675DF" w:rsidP="000C30E3">
            <w:r>
              <w:t>Krom,</w:t>
            </w:r>
            <w:r w:rsidRPr="00792CEC">
              <w:t xml:space="preserve"> mg/Nm</w:t>
            </w:r>
            <w:r w:rsidRPr="00792CEC">
              <w:rPr>
                <w:vertAlign w:val="superscript"/>
              </w:rPr>
              <w:t>3</w:t>
            </w:r>
          </w:p>
        </w:tc>
        <w:tc>
          <w:tcPr>
            <w:tcW w:w="2472" w:type="dxa"/>
            <w:tcBorders>
              <w:bottom w:val="single" w:sz="12" w:space="0" w:color="auto"/>
            </w:tcBorders>
          </w:tcPr>
          <w:p w:rsidR="006675DF" w:rsidRDefault="006675DF" w:rsidP="000C30E3">
            <w:pPr>
              <w:jc w:val="center"/>
            </w:pPr>
            <w:r>
              <w:t>0,00063</w:t>
            </w:r>
          </w:p>
        </w:tc>
        <w:tc>
          <w:tcPr>
            <w:tcW w:w="2473" w:type="dxa"/>
            <w:tcBorders>
              <w:bottom w:val="single" w:sz="12" w:space="0" w:color="auto"/>
            </w:tcBorders>
          </w:tcPr>
          <w:p w:rsidR="006675DF" w:rsidRDefault="006675DF" w:rsidP="000C30E3">
            <w:pPr>
              <w:jc w:val="center"/>
            </w:pPr>
            <w:r>
              <w:t>0,0028</w:t>
            </w:r>
          </w:p>
        </w:tc>
      </w:tr>
      <w:tr w:rsidR="006675DF" w:rsidTr="000C30E3">
        <w:tc>
          <w:tcPr>
            <w:tcW w:w="2472" w:type="dxa"/>
            <w:tcBorders>
              <w:top w:val="single" w:sz="12" w:space="0" w:color="auto"/>
            </w:tcBorders>
          </w:tcPr>
          <w:p w:rsidR="006675DF" w:rsidRDefault="006675DF" w:rsidP="000C30E3">
            <w:r>
              <w:t>Partikler, mg/h</w:t>
            </w:r>
          </w:p>
        </w:tc>
        <w:tc>
          <w:tcPr>
            <w:tcW w:w="2472" w:type="dxa"/>
            <w:tcBorders>
              <w:top w:val="single" w:sz="12" w:space="0" w:color="auto"/>
            </w:tcBorders>
          </w:tcPr>
          <w:p w:rsidR="006675DF" w:rsidRDefault="006675DF" w:rsidP="000C30E3">
            <w:pPr>
              <w:jc w:val="center"/>
            </w:pPr>
            <w:r>
              <w:t>202</w:t>
            </w:r>
          </w:p>
        </w:tc>
        <w:tc>
          <w:tcPr>
            <w:tcW w:w="2473" w:type="dxa"/>
            <w:tcBorders>
              <w:top w:val="single" w:sz="12" w:space="0" w:color="auto"/>
            </w:tcBorders>
          </w:tcPr>
          <w:p w:rsidR="006675DF" w:rsidRDefault="006675DF" w:rsidP="000C30E3">
            <w:pPr>
              <w:jc w:val="center"/>
            </w:pPr>
            <w:r>
              <w:t>360</w:t>
            </w:r>
          </w:p>
        </w:tc>
      </w:tr>
      <w:tr w:rsidR="006675DF" w:rsidTr="000C30E3">
        <w:tc>
          <w:tcPr>
            <w:tcW w:w="2472" w:type="dxa"/>
          </w:tcPr>
          <w:p w:rsidR="006675DF" w:rsidRDefault="006675DF" w:rsidP="000C30E3">
            <w:r>
              <w:t>Aluminium,</w:t>
            </w:r>
            <w:r w:rsidRPr="00792CEC">
              <w:t xml:space="preserve"> </w:t>
            </w:r>
            <w:r>
              <w:t>mg/h</w:t>
            </w:r>
          </w:p>
        </w:tc>
        <w:tc>
          <w:tcPr>
            <w:tcW w:w="2472" w:type="dxa"/>
          </w:tcPr>
          <w:p w:rsidR="006675DF" w:rsidRDefault="006675DF" w:rsidP="000C30E3">
            <w:pPr>
              <w:jc w:val="center"/>
            </w:pPr>
            <w:r>
              <w:t>270</w:t>
            </w:r>
          </w:p>
        </w:tc>
        <w:tc>
          <w:tcPr>
            <w:tcW w:w="2473" w:type="dxa"/>
          </w:tcPr>
          <w:p w:rsidR="006675DF" w:rsidRDefault="006675DF" w:rsidP="000C30E3">
            <w:pPr>
              <w:jc w:val="center"/>
            </w:pPr>
            <w:r>
              <w:t>241</w:t>
            </w:r>
          </w:p>
        </w:tc>
      </w:tr>
      <w:tr w:rsidR="006675DF" w:rsidTr="000C30E3">
        <w:tc>
          <w:tcPr>
            <w:tcW w:w="2472" w:type="dxa"/>
          </w:tcPr>
          <w:p w:rsidR="006675DF" w:rsidRDefault="006675DF" w:rsidP="000C30E3">
            <w:r>
              <w:t>Krom, mg/h</w:t>
            </w:r>
          </w:p>
        </w:tc>
        <w:tc>
          <w:tcPr>
            <w:tcW w:w="2472" w:type="dxa"/>
          </w:tcPr>
          <w:p w:rsidR="006675DF" w:rsidRDefault="006675DF" w:rsidP="000C30E3">
            <w:pPr>
              <w:jc w:val="center"/>
            </w:pPr>
            <w:r>
              <w:t>1,3</w:t>
            </w:r>
          </w:p>
        </w:tc>
        <w:tc>
          <w:tcPr>
            <w:tcW w:w="2473" w:type="dxa"/>
          </w:tcPr>
          <w:p w:rsidR="006675DF" w:rsidRDefault="006675DF" w:rsidP="000C30E3">
            <w:pPr>
              <w:jc w:val="center"/>
            </w:pPr>
            <w:r>
              <w:t>5,0</w:t>
            </w:r>
          </w:p>
        </w:tc>
      </w:tr>
      <w:tr w:rsidR="006675DF" w:rsidTr="000C30E3">
        <w:tc>
          <w:tcPr>
            <w:tcW w:w="2472" w:type="dxa"/>
          </w:tcPr>
          <w:p w:rsidR="006675DF" w:rsidRDefault="006675DF" w:rsidP="000C30E3">
            <w:r>
              <w:t>Krom + aluminium, mg/sek</w:t>
            </w:r>
          </w:p>
        </w:tc>
        <w:tc>
          <w:tcPr>
            <w:tcW w:w="2472" w:type="dxa"/>
          </w:tcPr>
          <w:p w:rsidR="006675DF" w:rsidRDefault="006675DF" w:rsidP="000C30E3">
            <w:pPr>
              <w:jc w:val="center"/>
            </w:pPr>
            <w:r>
              <w:t>0,075</w:t>
            </w:r>
          </w:p>
        </w:tc>
        <w:tc>
          <w:tcPr>
            <w:tcW w:w="2473" w:type="dxa"/>
          </w:tcPr>
          <w:p w:rsidR="006675DF" w:rsidRDefault="006675DF" w:rsidP="000C30E3">
            <w:pPr>
              <w:jc w:val="center"/>
            </w:pPr>
            <w:r>
              <w:t>0,068</w:t>
            </w:r>
          </w:p>
        </w:tc>
      </w:tr>
    </w:tbl>
    <w:p w:rsidR="006675DF" w:rsidRDefault="006675DF" w:rsidP="006675DF"/>
    <w:p w:rsidR="006675DF" w:rsidRDefault="006675DF" w:rsidP="006675DF">
      <w:r>
        <w:t xml:space="preserve">I 2020 indeholdte den målte støv 100 % aluminium og 0,6% krom. I 2022 indeholdte den målte støv 64% aluminium og 1% krom. Det er samtidig bemærkelsesværdigt, at der i 2020 blev målt mere aluminium end partikler. </w:t>
      </w:r>
    </w:p>
    <w:p w:rsidR="006675DF" w:rsidRDefault="006675DF" w:rsidP="006675DF"/>
    <w:p w:rsidR="006675DF" w:rsidRDefault="006675DF" w:rsidP="006675DF">
      <w:pPr>
        <w:rPr>
          <w:rFonts w:cs="Arial"/>
        </w:rPr>
      </w:pPr>
      <w:r w:rsidRPr="00737C4B">
        <w:rPr>
          <w:rFonts w:cs="Arial"/>
        </w:rPr>
        <w:t>Miljøstyrelsens vejledende</w:t>
      </w:r>
      <w:r>
        <w:rPr>
          <w:rStyle w:val="Fodnotehenvisning"/>
          <w:rFonts w:cs="Arial"/>
        </w:rPr>
        <w:footnoteReference w:id="1"/>
      </w:r>
      <w:r>
        <w:rPr>
          <w:rFonts w:cs="Arial"/>
        </w:rPr>
        <w:t xml:space="preserve"> grænser for de aktuelle parametre er:</w:t>
      </w:r>
    </w:p>
    <w:tbl>
      <w:tblPr>
        <w:tblStyle w:val="Tabel-Gitter"/>
        <w:tblW w:w="0" w:type="auto"/>
        <w:tblLook w:val="01E0" w:firstRow="1" w:lastRow="1" w:firstColumn="1" w:lastColumn="1" w:noHBand="0" w:noVBand="0"/>
      </w:tblPr>
      <w:tblGrid>
        <w:gridCol w:w="1700"/>
        <w:gridCol w:w="2187"/>
        <w:gridCol w:w="1953"/>
        <w:gridCol w:w="1557"/>
      </w:tblGrid>
      <w:tr w:rsidR="006675DF" w:rsidTr="000C30E3">
        <w:tc>
          <w:tcPr>
            <w:tcW w:w="2066" w:type="dxa"/>
            <w:tcBorders>
              <w:top w:val="single" w:sz="12" w:space="0" w:color="auto"/>
              <w:left w:val="single" w:sz="12" w:space="0" w:color="auto"/>
              <w:bottom w:val="single" w:sz="12" w:space="0" w:color="auto"/>
            </w:tcBorders>
          </w:tcPr>
          <w:p w:rsidR="006675DF" w:rsidRDefault="006675DF" w:rsidP="000C30E3">
            <w:pPr>
              <w:rPr>
                <w:rFonts w:cs="Arial"/>
              </w:rPr>
            </w:pPr>
          </w:p>
        </w:tc>
        <w:tc>
          <w:tcPr>
            <w:tcW w:w="2272" w:type="dxa"/>
            <w:tcBorders>
              <w:top w:val="single" w:sz="12" w:space="0" w:color="auto"/>
              <w:bottom w:val="single" w:sz="12" w:space="0" w:color="auto"/>
            </w:tcBorders>
          </w:tcPr>
          <w:p w:rsidR="006675DF" w:rsidRDefault="006675DF" w:rsidP="000C30E3">
            <w:pPr>
              <w:jc w:val="center"/>
              <w:rPr>
                <w:rFonts w:cs="Arial"/>
              </w:rPr>
            </w:pPr>
            <w:r>
              <w:rPr>
                <w:rFonts w:cs="Arial"/>
              </w:rPr>
              <w:t>Massestrømsgrænse</w:t>
            </w:r>
          </w:p>
        </w:tc>
        <w:tc>
          <w:tcPr>
            <w:tcW w:w="2097" w:type="dxa"/>
            <w:tcBorders>
              <w:top w:val="single" w:sz="12" w:space="0" w:color="auto"/>
              <w:bottom w:val="single" w:sz="12" w:space="0" w:color="auto"/>
            </w:tcBorders>
          </w:tcPr>
          <w:p w:rsidR="006675DF" w:rsidRDefault="006675DF" w:rsidP="000C30E3">
            <w:pPr>
              <w:jc w:val="center"/>
              <w:rPr>
                <w:rFonts w:cs="Arial"/>
              </w:rPr>
            </w:pPr>
            <w:r>
              <w:rPr>
                <w:rFonts w:cs="Arial"/>
              </w:rPr>
              <w:t>Emissionsgrænse</w:t>
            </w:r>
          </w:p>
        </w:tc>
        <w:tc>
          <w:tcPr>
            <w:tcW w:w="2052" w:type="dxa"/>
            <w:tcBorders>
              <w:top w:val="single" w:sz="12" w:space="0" w:color="auto"/>
              <w:bottom w:val="single" w:sz="12" w:space="0" w:color="auto"/>
              <w:right w:val="single" w:sz="12" w:space="0" w:color="auto"/>
            </w:tcBorders>
          </w:tcPr>
          <w:p w:rsidR="006675DF" w:rsidRDefault="006675DF" w:rsidP="000C30E3">
            <w:pPr>
              <w:jc w:val="center"/>
              <w:rPr>
                <w:rFonts w:cs="Arial"/>
              </w:rPr>
            </w:pPr>
            <w:r>
              <w:rPr>
                <w:rFonts w:cs="Arial"/>
              </w:rPr>
              <w:t>B-værdi</w:t>
            </w:r>
          </w:p>
        </w:tc>
      </w:tr>
      <w:tr w:rsidR="006675DF" w:rsidTr="000C30E3">
        <w:tc>
          <w:tcPr>
            <w:tcW w:w="2066" w:type="dxa"/>
            <w:tcBorders>
              <w:left w:val="single" w:sz="12" w:space="0" w:color="auto"/>
            </w:tcBorders>
          </w:tcPr>
          <w:p w:rsidR="006675DF" w:rsidRDefault="006675DF" w:rsidP="000C30E3">
            <w:pPr>
              <w:rPr>
                <w:rFonts w:cs="Arial"/>
              </w:rPr>
            </w:pPr>
            <w:r>
              <w:rPr>
                <w:rFonts w:cs="Arial"/>
              </w:rPr>
              <w:t>Krom</w:t>
            </w:r>
          </w:p>
        </w:tc>
        <w:tc>
          <w:tcPr>
            <w:tcW w:w="2272" w:type="dxa"/>
            <w:vMerge w:val="restart"/>
          </w:tcPr>
          <w:p w:rsidR="006675DF" w:rsidRDefault="006675DF" w:rsidP="000C30E3">
            <w:pPr>
              <w:jc w:val="center"/>
              <w:rPr>
                <w:rFonts w:cs="Arial"/>
              </w:rPr>
            </w:pPr>
          </w:p>
          <w:p w:rsidR="006675DF" w:rsidRDefault="006675DF" w:rsidP="000C30E3">
            <w:pPr>
              <w:jc w:val="center"/>
              <w:rPr>
                <w:rFonts w:cs="Arial"/>
              </w:rPr>
            </w:pPr>
            <w:r>
              <w:rPr>
                <w:rFonts w:cs="Arial"/>
              </w:rPr>
              <w:t>25 g/h</w:t>
            </w:r>
          </w:p>
        </w:tc>
        <w:tc>
          <w:tcPr>
            <w:tcW w:w="2097" w:type="dxa"/>
            <w:vMerge w:val="restart"/>
          </w:tcPr>
          <w:p w:rsidR="006675DF" w:rsidRDefault="006675DF" w:rsidP="000C30E3">
            <w:pPr>
              <w:jc w:val="center"/>
              <w:rPr>
                <w:rFonts w:cs="Arial"/>
              </w:rPr>
            </w:pPr>
          </w:p>
          <w:p w:rsidR="006675DF" w:rsidRDefault="006675DF" w:rsidP="000C30E3">
            <w:pPr>
              <w:jc w:val="center"/>
              <w:rPr>
                <w:rFonts w:cs="Arial"/>
              </w:rPr>
            </w:pPr>
            <w:r>
              <w:rPr>
                <w:rFonts w:cs="Arial"/>
              </w:rPr>
              <w:t>5 mg/Nm3 tør</w:t>
            </w:r>
          </w:p>
        </w:tc>
        <w:tc>
          <w:tcPr>
            <w:tcW w:w="2052" w:type="dxa"/>
            <w:tcBorders>
              <w:right w:val="single" w:sz="12" w:space="0" w:color="auto"/>
            </w:tcBorders>
          </w:tcPr>
          <w:p w:rsidR="006675DF" w:rsidRDefault="006675DF" w:rsidP="000C30E3">
            <w:pPr>
              <w:jc w:val="center"/>
              <w:rPr>
                <w:rFonts w:cs="Arial"/>
              </w:rPr>
            </w:pPr>
            <w:r>
              <w:rPr>
                <w:rFonts w:cs="Arial"/>
              </w:rPr>
              <w:t>0,001</w:t>
            </w:r>
          </w:p>
        </w:tc>
      </w:tr>
      <w:tr w:rsidR="006675DF" w:rsidTr="000C30E3">
        <w:tc>
          <w:tcPr>
            <w:tcW w:w="2066" w:type="dxa"/>
            <w:tcBorders>
              <w:left w:val="single" w:sz="12" w:space="0" w:color="auto"/>
            </w:tcBorders>
          </w:tcPr>
          <w:p w:rsidR="006675DF" w:rsidRDefault="006675DF" w:rsidP="000C30E3">
            <w:pPr>
              <w:rPr>
                <w:rFonts w:cs="Arial"/>
              </w:rPr>
            </w:pPr>
            <w:r>
              <w:rPr>
                <w:rFonts w:cs="Arial"/>
              </w:rPr>
              <w:t>Aluminium</w:t>
            </w:r>
          </w:p>
        </w:tc>
        <w:tc>
          <w:tcPr>
            <w:tcW w:w="2272" w:type="dxa"/>
            <w:vMerge/>
          </w:tcPr>
          <w:p w:rsidR="006675DF" w:rsidRDefault="006675DF" w:rsidP="000C30E3">
            <w:pPr>
              <w:jc w:val="center"/>
              <w:rPr>
                <w:rFonts w:cs="Arial"/>
              </w:rPr>
            </w:pPr>
          </w:p>
        </w:tc>
        <w:tc>
          <w:tcPr>
            <w:tcW w:w="2097" w:type="dxa"/>
            <w:vMerge/>
          </w:tcPr>
          <w:p w:rsidR="006675DF" w:rsidRDefault="006675DF" w:rsidP="000C30E3">
            <w:pPr>
              <w:jc w:val="center"/>
              <w:rPr>
                <w:rFonts w:cs="Arial"/>
              </w:rPr>
            </w:pPr>
          </w:p>
        </w:tc>
        <w:tc>
          <w:tcPr>
            <w:tcW w:w="2052" w:type="dxa"/>
            <w:tcBorders>
              <w:right w:val="single" w:sz="12" w:space="0" w:color="auto"/>
            </w:tcBorders>
          </w:tcPr>
          <w:p w:rsidR="006675DF" w:rsidRDefault="006675DF" w:rsidP="000C30E3">
            <w:pPr>
              <w:jc w:val="center"/>
              <w:rPr>
                <w:rFonts w:cs="Arial"/>
              </w:rPr>
            </w:pPr>
            <w:r>
              <w:rPr>
                <w:rFonts w:cs="Arial"/>
              </w:rPr>
              <w:t>0,01</w:t>
            </w:r>
          </w:p>
        </w:tc>
      </w:tr>
      <w:tr w:rsidR="006675DF" w:rsidTr="000C30E3">
        <w:tc>
          <w:tcPr>
            <w:tcW w:w="2066" w:type="dxa"/>
            <w:tcBorders>
              <w:left w:val="single" w:sz="12" w:space="0" w:color="auto"/>
            </w:tcBorders>
          </w:tcPr>
          <w:p w:rsidR="006675DF" w:rsidRDefault="006675DF" w:rsidP="000C30E3">
            <w:pPr>
              <w:rPr>
                <w:rFonts w:cs="Arial"/>
              </w:rPr>
            </w:pPr>
            <w:r>
              <w:rPr>
                <w:rFonts w:cs="Arial"/>
              </w:rPr>
              <w:t>Platin</w:t>
            </w:r>
          </w:p>
        </w:tc>
        <w:tc>
          <w:tcPr>
            <w:tcW w:w="2272" w:type="dxa"/>
            <w:vMerge/>
          </w:tcPr>
          <w:p w:rsidR="006675DF" w:rsidRDefault="006675DF" w:rsidP="000C30E3">
            <w:pPr>
              <w:jc w:val="center"/>
              <w:rPr>
                <w:rFonts w:cs="Arial"/>
              </w:rPr>
            </w:pPr>
          </w:p>
        </w:tc>
        <w:tc>
          <w:tcPr>
            <w:tcW w:w="2097" w:type="dxa"/>
            <w:vMerge/>
          </w:tcPr>
          <w:p w:rsidR="006675DF" w:rsidRDefault="006675DF" w:rsidP="000C30E3">
            <w:pPr>
              <w:jc w:val="center"/>
              <w:rPr>
                <w:rFonts w:cs="Arial"/>
              </w:rPr>
            </w:pPr>
          </w:p>
        </w:tc>
        <w:tc>
          <w:tcPr>
            <w:tcW w:w="2052" w:type="dxa"/>
            <w:tcBorders>
              <w:right w:val="single" w:sz="12" w:space="0" w:color="auto"/>
            </w:tcBorders>
          </w:tcPr>
          <w:p w:rsidR="006675DF" w:rsidRDefault="006675DF" w:rsidP="000C30E3">
            <w:pPr>
              <w:jc w:val="center"/>
              <w:rPr>
                <w:rFonts w:cs="Arial"/>
              </w:rPr>
            </w:pPr>
            <w:r>
              <w:rPr>
                <w:rFonts w:cs="Arial"/>
              </w:rPr>
              <w:t>-</w:t>
            </w:r>
          </w:p>
        </w:tc>
      </w:tr>
      <w:tr w:rsidR="006675DF" w:rsidTr="000C30E3">
        <w:tc>
          <w:tcPr>
            <w:tcW w:w="2066" w:type="dxa"/>
            <w:tcBorders>
              <w:left w:val="single" w:sz="12" w:space="0" w:color="auto"/>
            </w:tcBorders>
          </w:tcPr>
          <w:p w:rsidR="006675DF" w:rsidRDefault="006675DF" w:rsidP="000C30E3">
            <w:pPr>
              <w:rPr>
                <w:rFonts w:cs="Arial"/>
              </w:rPr>
            </w:pPr>
            <w:r>
              <w:rPr>
                <w:rFonts w:cs="Arial"/>
              </w:rPr>
              <w:t>Rhodium</w:t>
            </w:r>
          </w:p>
        </w:tc>
        <w:tc>
          <w:tcPr>
            <w:tcW w:w="2272" w:type="dxa"/>
            <w:vMerge/>
          </w:tcPr>
          <w:p w:rsidR="006675DF" w:rsidRDefault="006675DF" w:rsidP="000C30E3">
            <w:pPr>
              <w:jc w:val="center"/>
              <w:rPr>
                <w:rFonts w:cs="Arial"/>
              </w:rPr>
            </w:pPr>
          </w:p>
        </w:tc>
        <w:tc>
          <w:tcPr>
            <w:tcW w:w="2097" w:type="dxa"/>
            <w:vMerge/>
          </w:tcPr>
          <w:p w:rsidR="006675DF" w:rsidRDefault="006675DF" w:rsidP="000C30E3">
            <w:pPr>
              <w:jc w:val="center"/>
              <w:rPr>
                <w:rFonts w:cs="Arial"/>
              </w:rPr>
            </w:pPr>
          </w:p>
        </w:tc>
        <w:tc>
          <w:tcPr>
            <w:tcW w:w="2052" w:type="dxa"/>
            <w:tcBorders>
              <w:right w:val="single" w:sz="12" w:space="0" w:color="auto"/>
            </w:tcBorders>
          </w:tcPr>
          <w:p w:rsidR="006675DF" w:rsidRDefault="006675DF" w:rsidP="000C30E3">
            <w:pPr>
              <w:jc w:val="center"/>
              <w:rPr>
                <w:rFonts w:cs="Arial"/>
              </w:rPr>
            </w:pPr>
            <w:r>
              <w:rPr>
                <w:rFonts w:cs="Arial"/>
              </w:rPr>
              <w:t>-</w:t>
            </w:r>
          </w:p>
        </w:tc>
      </w:tr>
      <w:tr w:rsidR="006675DF" w:rsidTr="000C30E3">
        <w:tc>
          <w:tcPr>
            <w:tcW w:w="2066" w:type="dxa"/>
            <w:tcBorders>
              <w:left w:val="single" w:sz="12" w:space="0" w:color="auto"/>
            </w:tcBorders>
          </w:tcPr>
          <w:p w:rsidR="006675DF" w:rsidRDefault="006675DF" w:rsidP="000C30E3">
            <w:pPr>
              <w:rPr>
                <w:rFonts w:cs="Arial"/>
              </w:rPr>
            </w:pPr>
            <w:r>
              <w:rPr>
                <w:rFonts w:cs="Arial"/>
              </w:rPr>
              <w:t>Palladium</w:t>
            </w:r>
          </w:p>
        </w:tc>
        <w:tc>
          <w:tcPr>
            <w:tcW w:w="2272" w:type="dxa"/>
            <w:vMerge/>
          </w:tcPr>
          <w:p w:rsidR="006675DF" w:rsidRDefault="006675DF" w:rsidP="000C30E3">
            <w:pPr>
              <w:jc w:val="center"/>
              <w:rPr>
                <w:rFonts w:cs="Arial"/>
              </w:rPr>
            </w:pPr>
          </w:p>
        </w:tc>
        <w:tc>
          <w:tcPr>
            <w:tcW w:w="2097" w:type="dxa"/>
            <w:vMerge/>
          </w:tcPr>
          <w:p w:rsidR="006675DF" w:rsidRDefault="006675DF" w:rsidP="000C30E3">
            <w:pPr>
              <w:jc w:val="center"/>
              <w:rPr>
                <w:rFonts w:cs="Arial"/>
              </w:rPr>
            </w:pPr>
          </w:p>
        </w:tc>
        <w:tc>
          <w:tcPr>
            <w:tcW w:w="2052" w:type="dxa"/>
            <w:tcBorders>
              <w:right w:val="single" w:sz="12" w:space="0" w:color="auto"/>
            </w:tcBorders>
          </w:tcPr>
          <w:p w:rsidR="006675DF" w:rsidRDefault="006675DF" w:rsidP="000C30E3">
            <w:pPr>
              <w:jc w:val="center"/>
              <w:rPr>
                <w:rFonts w:cs="Arial"/>
              </w:rPr>
            </w:pPr>
            <w:r>
              <w:rPr>
                <w:rFonts w:cs="Arial"/>
              </w:rPr>
              <w:t>-</w:t>
            </w:r>
          </w:p>
        </w:tc>
      </w:tr>
      <w:tr w:rsidR="006675DF" w:rsidTr="000C30E3">
        <w:tc>
          <w:tcPr>
            <w:tcW w:w="2066" w:type="dxa"/>
            <w:tcBorders>
              <w:left w:val="single" w:sz="12" w:space="0" w:color="auto"/>
              <w:bottom w:val="single" w:sz="12" w:space="0" w:color="auto"/>
            </w:tcBorders>
          </w:tcPr>
          <w:p w:rsidR="006675DF" w:rsidRDefault="006675DF" w:rsidP="000C30E3">
            <w:pPr>
              <w:rPr>
                <w:rFonts w:cs="Arial"/>
              </w:rPr>
            </w:pPr>
            <w:r>
              <w:rPr>
                <w:rFonts w:cs="Arial"/>
              </w:rPr>
              <w:t>Støv i øvrigt</w:t>
            </w:r>
          </w:p>
        </w:tc>
        <w:tc>
          <w:tcPr>
            <w:tcW w:w="2272" w:type="dxa"/>
            <w:tcBorders>
              <w:bottom w:val="single" w:sz="12" w:space="0" w:color="auto"/>
            </w:tcBorders>
          </w:tcPr>
          <w:p w:rsidR="006675DF" w:rsidRDefault="006675DF" w:rsidP="000C30E3">
            <w:pPr>
              <w:jc w:val="center"/>
              <w:rPr>
                <w:rFonts w:cs="Arial"/>
              </w:rPr>
            </w:pPr>
            <w:r>
              <w:rPr>
                <w:rFonts w:cs="Arial"/>
              </w:rPr>
              <w:t>&lt; 0,5 kg/h</w:t>
            </w:r>
          </w:p>
          <w:p w:rsidR="006675DF" w:rsidRDefault="006675DF" w:rsidP="000C30E3">
            <w:pPr>
              <w:jc w:val="center"/>
              <w:rPr>
                <w:rFonts w:cs="Arial"/>
              </w:rPr>
            </w:pPr>
            <w:r>
              <w:rPr>
                <w:rFonts w:cs="Arial"/>
              </w:rPr>
              <w:t>0,5 – 5 kg/h</w:t>
            </w:r>
          </w:p>
          <w:p w:rsidR="006675DF" w:rsidRDefault="006675DF" w:rsidP="000C30E3">
            <w:pPr>
              <w:jc w:val="center"/>
              <w:rPr>
                <w:rFonts w:cs="Arial"/>
              </w:rPr>
            </w:pPr>
            <w:r>
              <w:rPr>
                <w:rFonts w:cs="Arial"/>
              </w:rPr>
              <w:t>&gt;5 kg/h</w:t>
            </w:r>
          </w:p>
        </w:tc>
        <w:tc>
          <w:tcPr>
            <w:tcW w:w="2097" w:type="dxa"/>
            <w:tcBorders>
              <w:bottom w:val="single" w:sz="12" w:space="0" w:color="auto"/>
            </w:tcBorders>
          </w:tcPr>
          <w:p w:rsidR="006675DF" w:rsidRDefault="006675DF" w:rsidP="000C30E3">
            <w:pPr>
              <w:jc w:val="center"/>
              <w:rPr>
                <w:rFonts w:cs="Arial"/>
              </w:rPr>
            </w:pPr>
            <w:r>
              <w:rPr>
                <w:rFonts w:cs="Arial"/>
              </w:rPr>
              <w:t>300 mg/Nm3 tør</w:t>
            </w:r>
          </w:p>
          <w:p w:rsidR="006675DF" w:rsidRDefault="006675DF" w:rsidP="000C30E3">
            <w:pPr>
              <w:jc w:val="center"/>
              <w:rPr>
                <w:rFonts w:cs="Arial"/>
              </w:rPr>
            </w:pPr>
            <w:r>
              <w:rPr>
                <w:rFonts w:cs="Arial"/>
              </w:rPr>
              <w:t>50 mg/Nm3 tør</w:t>
            </w:r>
          </w:p>
          <w:p w:rsidR="006675DF" w:rsidRDefault="006675DF" w:rsidP="000C30E3">
            <w:pPr>
              <w:jc w:val="center"/>
              <w:rPr>
                <w:rFonts w:cs="Arial"/>
              </w:rPr>
            </w:pPr>
            <w:r>
              <w:rPr>
                <w:rFonts w:cs="Arial"/>
              </w:rPr>
              <w:t>10 mg/Nm3 tør</w:t>
            </w:r>
          </w:p>
        </w:tc>
        <w:tc>
          <w:tcPr>
            <w:tcW w:w="2052" w:type="dxa"/>
            <w:tcBorders>
              <w:bottom w:val="single" w:sz="12" w:space="0" w:color="auto"/>
              <w:right w:val="single" w:sz="12" w:space="0" w:color="auto"/>
            </w:tcBorders>
          </w:tcPr>
          <w:p w:rsidR="006675DF" w:rsidRDefault="006675DF" w:rsidP="000C30E3">
            <w:pPr>
              <w:jc w:val="center"/>
              <w:rPr>
                <w:rFonts w:cs="Arial"/>
              </w:rPr>
            </w:pPr>
            <w:r>
              <w:rPr>
                <w:rFonts w:cs="Arial"/>
              </w:rPr>
              <w:t>0,08 mg/m3</w:t>
            </w:r>
          </w:p>
        </w:tc>
      </w:tr>
    </w:tbl>
    <w:p w:rsidR="006675DF" w:rsidRDefault="006675DF" w:rsidP="006675DF"/>
    <w:p w:rsidR="006675DF" w:rsidRDefault="006675DF" w:rsidP="006675DF">
      <w:pPr>
        <w:rPr>
          <w:rFonts w:cs="Arial"/>
        </w:rPr>
      </w:pPr>
      <w:r>
        <w:rPr>
          <w:rFonts w:cs="Arial"/>
        </w:rPr>
        <w:t>Massestrømmen er den mængde, som virksomheden ville udlede, hvis der ikke var et filter, og gælder som gennemsnit over de mest belastede syv timer. Grænserne skal forstås således, at hvis grænsen for massestrøm overskrides, skal grænsen for emission overholdes. Emissionen er den koncentration, der er i afkastet. Da alle metaller tilhører samme klasse, skal man regne med summen.</w:t>
      </w:r>
    </w:p>
    <w:p w:rsidR="006675DF" w:rsidRDefault="006675DF" w:rsidP="006675DF">
      <w:pPr>
        <w:rPr>
          <w:rFonts w:cs="Arial"/>
        </w:rPr>
      </w:pPr>
    </w:p>
    <w:p w:rsidR="006675DF" w:rsidRDefault="006675DF" w:rsidP="006675DF">
      <w:pPr>
        <w:rPr>
          <w:rFonts w:cs="Arial"/>
        </w:rPr>
      </w:pPr>
      <w:r>
        <w:rPr>
          <w:rFonts w:cs="Arial"/>
        </w:rPr>
        <w:t>Med en rensegrad på 99% vil den målte udledning på 241 mg aluminium + 5 mg krom pr. time betyde, at massestrømmen af de to metaller er 25 g/h. Ved et mere konservativt skøn for rensegraden af filteret, vil grænsen for massestrøm være overskredet. Kommunen skal derfor meddele vilkår med grænser for emission, krav om filter samt regelmæssig egenkontrol.</w:t>
      </w:r>
    </w:p>
    <w:p w:rsidR="006675DF" w:rsidRDefault="006675DF" w:rsidP="006675DF">
      <w:pPr>
        <w:rPr>
          <w:rFonts w:cs="Arial"/>
          <w:u w:val="single"/>
        </w:rPr>
      </w:pPr>
    </w:p>
    <w:p w:rsidR="006675DF" w:rsidRPr="0086400B" w:rsidRDefault="006675DF" w:rsidP="006675DF">
      <w:pPr>
        <w:rPr>
          <w:rFonts w:cs="Arial"/>
          <w:u w:val="single"/>
        </w:rPr>
      </w:pPr>
      <w:r w:rsidRPr="0086400B">
        <w:rPr>
          <w:rFonts w:cs="Arial"/>
          <w:u w:val="single"/>
        </w:rPr>
        <w:t>B-værdier</w:t>
      </w:r>
    </w:p>
    <w:p w:rsidR="006675DF" w:rsidRPr="00A24291" w:rsidRDefault="006675DF" w:rsidP="006675DF">
      <w:pPr>
        <w:rPr>
          <w:rFonts w:cs="Arial"/>
        </w:rPr>
      </w:pPr>
      <w:r>
        <w:rPr>
          <w:rFonts w:cs="Arial"/>
        </w:rPr>
        <w:t>B-værdien er den værdi, som virksomheden må bidrage med til koncentrationen af det pågældende stof i omgivelserne uden for skel.  Virksomheden har fået lavet en OML-beregning, der dels viser om b-værdierne er overholdt og dels hvor høje afkastene må være. Beregningen viser, at hvis emissionen fra hver af de tre nye maskiner er som emissionen fra den eksisterende maskine var i 2020, vil et afkast på en meter over tag sikre, at b-værdierne bliver overholdt med god margen. Faktisk kan emissionen fra hvert afkast være syv gange større uden b-værdien overskrides – men emissionen kan ikke være så høj som emissionsgrænsen på de 25 mg/Nm</w:t>
      </w:r>
      <w:r>
        <w:rPr>
          <w:rFonts w:cs="Arial"/>
          <w:vertAlign w:val="superscript"/>
        </w:rPr>
        <w:t>3</w:t>
      </w:r>
      <w:r>
        <w:rPr>
          <w:rFonts w:cs="Arial"/>
        </w:rPr>
        <w:t>.</w:t>
      </w:r>
    </w:p>
    <w:p w:rsidR="006675DF" w:rsidRDefault="006675DF" w:rsidP="006675DF">
      <w:pPr>
        <w:rPr>
          <w:rFonts w:cs="Arial"/>
        </w:rPr>
      </w:pPr>
    </w:p>
    <w:p w:rsidR="006675DF" w:rsidRDefault="006675DF" w:rsidP="006675DF">
      <w:pPr>
        <w:rPr>
          <w:rFonts w:cs="Arial"/>
        </w:rPr>
      </w:pPr>
      <w:r>
        <w:rPr>
          <w:rFonts w:cs="Arial"/>
        </w:rPr>
        <w:t xml:space="preserve">Normalt regner man en OML-beregning ud fra grænsen for emission, for at vise hvor højt afkastet skal være.  </w:t>
      </w:r>
    </w:p>
    <w:p w:rsidR="006675DF" w:rsidRDefault="006675DF" w:rsidP="006675DF">
      <w:pPr>
        <w:rPr>
          <w:rFonts w:cs="Arial"/>
        </w:rPr>
      </w:pPr>
    </w:p>
    <w:p w:rsidR="006675DF" w:rsidRDefault="006675DF" w:rsidP="006675DF">
      <w:pPr>
        <w:rPr>
          <w:rFonts w:cs="Arial"/>
        </w:rPr>
      </w:pPr>
      <w:r>
        <w:rPr>
          <w:rFonts w:cs="Arial"/>
        </w:rPr>
        <w:t xml:space="preserve">Virksomheden har i dag en grænse for emission for summen af aluminium på 0,097 mg/sek. Dette er ikke nogen rigtig god grænse, da men ikke kan skelne mellem aluminium og krom. En grænse for støv på </w:t>
      </w:r>
      <w:r>
        <w:rPr>
          <w:rFonts w:cs="Arial"/>
          <w:u w:val="single"/>
        </w:rPr>
        <w:t>0,7</w:t>
      </w:r>
      <w:r w:rsidRPr="005A05C0">
        <w:rPr>
          <w:rFonts w:cs="Arial"/>
          <w:u w:val="single"/>
        </w:rPr>
        <w:t xml:space="preserve"> mg/Nm</w:t>
      </w:r>
      <w:r w:rsidRPr="005A05C0">
        <w:rPr>
          <w:rFonts w:cs="Arial"/>
          <w:u w:val="single"/>
          <w:vertAlign w:val="superscript"/>
        </w:rPr>
        <w:t>3</w:t>
      </w:r>
      <w:r>
        <w:rPr>
          <w:rFonts w:cs="Arial"/>
        </w:rPr>
        <w:t xml:space="preserve"> vil sikre både grænsen for emission og grænsen for immission er overholdt, for både partikler, aluminium og krom.</w:t>
      </w:r>
    </w:p>
    <w:p w:rsidR="006675DF" w:rsidRDefault="006675DF" w:rsidP="006675DF">
      <w:pPr>
        <w:rPr>
          <w:rFonts w:cs="Arial"/>
        </w:rPr>
      </w:pPr>
    </w:p>
    <w:p w:rsidR="006675DF" w:rsidRPr="00F15202" w:rsidRDefault="006675DF" w:rsidP="006675DF">
      <w:pPr>
        <w:rPr>
          <w:rFonts w:cs="Arial"/>
          <w:u w:val="single"/>
        </w:rPr>
      </w:pPr>
      <w:r w:rsidRPr="00F15202">
        <w:rPr>
          <w:rFonts w:cs="Arial"/>
          <w:u w:val="single"/>
        </w:rPr>
        <w:t xml:space="preserve">Egenkontrol   </w:t>
      </w:r>
    </w:p>
    <w:p w:rsidR="006675DF" w:rsidRDefault="006675DF" w:rsidP="006675DF">
      <w:pPr>
        <w:rPr>
          <w:rFonts w:cs="Arial"/>
        </w:rPr>
      </w:pPr>
      <w:r>
        <w:rPr>
          <w:rFonts w:cs="Arial"/>
        </w:rPr>
        <w:t>Miljøstyrelsen anbefaler i luftvejledningen at når grænsen for massestrøm er overskredet, bør kommunen kræve, at virksomheden dokumenterer, at filteret fungerer som det skal med en årlig præstationsprøve. Virksomheden har i dag et krav om en årlig præstationsprøve. Kommunen har dog lempet kravet til en måling hvert andet år, når virksomheden tilser rengassiden af filteret og rengør det mindst en gang om ugen. Og på betingelse af at den målte emission kun udgør 75% af grænsen eller mindre.</w:t>
      </w:r>
    </w:p>
    <w:p w:rsidR="006675DF" w:rsidRDefault="006675DF" w:rsidP="006675DF">
      <w:pPr>
        <w:rPr>
          <w:rFonts w:cs="Arial"/>
        </w:rPr>
      </w:pPr>
    </w:p>
    <w:p w:rsidR="006675DF" w:rsidRPr="005A05C0" w:rsidRDefault="006675DF" w:rsidP="006675DF">
      <w:pPr>
        <w:rPr>
          <w:rFonts w:cs="Arial"/>
          <w:b/>
        </w:rPr>
      </w:pPr>
      <w:r w:rsidRPr="005A05C0">
        <w:rPr>
          <w:b/>
        </w:rPr>
        <w:t>Støj</w:t>
      </w:r>
    </w:p>
    <w:p w:rsidR="006675DF" w:rsidRDefault="006675DF" w:rsidP="006675DF">
      <w:r w:rsidRPr="0016187C">
        <w:t>Virksomheden har i dag betydelig begrænsning på sine aktiviteter med håndtering af skrot for at kunne overholde grænser for støj. Dette er reguleret i påbud af 27. juli 2018. Virksomheden kan derfor ikke få en ny betydende støjkilde uden at skulle reducere en anden støjkilde.</w:t>
      </w:r>
      <w:r>
        <w:t xml:space="preserve"> </w:t>
      </w:r>
    </w:p>
    <w:p w:rsidR="006675DF" w:rsidRDefault="006675DF" w:rsidP="006675DF"/>
    <w:p w:rsidR="006675DF" w:rsidRDefault="006675DF" w:rsidP="006675DF">
      <w:r>
        <w:t>Virksomheden har siden september 2021 har virks</w:t>
      </w:r>
      <w:r w:rsidR="006A41AF">
        <w:t>omheden hverken miljøbehandlet b</w:t>
      </w:r>
      <w:r>
        <w:t>iler eller modtaget skrot og blyholdige batterier til sortering. Virksomheden ønsker dog fortsat at bevare miljøgodkendelsen til at håndtere skrot. Det er følgende miljøgodkendelser:</w:t>
      </w:r>
    </w:p>
    <w:p w:rsidR="006675DF" w:rsidRDefault="006675DF" w:rsidP="006675DF">
      <w:pPr>
        <w:pStyle w:val="Listeafsnit"/>
        <w:numPr>
          <w:ilvl w:val="0"/>
          <w:numId w:val="6"/>
        </w:numPr>
      </w:pPr>
      <w:r>
        <w:t>Selve miljøgodkendelsen2. juli 2007</w:t>
      </w:r>
    </w:p>
    <w:p w:rsidR="006675DF" w:rsidRDefault="006675DF" w:rsidP="006675DF">
      <w:pPr>
        <w:pStyle w:val="Listeafsnit"/>
        <w:numPr>
          <w:ilvl w:val="0"/>
          <w:numId w:val="6"/>
        </w:numPr>
      </w:pPr>
      <w:r w:rsidRPr="00F35B24">
        <w:t>Ændrede vilkår om overfladevand og nye frister af 1. juli 2011</w:t>
      </w:r>
    </w:p>
    <w:p w:rsidR="006675DF" w:rsidRDefault="006675DF" w:rsidP="006675DF">
      <w:pPr>
        <w:pStyle w:val="Listeafsnit"/>
        <w:numPr>
          <w:ilvl w:val="0"/>
          <w:numId w:val="6"/>
        </w:numPr>
      </w:pPr>
      <w:r>
        <w:t>Tilladelse til overfladevand til offentlig kloak af 19. april 2016</w:t>
      </w:r>
    </w:p>
    <w:p w:rsidR="006675DF" w:rsidRDefault="006675DF" w:rsidP="006675DF">
      <w:pPr>
        <w:pStyle w:val="Listeafsnit"/>
        <w:numPr>
          <w:ilvl w:val="0"/>
          <w:numId w:val="6"/>
        </w:numPr>
      </w:pPr>
      <w:r>
        <w:t>Lempelse af delvist standsningspåbud af 27. juli 2018</w:t>
      </w:r>
    </w:p>
    <w:p w:rsidR="006675DF" w:rsidRDefault="006675DF" w:rsidP="006675DF">
      <w:pPr>
        <w:rPr>
          <w:u w:val="single"/>
        </w:rPr>
      </w:pPr>
    </w:p>
    <w:p w:rsidR="006675DF" w:rsidRDefault="006675DF" w:rsidP="006675DF">
      <w:pPr>
        <w:rPr>
          <w:u w:val="single"/>
        </w:rPr>
      </w:pPr>
      <w:r>
        <w:rPr>
          <w:u w:val="single"/>
        </w:rPr>
        <w:t>Spildevand</w:t>
      </w:r>
    </w:p>
    <w:p w:rsidR="006675DF" w:rsidRDefault="006675DF" w:rsidP="006675DF">
      <w:r>
        <w:t>Der vil ikke være noget spildevand.</w:t>
      </w:r>
    </w:p>
    <w:p w:rsidR="006675DF" w:rsidRDefault="006675DF" w:rsidP="006675DF"/>
    <w:p w:rsidR="006675DF" w:rsidRPr="00F61819" w:rsidRDefault="006675DF" w:rsidP="006675DF">
      <w:pPr>
        <w:rPr>
          <w:u w:val="single"/>
        </w:rPr>
      </w:pPr>
      <w:r w:rsidRPr="001C5899">
        <w:rPr>
          <w:u w:val="single"/>
        </w:rPr>
        <w:t>Affald</w:t>
      </w:r>
    </w:p>
    <w:p w:rsidR="006675DF" w:rsidRDefault="006675DF" w:rsidP="006675DF">
      <w:r>
        <w:t>Virksomheden har i dag tilladelse til at opbevare 5.000 hele katalysatorer og 5.400 ton keramisk katalysatormateriale. Virksomheden har ikke ønsket at opbevare mere.</w:t>
      </w:r>
    </w:p>
    <w:p w:rsidR="006675DF" w:rsidRDefault="006675DF" w:rsidP="006675DF"/>
    <w:p w:rsidR="006675DF" w:rsidRPr="00B87F0B" w:rsidRDefault="006675DF" w:rsidP="006675DF">
      <w:pPr>
        <w:rPr>
          <w:b/>
        </w:rPr>
      </w:pPr>
      <w:r w:rsidRPr="00B87F0B">
        <w:rPr>
          <w:b/>
        </w:rPr>
        <w:t>Kommunens vurdering</w:t>
      </w:r>
    </w:p>
    <w:p w:rsidR="006675DF" w:rsidRDefault="006675DF" w:rsidP="006675DF">
      <w:r>
        <w:t xml:space="preserve">Da der ikke er plads til nogen nye betydelige støjkilder i forhold til virksomhedens øvrige drift, vurderer kommunen at vi bør stille vilkår om at virksomheden ikke må modtage og håndtere andet skrot end katalysatorer på de dage, hvor den arbejder med katalysatorer. Kommunen forventer, at virksomheden på den måde vil overholde de gældende grænser for støj. </w:t>
      </w:r>
    </w:p>
    <w:p w:rsidR="006675DF" w:rsidRPr="00FC3626" w:rsidRDefault="006675DF" w:rsidP="006675DF">
      <w:pPr>
        <w:spacing w:line="240" w:lineRule="auto"/>
      </w:pPr>
    </w:p>
    <w:p w:rsidR="006675DF" w:rsidRPr="00FC3626" w:rsidRDefault="006675DF" w:rsidP="006675DF">
      <w:pPr>
        <w:spacing w:line="240" w:lineRule="auto"/>
        <w:rPr>
          <w:u w:val="single"/>
        </w:rPr>
      </w:pPr>
      <w:r w:rsidRPr="00FC3626">
        <w:rPr>
          <w:u w:val="single"/>
        </w:rPr>
        <w:t>Miljø</w:t>
      </w:r>
    </w:p>
    <w:p w:rsidR="006675DF" w:rsidRPr="00FC3626" w:rsidRDefault="006675DF" w:rsidP="006675DF">
      <w:pPr>
        <w:spacing w:line="240" w:lineRule="auto"/>
      </w:pPr>
      <w:r w:rsidRPr="00FC3626">
        <w:t xml:space="preserve">Helsingør Kommune vurderer, at virksomheden har truffet de nødvendige foranstaltninger til at forebygge og begrænse forureningen. Virksomheden har taget hensyn til den teknologiske udvikling, og er indrettet og drevet på en sådan måde at </w:t>
      </w:r>
    </w:p>
    <w:p w:rsidR="006675DF" w:rsidRPr="00FC3626" w:rsidRDefault="006675DF" w:rsidP="006675DF">
      <w:pPr>
        <w:pStyle w:val="Listeafsnit"/>
        <w:numPr>
          <w:ilvl w:val="0"/>
          <w:numId w:val="4"/>
        </w:numPr>
        <w:spacing w:line="240" w:lineRule="auto"/>
      </w:pPr>
      <w:r w:rsidRPr="00FC3626">
        <w:t>Energi- og råvareforbruget er udnyttet bedst muligt</w:t>
      </w:r>
    </w:p>
    <w:p w:rsidR="006675DF" w:rsidRPr="00FC3626" w:rsidRDefault="006675DF" w:rsidP="006675DF">
      <w:pPr>
        <w:pStyle w:val="Listeafsnit"/>
        <w:numPr>
          <w:ilvl w:val="0"/>
          <w:numId w:val="4"/>
        </w:numPr>
        <w:spacing w:line="240" w:lineRule="auto"/>
      </w:pPr>
      <w:r w:rsidRPr="00FC3626">
        <w:t>Særligt skadelige stoffer er erstattet af mindre skadelige stoffer hvor det er muligt</w:t>
      </w:r>
    </w:p>
    <w:p w:rsidR="006675DF" w:rsidRPr="00FC3626" w:rsidRDefault="006675DF" w:rsidP="006675DF">
      <w:pPr>
        <w:pStyle w:val="Listeafsnit"/>
        <w:numPr>
          <w:ilvl w:val="0"/>
          <w:numId w:val="4"/>
        </w:numPr>
        <w:spacing w:line="240" w:lineRule="auto"/>
      </w:pPr>
      <w:r w:rsidRPr="00FC3626">
        <w:t>Produktionsprocesserne er optimeret i det omfang det er muligt</w:t>
      </w:r>
    </w:p>
    <w:p w:rsidR="006675DF" w:rsidRPr="00FC3626" w:rsidRDefault="006675DF" w:rsidP="006675DF">
      <w:pPr>
        <w:pStyle w:val="Listeafsnit"/>
        <w:numPr>
          <w:ilvl w:val="0"/>
          <w:numId w:val="4"/>
        </w:numPr>
        <w:spacing w:line="240" w:lineRule="auto"/>
      </w:pPr>
      <w:r w:rsidRPr="00FC3626">
        <w:t>Affaldshierarkiet er fulgt</w:t>
      </w:r>
    </w:p>
    <w:p w:rsidR="006675DF" w:rsidRPr="00FC3626" w:rsidRDefault="006675DF" w:rsidP="006675DF">
      <w:pPr>
        <w:pStyle w:val="Listeafsnit"/>
        <w:numPr>
          <w:ilvl w:val="0"/>
          <w:numId w:val="4"/>
        </w:numPr>
        <w:spacing w:line="240" w:lineRule="auto"/>
      </w:pPr>
      <w:r w:rsidRPr="00FC3626">
        <w:t>Der er, i det omfang forureningen ikke kan undgås, brugt bedste tilgængelige renseteknologi, hvor det er nødvendigt</w:t>
      </w:r>
    </w:p>
    <w:p w:rsidR="006675DF" w:rsidRPr="00FC3626" w:rsidRDefault="006675DF" w:rsidP="006675DF">
      <w:pPr>
        <w:pStyle w:val="Listeafsnit"/>
        <w:numPr>
          <w:ilvl w:val="0"/>
          <w:numId w:val="4"/>
        </w:numPr>
        <w:spacing w:line="240" w:lineRule="auto"/>
      </w:pPr>
      <w:r w:rsidRPr="00FC3626">
        <w:t>Der er truffet nødvendige foranstaltninger for at forebygge uheld og begrænse konsekvenserne heraf.</w:t>
      </w:r>
    </w:p>
    <w:p w:rsidR="006675DF" w:rsidRPr="00FC3626" w:rsidRDefault="006675DF" w:rsidP="006675DF">
      <w:pPr>
        <w:spacing w:line="240" w:lineRule="auto"/>
      </w:pPr>
    </w:p>
    <w:p w:rsidR="006675DF" w:rsidRPr="00AF034C" w:rsidRDefault="006675DF" w:rsidP="006675DF">
      <w:pPr>
        <w:spacing w:line="240" w:lineRule="auto"/>
      </w:pPr>
      <w:r w:rsidRPr="00FC3626">
        <w:t>Helsingør Kommune vurderer at det søgte kan drives på stedet uden at påføre omgivelserne forurening, der er uforenelig med hensynet til omgivelsernes sårbarhed og kvalitet, jf. miljøbeskyttelseslovens kapitel 1. Herunder vurderer vi, at til- og frakørsel til virksomheden vil kunne ske uden væsentlige miljømæssige gener for de omboende.</w:t>
      </w:r>
      <w:r w:rsidRPr="00AF034C">
        <w:t xml:space="preserve"> </w:t>
      </w:r>
    </w:p>
    <w:p w:rsidR="006675DF" w:rsidRDefault="006675DF" w:rsidP="006675DF"/>
    <w:p w:rsidR="006675DF" w:rsidRPr="00945454" w:rsidRDefault="006675DF" w:rsidP="006675DF">
      <w:pPr>
        <w:rPr>
          <w:b/>
        </w:rPr>
      </w:pPr>
    </w:p>
    <w:p w:rsidR="006675DF" w:rsidRPr="00793A76" w:rsidRDefault="006675DF" w:rsidP="006675DF">
      <w:pPr>
        <w:rPr>
          <w:rFonts w:cstheme="minorHAnsi"/>
          <w:b/>
        </w:rPr>
      </w:pPr>
      <w:r w:rsidRPr="00793A76">
        <w:rPr>
          <w:rFonts w:cstheme="minorHAnsi"/>
          <w:b/>
        </w:rPr>
        <w:t>Klagevejledning</w:t>
      </w:r>
    </w:p>
    <w:p w:rsidR="006675DF" w:rsidRPr="00793A76" w:rsidRDefault="006675DF" w:rsidP="006675DF">
      <w:pPr>
        <w:rPr>
          <w:rFonts w:cstheme="minorHAnsi"/>
        </w:rPr>
      </w:pPr>
      <w:r w:rsidRPr="00793A76">
        <w:rPr>
          <w:rFonts w:cstheme="minorHAnsi"/>
        </w:rPr>
        <w:t>I kan klage over afgørelsen. Ønsker I at klage, skal I senest den</w:t>
      </w:r>
      <w:r w:rsidR="006A41AF">
        <w:rPr>
          <w:rFonts w:cstheme="minorHAnsi"/>
        </w:rPr>
        <w:t xml:space="preserve"> 17. november 2022 have</w:t>
      </w:r>
      <w:r w:rsidRPr="00793A76">
        <w:rPr>
          <w:rFonts w:cstheme="minorHAnsi"/>
        </w:rPr>
        <w:t xml:space="preserve"> indtastet klagen i </w:t>
      </w:r>
      <w:hyperlink r:id="rId11" w:history="1">
        <w:r w:rsidRPr="00793A76">
          <w:rPr>
            <w:rStyle w:val="Hyperlink"/>
            <w:rFonts w:eastAsia="Times New Roman" w:cstheme="minorHAnsi"/>
            <w:lang w:eastAsia="da-DK"/>
          </w:rPr>
          <w:t>Klageportalen</w:t>
        </w:r>
      </w:hyperlink>
      <w:r w:rsidRPr="00793A76">
        <w:rPr>
          <w:rFonts w:cstheme="minorHAnsi"/>
        </w:rPr>
        <w:t xml:space="preserve"> til Miljø- og Fødevareklagenævnet.</w:t>
      </w:r>
    </w:p>
    <w:p w:rsidR="006675DF" w:rsidRPr="00793A76" w:rsidRDefault="006675DF" w:rsidP="006675DF">
      <w:pPr>
        <w:spacing w:line="240" w:lineRule="auto"/>
        <w:rPr>
          <w:rFonts w:eastAsia="Times New Roman" w:cstheme="minorHAnsi"/>
          <w:lang w:eastAsia="da-DK"/>
        </w:rPr>
      </w:pPr>
    </w:p>
    <w:p w:rsidR="006675DF" w:rsidRPr="00793A76" w:rsidRDefault="006675DF" w:rsidP="006675DF">
      <w:pPr>
        <w:rPr>
          <w:rFonts w:cstheme="minorHAnsi"/>
        </w:rPr>
      </w:pPr>
      <w:r w:rsidRPr="00793A76">
        <w:rPr>
          <w:rFonts w:cstheme="minorHAnsi"/>
        </w:rPr>
        <w:t>Visse interesseorganisationer kan også klage. Vi sender derfor kopi af afgørelsen til dem, der har ønsket det.</w:t>
      </w:r>
    </w:p>
    <w:p w:rsidR="006675DF" w:rsidRPr="00793A76" w:rsidRDefault="006675DF" w:rsidP="006675DF">
      <w:pPr>
        <w:rPr>
          <w:rFonts w:cstheme="minorHAnsi"/>
        </w:rPr>
      </w:pPr>
    </w:p>
    <w:p w:rsidR="006675DF" w:rsidRPr="00793A76" w:rsidRDefault="006675DF" w:rsidP="006675DF">
      <w:pPr>
        <w:rPr>
          <w:rFonts w:cstheme="minorHAnsi"/>
        </w:rPr>
      </w:pPr>
      <w:r w:rsidRPr="00793A76">
        <w:rPr>
          <w:rFonts w:cstheme="minorHAnsi"/>
        </w:rPr>
        <w:t>Enhver med en individuel interesse i sagen kan også klage. Vi offentliggør derfor afgørelsen på vores hjemmeside. Enhver kan desuden komme til at se kommunens dokumenter i denne sag.</w:t>
      </w:r>
    </w:p>
    <w:p w:rsidR="006675DF" w:rsidRPr="00793A76" w:rsidRDefault="006675DF" w:rsidP="006675DF">
      <w:pPr>
        <w:rPr>
          <w:rFonts w:cstheme="minorHAnsi"/>
        </w:rPr>
      </w:pPr>
    </w:p>
    <w:p w:rsidR="006675DF" w:rsidRPr="00793A76" w:rsidRDefault="006675DF" w:rsidP="006675DF">
      <w:pPr>
        <w:rPr>
          <w:rFonts w:cstheme="minorHAnsi"/>
        </w:rPr>
      </w:pPr>
      <w:r w:rsidRPr="00793A76">
        <w:rPr>
          <w:rFonts w:cstheme="minorHAnsi"/>
        </w:rPr>
        <w:t>Hvis Klagenævnet modtager en klage får</w:t>
      </w:r>
      <w:r>
        <w:rPr>
          <w:rFonts w:cstheme="minorHAnsi"/>
        </w:rPr>
        <w:t xml:space="preserve"> både</w:t>
      </w:r>
      <w:r w:rsidRPr="00793A76">
        <w:rPr>
          <w:rFonts w:cstheme="minorHAnsi"/>
        </w:rPr>
        <w:t xml:space="preserve"> I</w:t>
      </w:r>
      <w:r>
        <w:rPr>
          <w:rFonts w:cstheme="minorHAnsi"/>
        </w:rPr>
        <w:t xml:space="preserve"> og vi</w:t>
      </w:r>
      <w:r w:rsidRPr="00793A76">
        <w:rPr>
          <w:rFonts w:cstheme="minorHAnsi"/>
        </w:rPr>
        <w:t xml:space="preserve"> besked. Det koster for privatpersoner 900 kroner og for virksomheder og organisationer 1800 kroner at få klagen behandlet, og Klagenævnet sender en opkrævning. I får pengene tilbage, hvis I får helt eller delvist medhold i klagen.</w:t>
      </w:r>
    </w:p>
    <w:p w:rsidR="006675DF" w:rsidRPr="00793A76" w:rsidRDefault="006675DF" w:rsidP="006675DF">
      <w:pPr>
        <w:rPr>
          <w:rFonts w:cstheme="minorHAnsi"/>
        </w:rPr>
      </w:pPr>
    </w:p>
    <w:p w:rsidR="006675DF" w:rsidRPr="00793A76" w:rsidRDefault="006675DF" w:rsidP="006675DF">
      <w:pPr>
        <w:rPr>
          <w:rFonts w:cstheme="minorHAnsi"/>
        </w:rPr>
      </w:pPr>
      <w:r w:rsidRPr="00793A76">
        <w:rPr>
          <w:rFonts w:cstheme="minorHAnsi"/>
        </w:rPr>
        <w:t>Afgørelsen kan også bringes for domstolene inden</w:t>
      </w:r>
      <w:r w:rsidR="006A41AF">
        <w:rPr>
          <w:rFonts w:cstheme="minorHAnsi"/>
        </w:rPr>
        <w:t xml:space="preserve"> den 18. april 2023</w:t>
      </w:r>
      <w:r w:rsidRPr="00793A76">
        <w:rPr>
          <w:rFonts w:cstheme="minorHAnsi"/>
        </w:rPr>
        <w:t>.</w:t>
      </w:r>
    </w:p>
    <w:p w:rsidR="006675DF" w:rsidRPr="00793A76" w:rsidRDefault="006675DF" w:rsidP="006675DF">
      <w:pPr>
        <w:rPr>
          <w:rFonts w:cstheme="minorHAnsi"/>
        </w:rPr>
      </w:pPr>
    </w:p>
    <w:p w:rsidR="006675DF" w:rsidRPr="00793A76" w:rsidRDefault="006675DF" w:rsidP="006675DF">
      <w:pPr>
        <w:rPr>
          <w:rFonts w:cstheme="minorHAnsi"/>
        </w:rPr>
      </w:pPr>
      <w:r w:rsidRPr="00793A76">
        <w:rPr>
          <w:rFonts w:cstheme="minorHAnsi"/>
        </w:rPr>
        <w:t>Kopi:</w:t>
      </w:r>
    </w:p>
    <w:p w:rsidR="006675DF" w:rsidRPr="00793A76" w:rsidRDefault="006675DF" w:rsidP="006675DF">
      <w:pPr>
        <w:rPr>
          <w:rFonts w:cstheme="minorHAnsi"/>
        </w:rPr>
      </w:pPr>
    </w:p>
    <w:p w:rsidR="006675DF" w:rsidRPr="00793A76" w:rsidRDefault="006675DF" w:rsidP="006675DF">
      <w:pPr>
        <w:numPr>
          <w:ilvl w:val="0"/>
          <w:numId w:val="5"/>
        </w:numPr>
        <w:rPr>
          <w:rFonts w:cstheme="minorHAnsi"/>
        </w:rPr>
      </w:pPr>
      <w:r w:rsidRPr="00793A76">
        <w:rPr>
          <w:rFonts w:cstheme="minorHAnsi"/>
        </w:rPr>
        <w:t>Danmarks naturfredningsforening (</w:t>
      </w:r>
      <w:hyperlink r:id="rId12" w:history="1">
        <w:r w:rsidRPr="00793A76">
          <w:rPr>
            <w:rStyle w:val="Hyperlink"/>
            <w:rFonts w:cstheme="minorHAnsi"/>
          </w:rPr>
          <w:t>dn@dn.dk</w:t>
        </w:r>
      </w:hyperlink>
      <w:r w:rsidRPr="00793A76">
        <w:rPr>
          <w:rFonts w:cstheme="minorHAnsi"/>
        </w:rPr>
        <w:t>)</w:t>
      </w:r>
    </w:p>
    <w:p w:rsidR="006675DF" w:rsidRPr="00793A76" w:rsidRDefault="006675DF" w:rsidP="006675DF">
      <w:pPr>
        <w:numPr>
          <w:ilvl w:val="0"/>
          <w:numId w:val="5"/>
        </w:numPr>
        <w:rPr>
          <w:rFonts w:cstheme="minorHAnsi"/>
        </w:rPr>
      </w:pPr>
      <w:r w:rsidRPr="00793A76">
        <w:rPr>
          <w:rFonts w:cstheme="minorHAnsi"/>
        </w:rPr>
        <w:t>Styrelsen for Patientsikkerhed (</w:t>
      </w:r>
      <w:hyperlink r:id="rId13" w:history="1">
        <w:r w:rsidRPr="00793A76">
          <w:rPr>
            <w:rStyle w:val="Hyperlink"/>
            <w:rFonts w:cstheme="minorHAnsi"/>
          </w:rPr>
          <w:t>stps@stps.dk</w:t>
        </w:r>
      </w:hyperlink>
      <w:r w:rsidRPr="00793A76">
        <w:rPr>
          <w:rFonts w:cstheme="minorHAnsi"/>
        </w:rPr>
        <w:t>)</w:t>
      </w:r>
    </w:p>
    <w:p w:rsidR="006675DF" w:rsidRDefault="006675DF" w:rsidP="006675DF">
      <w:r>
        <w:t xml:space="preserve">  </w:t>
      </w:r>
    </w:p>
    <w:p w:rsidR="006675DF" w:rsidRDefault="006675DF" w:rsidP="006675DF"/>
    <w:p w:rsidR="006675DF" w:rsidRPr="008806E7" w:rsidRDefault="006675DF" w:rsidP="006675DF">
      <w:r w:rsidRPr="008806E7">
        <w:t>Med venlig hilsen</w:t>
      </w:r>
    </w:p>
    <w:p w:rsidR="006675DF" w:rsidRPr="008806E7" w:rsidRDefault="006675DF" w:rsidP="006675DF"/>
    <w:p w:rsidR="006675DF" w:rsidRDefault="006675DF" w:rsidP="006675DF">
      <w:pPr>
        <w:rPr>
          <w:rFonts w:ascii="Calibri" w:hAnsi="Calibri" w:cs="Calibri"/>
        </w:rPr>
      </w:pPr>
      <w:r w:rsidRPr="008806E7">
        <w:rPr>
          <w:rFonts w:ascii="Calibri" w:hAnsi="Calibri" w:cs="Calibri"/>
        </w:rPr>
        <w:t>Malene Kamstrup</w:t>
      </w:r>
    </w:p>
    <w:p w:rsidR="006675DF" w:rsidRPr="008806E7" w:rsidRDefault="006675DF" w:rsidP="006675DF">
      <w:r>
        <w:rPr>
          <w:rFonts w:ascii="Calibri" w:hAnsi="Calibri" w:cs="Calibri"/>
        </w:rPr>
        <w:t>Ingeniør</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6675DF" w:rsidRPr="008806E7" w:rsidTr="000C30E3">
        <w:trPr>
          <w:trHeight w:hRule="exact" w:val="851"/>
          <w:tblHeader/>
        </w:trPr>
        <w:tc>
          <w:tcPr>
            <w:tcW w:w="7371" w:type="dxa"/>
            <w:vAlign w:val="bottom"/>
          </w:tcPr>
          <w:p w:rsidR="006675DF" w:rsidRPr="008806E7" w:rsidRDefault="006675DF" w:rsidP="000C30E3">
            <w:pPr>
              <w:pStyle w:val="Kampagne"/>
            </w:pPr>
          </w:p>
        </w:tc>
      </w:tr>
    </w:tbl>
    <w:p w:rsidR="006675DF" w:rsidRPr="008806E7" w:rsidRDefault="006675DF" w:rsidP="006675DF"/>
    <w:p w:rsidR="004A09AB" w:rsidRPr="006675DF" w:rsidRDefault="004A09AB" w:rsidP="005C2578"/>
    <w:p w:rsidR="004A09AB" w:rsidRPr="006675DF" w:rsidRDefault="004A09AB" w:rsidP="005C2578"/>
    <w:p w:rsidR="00E63AE4" w:rsidRPr="006675DF" w:rsidRDefault="00E63AE4" w:rsidP="00B51C65"/>
    <w:sectPr w:rsidR="00E63AE4" w:rsidRPr="006675DF" w:rsidSect="00F26994">
      <w:headerReference w:type="even" r:id="rId14"/>
      <w:headerReference w:type="default" r:id="rId15"/>
      <w:footerReference w:type="even" r:id="rId16"/>
      <w:footerReference w:type="default" r:id="rId17"/>
      <w:headerReference w:type="first" r:id="rId18"/>
      <w:footerReference w:type="first" r:id="rId19"/>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DF" w:rsidRPr="006675DF" w:rsidRDefault="006675DF" w:rsidP="00413091">
      <w:pPr>
        <w:spacing w:line="240" w:lineRule="auto"/>
      </w:pPr>
      <w:r w:rsidRPr="006675DF">
        <w:separator/>
      </w:r>
    </w:p>
  </w:endnote>
  <w:endnote w:type="continuationSeparator" w:id="0">
    <w:p w:rsidR="006675DF" w:rsidRPr="006675DF" w:rsidRDefault="006675DF" w:rsidP="00413091">
      <w:pPr>
        <w:spacing w:line="240" w:lineRule="auto"/>
      </w:pPr>
      <w:r w:rsidRPr="00667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DF" w:rsidRDefault="006675D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DF" w:rsidRDefault="006675D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DF" w:rsidRDefault="006675D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DF" w:rsidRPr="006675DF" w:rsidRDefault="006675DF" w:rsidP="00413091">
      <w:pPr>
        <w:spacing w:line="240" w:lineRule="auto"/>
      </w:pPr>
      <w:r w:rsidRPr="006675DF">
        <w:separator/>
      </w:r>
    </w:p>
  </w:footnote>
  <w:footnote w:type="continuationSeparator" w:id="0">
    <w:p w:rsidR="006675DF" w:rsidRPr="006675DF" w:rsidRDefault="006675DF" w:rsidP="00413091">
      <w:pPr>
        <w:spacing w:line="240" w:lineRule="auto"/>
      </w:pPr>
      <w:r w:rsidRPr="006675DF">
        <w:continuationSeparator/>
      </w:r>
    </w:p>
  </w:footnote>
  <w:footnote w:id="1">
    <w:p w:rsidR="006675DF" w:rsidRPr="002508AB" w:rsidRDefault="006675DF" w:rsidP="006675DF">
      <w:pPr>
        <w:pStyle w:val="Fodnotetekst"/>
        <w:rPr>
          <w:sz w:val="18"/>
          <w:szCs w:val="18"/>
        </w:rPr>
      </w:pPr>
      <w:r>
        <w:rPr>
          <w:rStyle w:val="Fodnotehenvisning"/>
        </w:rPr>
        <w:footnoteRef/>
      </w:r>
      <w:r>
        <w:t xml:space="preserve"> </w:t>
      </w:r>
      <w:r w:rsidRPr="002508AB">
        <w:rPr>
          <w:rFonts w:cs="Arial"/>
          <w:sz w:val="18"/>
          <w:szCs w:val="18"/>
        </w:rPr>
        <w:t>Miljøstyrelsens luftvejledning, nr. 2 fra 2001 og Supplement til Miljøstyrelsens B-værdivejledning, nr. 1252 fra 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DF" w:rsidRDefault="006675D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6675DF" w:rsidTr="00B51C65">
      <w:trPr>
        <w:trHeight w:hRule="exact" w:val="397"/>
      </w:trPr>
      <w:tc>
        <w:tcPr>
          <w:tcW w:w="2268" w:type="dxa"/>
        </w:tcPr>
        <w:p w:rsidR="00654F3D" w:rsidRPr="006675DF" w:rsidRDefault="00654F3D" w:rsidP="00B51C65">
          <w:pPr>
            <w:pStyle w:val="SidetalTop"/>
          </w:pPr>
          <w:r w:rsidRPr="006675DF">
            <w:t xml:space="preserve">SIDE </w:t>
          </w:r>
          <w:r w:rsidRPr="006675DF">
            <w:fldChar w:fldCharType="begin"/>
          </w:r>
          <w:r w:rsidRPr="006675DF">
            <w:instrText>PAGE   \* MERGEFORMAT</w:instrText>
          </w:r>
          <w:r w:rsidRPr="006675DF">
            <w:fldChar w:fldCharType="separate"/>
          </w:r>
          <w:r w:rsidR="000D2A19">
            <w:rPr>
              <w:noProof/>
            </w:rPr>
            <w:t>2</w:t>
          </w:r>
          <w:r w:rsidRPr="006675DF">
            <w:fldChar w:fldCharType="end"/>
          </w:r>
        </w:p>
      </w:tc>
    </w:tr>
    <w:tr w:rsidR="00654F3D" w:rsidRPr="006675DF" w:rsidTr="00B51C65">
      <w:trPr>
        <w:trHeight w:hRule="exact" w:val="737"/>
      </w:trPr>
      <w:tc>
        <w:tcPr>
          <w:tcW w:w="2268" w:type="dxa"/>
        </w:tcPr>
        <w:p w:rsidR="00654F3D" w:rsidRPr="006675DF" w:rsidRDefault="006675DF" w:rsidP="006675DF">
          <w:pPr>
            <w:pStyle w:val="Kolofon"/>
          </w:pPr>
          <w:r w:rsidRPr="006675DF">
            <w:rPr>
              <w:rFonts w:ascii="Calibri" w:hAnsi="Calibri" w:cs="Calibri"/>
            </w:rPr>
            <w:t>Helsingør Kommune</w:t>
          </w:r>
        </w:p>
      </w:tc>
    </w:tr>
  </w:tbl>
  <w:p w:rsidR="00654F3D" w:rsidRPr="006675DF"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6675DF" w:rsidRDefault="006675DF">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rsidP="004C79E7">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20"/>
      </w:rPr>
    </w:pPr>
  </w:p>
  <w:p w:rsidR="00654F3D" w:rsidRPr="006675DF" w:rsidRDefault="00654F3D">
    <w:pPr>
      <w:pStyle w:val="Sidehoved"/>
      <w:rPr>
        <w:rFonts w:ascii="Arial" w:hAnsi="Arial" w:cs="Arial"/>
        <w:sz w:val="16"/>
        <w:szCs w:val="16"/>
      </w:rPr>
    </w:pPr>
  </w:p>
  <w:p w:rsidR="00654F3D" w:rsidRPr="006675DF" w:rsidRDefault="00654F3D">
    <w:pPr>
      <w:pStyle w:val="Sidehoved"/>
      <w:rPr>
        <w:rFonts w:ascii="Arial" w:hAnsi="Arial" w:cs="Arial"/>
      </w:rPr>
    </w:pPr>
  </w:p>
  <w:p w:rsidR="00784C0A" w:rsidRPr="006675DF"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4DC2BD2"/>
    <w:multiLevelType w:val="hybridMultilevel"/>
    <w:tmpl w:val="AF32A3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ED636DF"/>
    <w:multiLevelType w:val="hybridMultilevel"/>
    <w:tmpl w:val="A9047E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2D463FA"/>
    <w:multiLevelType w:val="hybridMultilevel"/>
    <w:tmpl w:val="7996FD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371007B"/>
    <w:multiLevelType w:val="hybridMultilevel"/>
    <w:tmpl w:val="DE5C1C74"/>
    <w:lvl w:ilvl="0" w:tplc="1B90BA8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XHStIZIpz5WyS6dGLQxWyB/TeCwmISTEJpq2e9ynCLI5ao6qCOUgwM9PnHhQ0MdH"/>
    <w:docVar w:name="Encrypted_DocHeader" w:val="BeJBmJ7Z3/BF9WFlIWWGGw=="/>
    <w:docVar w:name="Encrypted_DocumentChangeThisVar" w:val="Go1BF8BBsJqqGsR1izlsvQ=="/>
    <w:docVar w:name="IntegrationType" w:val="StandAlone"/>
    <w:docVar w:name="IsDocument" w:val=" "/>
  </w:docVars>
  <w:rsids>
    <w:rsidRoot w:val="006675DF"/>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19FB"/>
    <w:rsid w:val="000A07F3"/>
    <w:rsid w:val="000A0D31"/>
    <w:rsid w:val="000A28ED"/>
    <w:rsid w:val="000A52B9"/>
    <w:rsid w:val="000B453D"/>
    <w:rsid w:val="000B5826"/>
    <w:rsid w:val="000D2A19"/>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3D3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675DF"/>
    <w:rsid w:val="006765C9"/>
    <w:rsid w:val="00676D91"/>
    <w:rsid w:val="0068276E"/>
    <w:rsid w:val="0068381E"/>
    <w:rsid w:val="00684A74"/>
    <w:rsid w:val="006853B2"/>
    <w:rsid w:val="00685C13"/>
    <w:rsid w:val="00690CE9"/>
    <w:rsid w:val="006939B1"/>
    <w:rsid w:val="006A41AF"/>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304B"/>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B5C961F"/>
  <w15:docId w15:val="{64AFCAE7-373C-484C-A9D8-CEC81981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styleId="FormateretHTML">
    <w:name w:val="HTML Preformatted"/>
    <w:basedOn w:val="Normal"/>
    <w:link w:val="FormateretHTMLTegn"/>
    <w:uiPriority w:val="99"/>
    <w:semiHidden/>
    <w:unhideWhenUsed/>
    <w:rsid w:val="0066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eastAsia="da-DK"/>
    </w:rPr>
  </w:style>
  <w:style w:type="character" w:customStyle="1" w:styleId="FormateretHTMLTegn">
    <w:name w:val="Formateret HTML Tegn"/>
    <w:basedOn w:val="Standardskrifttypeiafsnit"/>
    <w:link w:val="FormateretHTML"/>
    <w:uiPriority w:val="99"/>
    <w:semiHidden/>
    <w:rsid w:val="006675DF"/>
    <w:rPr>
      <w:rFonts w:ascii="Courier New" w:eastAsia="Times New Roman" w:hAnsi="Courier New" w:cs="Courier New"/>
      <w:lang w:eastAsia="da-DK"/>
    </w:rPr>
  </w:style>
  <w:style w:type="paragraph" w:styleId="Fodnotetekst">
    <w:name w:val="footnote text"/>
    <w:basedOn w:val="Normal"/>
    <w:link w:val="FodnotetekstTegn"/>
    <w:semiHidden/>
    <w:rsid w:val="006675DF"/>
    <w:pPr>
      <w:spacing w:line="240" w:lineRule="auto"/>
    </w:pPr>
    <w:rPr>
      <w:rFonts w:ascii="Verdana" w:eastAsia="Times New Roman" w:hAnsi="Verdana"/>
      <w:sz w:val="20"/>
      <w:lang w:eastAsia="da-DK"/>
    </w:rPr>
  </w:style>
  <w:style w:type="character" w:customStyle="1" w:styleId="FodnotetekstTegn">
    <w:name w:val="Fodnotetekst Tegn"/>
    <w:basedOn w:val="Standardskrifttypeiafsnit"/>
    <w:link w:val="Fodnotetekst"/>
    <w:semiHidden/>
    <w:rsid w:val="006675DF"/>
    <w:rPr>
      <w:rFonts w:eastAsia="Times New Roman"/>
      <w:lang w:eastAsia="da-DK"/>
    </w:rPr>
  </w:style>
  <w:style w:type="character" w:styleId="Fodnotehenvisning">
    <w:name w:val="footnote reference"/>
    <w:basedOn w:val="Standardskrifttypeiafsnit"/>
    <w:semiHidden/>
    <w:rsid w:val="006675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ps@stps.d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n@dn.d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vneneshus.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AB81-8209-4384-80B3-49FD37D7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9</Pages>
  <Words>2265</Words>
  <Characters>12419</Characters>
  <Application>Microsoft Office Word</Application>
  <DocSecurity>4</DocSecurity>
  <Lines>400</Lines>
  <Paragraphs>190</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dcterms:created xsi:type="dcterms:W3CDTF">2022-10-18T11:51:00Z</dcterms:created>
  <dcterms:modified xsi:type="dcterms:W3CDTF">2022-10-18T11:51:00Z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{56B39548-421B-4760-A408-8BC3BC272090}</vt:lpwstr>
  </property>
</Properties>
</file>