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XSpec="center" w:tblpY="427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134"/>
        <w:gridCol w:w="850"/>
        <w:gridCol w:w="993"/>
        <w:gridCol w:w="468"/>
        <w:gridCol w:w="1251"/>
        <w:gridCol w:w="1251"/>
      </w:tblGrid>
      <w:tr w:rsidR="00600053" w:rsidRPr="00600053" w14:paraId="728E1066" w14:textId="77777777" w:rsidTr="1AB54D3F">
        <w:trPr>
          <w:jc w:val="center"/>
        </w:trPr>
        <w:tc>
          <w:tcPr>
            <w:tcW w:w="9628" w:type="dxa"/>
            <w:gridSpan w:val="8"/>
            <w:vAlign w:val="center"/>
          </w:tcPr>
          <w:p w14:paraId="07195993" w14:textId="77777777" w:rsidR="00600053" w:rsidRPr="00600053" w:rsidRDefault="00600053" w:rsidP="00206964">
            <w:pPr>
              <w:jc w:val="center"/>
              <w:rPr>
                <w:lang w:val="da-DK"/>
              </w:rPr>
            </w:pPr>
            <w:r w:rsidRPr="00600053">
              <w:rPr>
                <w:b/>
                <w:sz w:val="32"/>
                <w:szCs w:val="32"/>
                <w:lang w:val="da-DK"/>
              </w:rPr>
              <w:t xml:space="preserve">Tilsyn med St. Restrup Dambrug </w:t>
            </w:r>
          </w:p>
        </w:tc>
      </w:tr>
      <w:tr w:rsidR="00600053" w:rsidRPr="00600053" w14:paraId="289008DB" w14:textId="77777777" w:rsidTr="1AB54D3F">
        <w:trPr>
          <w:jc w:val="center"/>
        </w:trPr>
        <w:tc>
          <w:tcPr>
            <w:tcW w:w="2122" w:type="dxa"/>
            <w:vAlign w:val="center"/>
          </w:tcPr>
          <w:p w14:paraId="4F181B81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Dato for fysisk tilsyn</w:t>
            </w:r>
          </w:p>
        </w:tc>
        <w:tc>
          <w:tcPr>
            <w:tcW w:w="1559" w:type="dxa"/>
            <w:vAlign w:val="center"/>
          </w:tcPr>
          <w:p w14:paraId="6AE406D7" w14:textId="5F3EA87E" w:rsidR="00600053" w:rsidRPr="00044152" w:rsidRDefault="00600053" w:rsidP="00206964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13/</w:t>
            </w:r>
            <w:r w:rsidR="001C7A10">
              <w:rPr>
                <w:lang w:val="da-DK"/>
              </w:rPr>
              <w:t>11-2025</w:t>
            </w:r>
            <w:r w:rsidR="00044152" w:rsidRPr="00044152">
              <w:rPr>
                <w:lang w:val="da-DK"/>
              </w:rPr>
              <w:t xml:space="preserve"> Bundfældning og slamdepot</w:t>
            </w:r>
          </w:p>
        </w:tc>
        <w:tc>
          <w:tcPr>
            <w:tcW w:w="2977" w:type="dxa"/>
            <w:gridSpan w:val="3"/>
            <w:vAlign w:val="center"/>
          </w:tcPr>
          <w:p w14:paraId="48E76449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6FFF19DC" w14:textId="77777777" w:rsidR="00600053" w:rsidRPr="00600053" w:rsidRDefault="00600053" w:rsidP="00206964">
            <w:pPr>
              <w:spacing w:line="276" w:lineRule="auto"/>
              <w:rPr>
                <w:lang w:val="da-DK"/>
              </w:rPr>
            </w:pPr>
          </w:p>
        </w:tc>
      </w:tr>
      <w:tr w:rsidR="00600053" w:rsidRPr="00600053" w14:paraId="1D2D7574" w14:textId="77777777" w:rsidTr="1AB54D3F">
        <w:trPr>
          <w:trHeight w:val="621"/>
          <w:jc w:val="center"/>
        </w:trPr>
        <w:tc>
          <w:tcPr>
            <w:tcW w:w="2122" w:type="dxa"/>
            <w:vAlign w:val="center"/>
          </w:tcPr>
          <w:p w14:paraId="38B07DD2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 xml:space="preserve">Navn, adresse, </w:t>
            </w:r>
            <w:proofErr w:type="spellStart"/>
            <w:r w:rsidRPr="00600053">
              <w:rPr>
                <w:b/>
                <w:lang w:val="da-DK"/>
              </w:rPr>
              <w:t>tlf</w:t>
            </w:r>
            <w:proofErr w:type="spellEnd"/>
          </w:p>
        </w:tc>
        <w:tc>
          <w:tcPr>
            <w:tcW w:w="7506" w:type="dxa"/>
            <w:gridSpan w:val="7"/>
            <w:vAlign w:val="center"/>
          </w:tcPr>
          <w:p w14:paraId="562B996A" w14:textId="22AE8751" w:rsidR="00F96FC9" w:rsidRPr="00F96FC9" w:rsidRDefault="00F96FC9" w:rsidP="00F96FC9">
            <w:pPr>
              <w:spacing w:after="0"/>
            </w:pPr>
            <w:r w:rsidRPr="00F96FC9">
              <w:t xml:space="preserve">St. Restrup </w:t>
            </w:r>
            <w:proofErr w:type="spellStart"/>
            <w:r w:rsidRPr="00F96FC9">
              <w:t>Dambrug</w:t>
            </w:r>
            <w:proofErr w:type="spellEnd"/>
            <w:r w:rsidRPr="00F96FC9">
              <w:t xml:space="preserve"> BIF </w:t>
            </w:r>
            <w:proofErr w:type="spellStart"/>
            <w:r w:rsidR="3BF7AC07">
              <w:t>ApS</w:t>
            </w:r>
            <w:proofErr w:type="spellEnd"/>
            <w:r w:rsidRPr="00F96FC9">
              <w:t>.</w:t>
            </w:r>
          </w:p>
          <w:p w14:paraId="14456A0C" w14:textId="77777777" w:rsidR="00F96FC9" w:rsidRPr="00F96FC9" w:rsidRDefault="00F96FC9" w:rsidP="00F96FC9">
            <w:pPr>
              <w:spacing w:after="0"/>
              <w:rPr>
                <w:lang w:val="da-DK"/>
              </w:rPr>
            </w:pPr>
            <w:r w:rsidRPr="00F96FC9">
              <w:rPr>
                <w:lang w:val="da-DK"/>
              </w:rPr>
              <w:t>Ved Jens Knudsen</w:t>
            </w:r>
          </w:p>
          <w:p w14:paraId="65D7A6F8" w14:textId="2831A9A2" w:rsidR="00600053" w:rsidRPr="00600053" w:rsidRDefault="00600053" w:rsidP="00F96FC9">
            <w:pPr>
              <w:spacing w:after="0"/>
              <w:rPr>
                <w:lang w:val="da-DK"/>
              </w:rPr>
            </w:pPr>
            <w:r w:rsidRPr="00600053">
              <w:rPr>
                <w:lang w:val="da-DK"/>
              </w:rPr>
              <w:t>Ved Lågen 7,9240 Nibe</w:t>
            </w:r>
          </w:p>
        </w:tc>
      </w:tr>
      <w:tr w:rsidR="00600053" w:rsidRPr="00600053" w14:paraId="562BB2CF" w14:textId="77777777" w:rsidTr="1AB54D3F">
        <w:trPr>
          <w:jc w:val="center"/>
        </w:trPr>
        <w:tc>
          <w:tcPr>
            <w:tcW w:w="2122" w:type="dxa"/>
            <w:vAlign w:val="center"/>
          </w:tcPr>
          <w:p w14:paraId="73FF9231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Registrerings nr.</w:t>
            </w:r>
          </w:p>
        </w:tc>
        <w:tc>
          <w:tcPr>
            <w:tcW w:w="1559" w:type="dxa"/>
            <w:vAlign w:val="center"/>
          </w:tcPr>
          <w:p w14:paraId="2E9864B4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CVR</w:t>
            </w:r>
          </w:p>
        </w:tc>
        <w:tc>
          <w:tcPr>
            <w:tcW w:w="1134" w:type="dxa"/>
            <w:vAlign w:val="center"/>
          </w:tcPr>
          <w:p w14:paraId="275C0D75" w14:textId="654E3127" w:rsidR="00600053" w:rsidRPr="00F96FC9" w:rsidRDefault="00F96FC9" w:rsidP="00206964">
            <w:pPr>
              <w:spacing w:line="276" w:lineRule="auto"/>
              <w:rPr>
                <w:rFonts w:cstheme="minorHAnsi"/>
                <w:lang w:val="da-DK"/>
              </w:rPr>
            </w:pPr>
            <w:r w:rsidRPr="00F96FC9">
              <w:rPr>
                <w:rFonts w:cstheme="minorHAnsi"/>
                <w:color w:val="333333"/>
                <w:shd w:val="clear" w:color="auto" w:fill="FFFFFF"/>
              </w:rPr>
              <w:t>43019724</w:t>
            </w:r>
          </w:p>
        </w:tc>
        <w:tc>
          <w:tcPr>
            <w:tcW w:w="850" w:type="dxa"/>
            <w:vAlign w:val="center"/>
          </w:tcPr>
          <w:p w14:paraId="117D0099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P-nr.</w:t>
            </w:r>
          </w:p>
        </w:tc>
        <w:tc>
          <w:tcPr>
            <w:tcW w:w="1461" w:type="dxa"/>
            <w:gridSpan w:val="2"/>
            <w:vAlign w:val="center"/>
          </w:tcPr>
          <w:p w14:paraId="038C9ED0" w14:textId="77777777" w:rsidR="00600053" w:rsidRPr="00600053" w:rsidRDefault="00600053" w:rsidP="00206964">
            <w:pPr>
              <w:spacing w:line="276" w:lineRule="auto"/>
              <w:rPr>
                <w:lang w:val="da-DK"/>
              </w:rPr>
            </w:pPr>
          </w:p>
        </w:tc>
        <w:tc>
          <w:tcPr>
            <w:tcW w:w="1251" w:type="dxa"/>
            <w:vAlign w:val="center"/>
          </w:tcPr>
          <w:p w14:paraId="44B55200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CHR</w:t>
            </w:r>
          </w:p>
        </w:tc>
        <w:tc>
          <w:tcPr>
            <w:tcW w:w="1251" w:type="dxa"/>
            <w:vAlign w:val="center"/>
          </w:tcPr>
          <w:p w14:paraId="7B17ABEE" w14:textId="77777777" w:rsidR="00600053" w:rsidRPr="00600053" w:rsidRDefault="00600053" w:rsidP="00206964">
            <w:pPr>
              <w:spacing w:line="276" w:lineRule="auto"/>
              <w:rPr>
                <w:lang w:val="da-DK"/>
              </w:rPr>
            </w:pPr>
            <w:r w:rsidRPr="00600053">
              <w:rPr>
                <w:lang w:val="da-DK"/>
              </w:rPr>
              <w:t>24287</w:t>
            </w:r>
          </w:p>
        </w:tc>
      </w:tr>
      <w:tr w:rsidR="00600053" w:rsidRPr="00600053" w14:paraId="585441DB" w14:textId="77777777" w:rsidTr="1AB54D3F">
        <w:trPr>
          <w:jc w:val="center"/>
        </w:trPr>
        <w:tc>
          <w:tcPr>
            <w:tcW w:w="2122" w:type="dxa"/>
            <w:vAlign w:val="center"/>
          </w:tcPr>
          <w:p w14:paraId="65779806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Listebetegnelse</w:t>
            </w:r>
          </w:p>
        </w:tc>
        <w:tc>
          <w:tcPr>
            <w:tcW w:w="7506" w:type="dxa"/>
            <w:gridSpan w:val="7"/>
            <w:vAlign w:val="center"/>
          </w:tcPr>
          <w:p w14:paraId="380FFC71" w14:textId="77777777" w:rsidR="00600053" w:rsidRPr="00600053" w:rsidRDefault="00600053" w:rsidP="00206964">
            <w:pPr>
              <w:spacing w:line="276" w:lineRule="auto"/>
              <w:rPr>
                <w:lang w:val="da-DK"/>
              </w:rPr>
            </w:pPr>
            <w:r w:rsidRPr="00600053">
              <w:rPr>
                <w:rFonts w:ascii="Calibri" w:hAnsi="Calibri" w:cs="Calibri"/>
                <w:lang w:val="da-DK"/>
              </w:rPr>
              <w:t>I201 Ferskvandsdambrug</w:t>
            </w:r>
          </w:p>
        </w:tc>
      </w:tr>
      <w:tr w:rsidR="00600053" w:rsidRPr="00600053" w14:paraId="534799D9" w14:textId="77777777" w:rsidTr="1AB54D3F">
        <w:trPr>
          <w:jc w:val="center"/>
        </w:trPr>
        <w:tc>
          <w:tcPr>
            <w:tcW w:w="2122" w:type="dxa"/>
            <w:vAlign w:val="center"/>
          </w:tcPr>
          <w:p w14:paraId="336F615A" w14:textId="77777777" w:rsidR="00600053" w:rsidRPr="00600053" w:rsidRDefault="00600053" w:rsidP="00206964">
            <w:pPr>
              <w:spacing w:after="0"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Miljøgodkendelse</w:t>
            </w:r>
          </w:p>
        </w:tc>
        <w:tc>
          <w:tcPr>
            <w:tcW w:w="1559" w:type="dxa"/>
            <w:vAlign w:val="center"/>
          </w:tcPr>
          <w:p w14:paraId="52F677A9" w14:textId="6494D80D" w:rsidR="00600053" w:rsidRPr="00600053" w:rsidRDefault="00F96FC9" w:rsidP="00206964">
            <w:pPr>
              <w:spacing w:after="0" w:line="276" w:lineRule="auto"/>
              <w:rPr>
                <w:lang w:val="da-DK"/>
              </w:rPr>
            </w:pPr>
            <w:r w:rsidRPr="008A4754">
              <w:rPr>
                <w:lang w:val="da-DK"/>
              </w:rPr>
              <w:t>14.10.2021</w:t>
            </w:r>
          </w:p>
        </w:tc>
        <w:tc>
          <w:tcPr>
            <w:tcW w:w="1984" w:type="dxa"/>
            <w:gridSpan w:val="2"/>
            <w:vAlign w:val="center"/>
          </w:tcPr>
          <w:p w14:paraId="5459708D" w14:textId="77777777" w:rsidR="00600053" w:rsidRPr="00600053" w:rsidRDefault="00600053" w:rsidP="00206964">
            <w:pPr>
              <w:spacing w:after="0"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Vandindvinding</w:t>
            </w:r>
          </w:p>
        </w:tc>
        <w:tc>
          <w:tcPr>
            <w:tcW w:w="3963" w:type="dxa"/>
            <w:gridSpan w:val="4"/>
            <w:vAlign w:val="center"/>
          </w:tcPr>
          <w:p w14:paraId="063FA91E" w14:textId="7FFFE921" w:rsidR="00600053" w:rsidRPr="00600053" w:rsidRDefault="00F96FC9" w:rsidP="00206964">
            <w:pPr>
              <w:spacing w:after="0"/>
              <w:rPr>
                <w:lang w:val="da-DK"/>
              </w:rPr>
            </w:pPr>
            <w:r w:rsidRPr="008A4754">
              <w:rPr>
                <w:lang w:val="da-DK"/>
              </w:rPr>
              <w:t xml:space="preserve">06.05.2019 </w:t>
            </w:r>
            <w:r w:rsidR="00600053" w:rsidRPr="00600053">
              <w:rPr>
                <w:lang w:val="da-DK"/>
              </w:rPr>
              <w:t>(grundvand)</w:t>
            </w:r>
          </w:p>
        </w:tc>
      </w:tr>
      <w:tr w:rsidR="00600053" w:rsidRPr="00600053" w14:paraId="7EC90C92" w14:textId="77777777" w:rsidTr="1AB54D3F">
        <w:trPr>
          <w:jc w:val="center"/>
        </w:trPr>
        <w:tc>
          <w:tcPr>
            <w:tcW w:w="2122" w:type="dxa"/>
            <w:vAlign w:val="center"/>
          </w:tcPr>
          <w:p w14:paraId="7CE5EB47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Baggrund og omfang</w:t>
            </w:r>
          </w:p>
        </w:tc>
        <w:tc>
          <w:tcPr>
            <w:tcW w:w="7506" w:type="dxa"/>
            <w:gridSpan w:val="7"/>
            <w:vAlign w:val="center"/>
          </w:tcPr>
          <w:p w14:paraId="1B7FEDA5" w14:textId="77777777" w:rsidR="00600053" w:rsidRPr="00600053" w:rsidRDefault="00600053" w:rsidP="00206964">
            <w:pPr>
              <w:spacing w:line="276" w:lineRule="auto"/>
              <w:rPr>
                <w:lang w:val="da-DK"/>
              </w:rPr>
            </w:pPr>
            <w:r w:rsidRPr="00600053">
              <w:rPr>
                <w:lang w:val="da-DK"/>
              </w:rPr>
              <w:t>Baggrunden for tilsynet er, at Aalborg Kommune, fører tilsyn med dambrug, herunder med tilstanden i vandløbet, jævnfør bekendtgørelse nr. 1567 af 7. december 2016 om ferskvandsdambrug.</w:t>
            </w:r>
          </w:p>
          <w:p w14:paraId="15CC8752" w14:textId="067A90C2" w:rsidR="00600053" w:rsidRPr="00600053" w:rsidRDefault="00600053" w:rsidP="00206964">
            <w:pPr>
              <w:spacing w:line="276" w:lineRule="auto"/>
              <w:rPr>
                <w:lang w:val="da-DK"/>
              </w:rPr>
            </w:pPr>
            <w:r w:rsidRPr="00600053">
              <w:rPr>
                <w:lang w:val="da-DK"/>
              </w:rPr>
              <w:t>Tilsynet var et basistilsyn. Tilsyn var varslet og omfattede hele dambruget.</w:t>
            </w:r>
            <w:r w:rsidR="00F6514E">
              <w:rPr>
                <w:lang w:val="da-DK"/>
              </w:rPr>
              <w:t xml:space="preserve">  Ved tilsynet blev miljøgodkendelses vilkår gennemgået.</w:t>
            </w:r>
          </w:p>
          <w:p w14:paraId="627006FD" w14:textId="77777777" w:rsidR="00600053" w:rsidRPr="00600053" w:rsidRDefault="00600053" w:rsidP="00206964">
            <w:pPr>
              <w:spacing w:line="276" w:lineRule="auto"/>
              <w:rPr>
                <w:lang w:val="da-DK"/>
              </w:rPr>
            </w:pPr>
            <w:r w:rsidRPr="00600053">
              <w:rPr>
                <w:lang w:val="da-DK"/>
              </w:rP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600053" w:rsidRPr="00600053" w14:paraId="2AF01CF2" w14:textId="77777777" w:rsidTr="1AB54D3F">
        <w:trPr>
          <w:trHeight w:val="841"/>
          <w:jc w:val="center"/>
        </w:trPr>
        <w:tc>
          <w:tcPr>
            <w:tcW w:w="2122" w:type="dxa"/>
            <w:vAlign w:val="center"/>
          </w:tcPr>
          <w:p w14:paraId="01F43621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 xml:space="preserve">Bemærkninger </w:t>
            </w:r>
          </w:p>
        </w:tc>
        <w:tc>
          <w:tcPr>
            <w:tcW w:w="7506" w:type="dxa"/>
            <w:gridSpan w:val="7"/>
            <w:vAlign w:val="center"/>
          </w:tcPr>
          <w:p w14:paraId="1E53C2A6" w14:textId="3E6A4CB8" w:rsidR="00600053" w:rsidRDefault="00600053" w:rsidP="00206964">
            <w:pPr>
              <w:rPr>
                <w:lang w:val="da-DK"/>
              </w:rPr>
            </w:pPr>
            <w:r>
              <w:rPr>
                <w:lang w:val="da-DK"/>
              </w:rPr>
              <w:t xml:space="preserve">Ved tilsynet blev der konstateret </w:t>
            </w:r>
            <w:r w:rsidR="00BE5CFC">
              <w:rPr>
                <w:lang w:val="da-DK"/>
              </w:rPr>
              <w:t xml:space="preserve">uhygiejniske forhold i form af </w:t>
            </w:r>
            <w:r>
              <w:rPr>
                <w:lang w:val="da-DK"/>
              </w:rPr>
              <w:t>foderspil på gulvet i produktionshallen</w:t>
            </w:r>
            <w:r w:rsidR="00363EC0">
              <w:rPr>
                <w:lang w:val="da-DK"/>
              </w:rPr>
              <w:t xml:space="preserve">, åbne sække med </w:t>
            </w:r>
            <w:r w:rsidR="00144B8D">
              <w:rPr>
                <w:lang w:val="da-DK"/>
              </w:rPr>
              <w:t xml:space="preserve">foder </w:t>
            </w:r>
            <w:r>
              <w:rPr>
                <w:lang w:val="da-DK"/>
              </w:rPr>
              <w:t>og</w:t>
            </w:r>
            <w:r w:rsidR="00BE5CFC">
              <w:rPr>
                <w:lang w:val="da-DK"/>
              </w:rPr>
              <w:t xml:space="preserve"> direkte tilgang for rotter</w:t>
            </w:r>
            <w:r>
              <w:rPr>
                <w:lang w:val="da-DK"/>
              </w:rPr>
              <w:t>.</w:t>
            </w:r>
            <w:r w:rsidRPr="00600053">
              <w:rPr>
                <w:lang w:val="da-DK"/>
              </w:rPr>
              <w:t xml:space="preserve"> </w:t>
            </w:r>
            <w:r>
              <w:rPr>
                <w:lang w:val="da-DK"/>
              </w:rPr>
              <w:t xml:space="preserve">Der var større ansamlinger af fedt i de afspærrede ender samt svæv i vandet. </w:t>
            </w:r>
            <w:r w:rsidR="00F14AC1">
              <w:rPr>
                <w:lang w:val="da-DK"/>
              </w:rPr>
              <w:t>Mange døde og fordærvede fisk som</w:t>
            </w:r>
            <w:r w:rsidR="00004360">
              <w:rPr>
                <w:lang w:val="da-DK"/>
              </w:rPr>
              <w:t xml:space="preserve"> lå i produktionsbassinerne</w:t>
            </w:r>
            <w:r w:rsidR="009E481E">
              <w:rPr>
                <w:lang w:val="da-DK"/>
              </w:rPr>
              <w:t xml:space="preserve">. </w:t>
            </w:r>
            <w:r>
              <w:rPr>
                <w:lang w:val="da-DK"/>
              </w:rPr>
              <w:t>Opsamling af døde fisk og opbevaring af disse</w:t>
            </w:r>
            <w:r w:rsidR="009C1313">
              <w:rPr>
                <w:lang w:val="da-DK"/>
              </w:rPr>
              <w:t xml:space="preserve"> var i spande i produktionshallen</w:t>
            </w:r>
            <w:r w:rsidR="009E481E">
              <w:rPr>
                <w:lang w:val="da-DK"/>
              </w:rPr>
              <w:t>,</w:t>
            </w:r>
            <w:r w:rsidR="009C1313">
              <w:rPr>
                <w:lang w:val="da-DK"/>
              </w:rPr>
              <w:t xml:space="preserve"> dette</w:t>
            </w:r>
            <w:r>
              <w:rPr>
                <w:lang w:val="da-DK"/>
              </w:rPr>
              <w:t xml:space="preserve"> var ikke i overensstemmelse med vilkår i godkendelsen.</w:t>
            </w:r>
            <w:r w:rsidR="004C466D">
              <w:rPr>
                <w:lang w:val="da-DK"/>
              </w:rPr>
              <w:t xml:space="preserve"> Ejer oplyste, at </w:t>
            </w:r>
            <w:r w:rsidR="00DF1FED">
              <w:rPr>
                <w:lang w:val="da-DK"/>
              </w:rPr>
              <w:t>han bekæmper rotter</w:t>
            </w:r>
            <w:r w:rsidR="00363EC0">
              <w:rPr>
                <w:lang w:val="da-DK"/>
              </w:rPr>
              <w:t xml:space="preserve">- og der </w:t>
            </w:r>
            <w:r w:rsidR="009C1313">
              <w:rPr>
                <w:lang w:val="da-DK"/>
              </w:rPr>
              <w:t xml:space="preserve">blev observeret </w:t>
            </w:r>
            <w:r w:rsidR="00363EC0">
              <w:rPr>
                <w:lang w:val="da-DK"/>
              </w:rPr>
              <w:t>rottefælder flere steder</w:t>
            </w:r>
            <w:r w:rsidR="00144B8D">
              <w:rPr>
                <w:lang w:val="da-DK"/>
              </w:rPr>
              <w:t xml:space="preserve">. </w:t>
            </w:r>
          </w:p>
          <w:p w14:paraId="29CB2228" w14:textId="6442433C" w:rsidR="00F85DD5" w:rsidRDefault="00F85DD5" w:rsidP="00F85DD5">
            <w:pPr>
              <w:rPr>
                <w:lang w:val="da-DK"/>
              </w:rPr>
            </w:pPr>
            <w:r>
              <w:rPr>
                <w:lang w:val="da-DK"/>
              </w:rPr>
              <w:t>I brønd udenfor produktionshallen var der forekomst af mange døde fisk. Brønden er forbundet med produktionshallen, ifølge ejer er forekomsten af døde fisk opstået i forbindelse med rensning af produktionsba</w:t>
            </w:r>
            <w:r w:rsidR="003A73CE">
              <w:rPr>
                <w:lang w:val="da-DK"/>
              </w:rPr>
              <w:t>s</w:t>
            </w:r>
            <w:r>
              <w:rPr>
                <w:lang w:val="da-DK"/>
              </w:rPr>
              <w:t xml:space="preserve">siner. </w:t>
            </w:r>
          </w:p>
          <w:p w14:paraId="120C038E" w14:textId="5FCD269C" w:rsidR="00F85DD5" w:rsidRDefault="00A95A64" w:rsidP="00F85DD5">
            <w:pPr>
              <w:rPr>
                <w:lang w:val="da-DK"/>
              </w:rPr>
            </w:pPr>
            <w:r>
              <w:rPr>
                <w:lang w:val="da-DK"/>
              </w:rPr>
              <w:t xml:space="preserve">På dambruget var det </w:t>
            </w:r>
            <w:r w:rsidR="00494C83">
              <w:rPr>
                <w:lang w:val="da-DK"/>
              </w:rPr>
              <w:t>forekomst at meget affald som ikke umiddelbart kan genanvendes.</w:t>
            </w:r>
          </w:p>
          <w:p w14:paraId="245A6C02" w14:textId="7D9EC839" w:rsidR="0040060A" w:rsidRDefault="0040060A" w:rsidP="00206964">
            <w:pPr>
              <w:rPr>
                <w:lang w:val="da-DK"/>
              </w:rPr>
            </w:pPr>
            <w:r>
              <w:rPr>
                <w:lang w:val="da-DK"/>
              </w:rPr>
              <w:t xml:space="preserve">Der var </w:t>
            </w:r>
            <w:r w:rsidR="00586EE0">
              <w:rPr>
                <w:lang w:val="da-DK"/>
              </w:rPr>
              <w:t xml:space="preserve">opsat spildbakker til </w:t>
            </w:r>
            <w:r w:rsidR="005523B1">
              <w:rPr>
                <w:lang w:val="da-DK"/>
              </w:rPr>
              <w:t xml:space="preserve">dunke med </w:t>
            </w:r>
            <w:r w:rsidR="00586EE0">
              <w:rPr>
                <w:lang w:val="da-DK"/>
              </w:rPr>
              <w:t>kemikalier heribland</w:t>
            </w:r>
            <w:r w:rsidR="005523B1">
              <w:rPr>
                <w:lang w:val="da-DK"/>
              </w:rPr>
              <w:t>t</w:t>
            </w:r>
            <w:r w:rsidR="00586EE0">
              <w:rPr>
                <w:lang w:val="da-DK"/>
              </w:rPr>
              <w:t xml:space="preserve"> hjælpestoffer, men d</w:t>
            </w:r>
            <w:r w:rsidR="005523B1">
              <w:rPr>
                <w:lang w:val="da-DK"/>
              </w:rPr>
              <w:t xml:space="preserve">er blev fortsat observeret enkelte dunke der ikke var placeret korrekt. </w:t>
            </w:r>
          </w:p>
          <w:p w14:paraId="15F6BC5F" w14:textId="62802061" w:rsidR="00600053" w:rsidRDefault="00600053" w:rsidP="00206964">
            <w:pPr>
              <w:rPr>
                <w:lang w:val="da-DK"/>
              </w:rPr>
            </w:pPr>
            <w:r>
              <w:rPr>
                <w:lang w:val="da-DK"/>
              </w:rPr>
              <w:t xml:space="preserve">En </w:t>
            </w:r>
            <w:r w:rsidR="004C466D">
              <w:rPr>
                <w:lang w:val="da-DK"/>
              </w:rPr>
              <w:t>grundvands</w:t>
            </w:r>
            <w:r>
              <w:rPr>
                <w:lang w:val="da-DK"/>
              </w:rPr>
              <w:t>boring var i brug</w:t>
            </w:r>
            <w:r w:rsidR="000F030E">
              <w:rPr>
                <w:lang w:val="da-DK"/>
              </w:rPr>
              <w:t>, grundvandsboringen var utæt</w:t>
            </w:r>
            <w:r w:rsidR="00733E57">
              <w:rPr>
                <w:lang w:val="da-DK"/>
              </w:rPr>
              <w:t>.</w:t>
            </w:r>
            <w:r w:rsidR="000F030E">
              <w:rPr>
                <w:lang w:val="da-DK"/>
              </w:rPr>
              <w:t xml:space="preserve"> </w:t>
            </w:r>
          </w:p>
          <w:p w14:paraId="17166D8F" w14:textId="222C4FB0" w:rsidR="00600053" w:rsidRDefault="00600053" w:rsidP="00206964">
            <w:pPr>
              <w:rPr>
                <w:lang w:val="da-DK"/>
              </w:rPr>
            </w:pPr>
            <w:r>
              <w:rPr>
                <w:lang w:val="da-DK"/>
              </w:rPr>
              <w:t xml:space="preserve">Der føres </w:t>
            </w:r>
            <w:r w:rsidR="000F030E">
              <w:rPr>
                <w:lang w:val="da-DK"/>
              </w:rPr>
              <w:t xml:space="preserve">fortsat </w:t>
            </w:r>
            <w:r>
              <w:rPr>
                <w:lang w:val="da-DK"/>
              </w:rPr>
              <w:t>ikke drifts</w:t>
            </w:r>
            <w:r w:rsidR="00436383">
              <w:rPr>
                <w:lang w:val="da-DK"/>
              </w:rPr>
              <w:t>journal</w:t>
            </w:r>
            <w:r>
              <w:rPr>
                <w:lang w:val="da-DK"/>
              </w:rPr>
              <w:t>.</w:t>
            </w:r>
          </w:p>
          <w:p w14:paraId="10CD317C" w14:textId="651F66D9" w:rsidR="004C466D" w:rsidRPr="00600053" w:rsidRDefault="00600053" w:rsidP="00206964">
            <w:pPr>
              <w:rPr>
                <w:lang w:val="da-DK"/>
              </w:rPr>
            </w:pPr>
            <w:r w:rsidRPr="5407D753">
              <w:rPr>
                <w:lang w:val="da-DK"/>
              </w:rPr>
              <w:t>Indretningen af dambruget er fortsat ikke i overensstemmelse med vilkår</w:t>
            </w:r>
            <w:r w:rsidR="00436383" w:rsidRPr="5407D753">
              <w:rPr>
                <w:lang w:val="da-DK"/>
              </w:rPr>
              <w:t xml:space="preserve"> 9, 13</w:t>
            </w:r>
            <w:r w:rsidR="006963B9">
              <w:rPr>
                <w:lang w:val="da-DK"/>
              </w:rPr>
              <w:t xml:space="preserve"> </w:t>
            </w:r>
            <w:r w:rsidR="00436383" w:rsidRPr="5407D753">
              <w:rPr>
                <w:lang w:val="da-DK"/>
              </w:rPr>
              <w:t xml:space="preserve">samt vilkår </w:t>
            </w:r>
            <w:r w:rsidR="00704D20" w:rsidRPr="5407D753">
              <w:rPr>
                <w:lang w:val="da-DK"/>
              </w:rPr>
              <w:t>1</w:t>
            </w:r>
            <w:r w:rsidR="006963B9">
              <w:rPr>
                <w:lang w:val="da-DK"/>
              </w:rPr>
              <w:t>5</w:t>
            </w:r>
            <w:r w:rsidRPr="5407D753">
              <w:rPr>
                <w:lang w:val="da-DK"/>
              </w:rPr>
              <w:t xml:space="preserve"> </w:t>
            </w:r>
            <w:r w:rsidR="00436383" w:rsidRPr="5407D753">
              <w:rPr>
                <w:lang w:val="da-DK"/>
              </w:rPr>
              <w:t xml:space="preserve">i miljøgodkendelsen. </w:t>
            </w:r>
          </w:p>
        </w:tc>
      </w:tr>
      <w:tr w:rsidR="00600053" w:rsidRPr="00600053" w14:paraId="481457BA" w14:textId="77777777" w:rsidTr="1AB54D3F">
        <w:trPr>
          <w:jc w:val="center"/>
        </w:trPr>
        <w:tc>
          <w:tcPr>
            <w:tcW w:w="2122" w:type="dxa"/>
            <w:vAlign w:val="center"/>
          </w:tcPr>
          <w:p w14:paraId="5893318D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Egenkontrol</w:t>
            </w:r>
          </w:p>
        </w:tc>
        <w:tc>
          <w:tcPr>
            <w:tcW w:w="7506" w:type="dxa"/>
            <w:gridSpan w:val="7"/>
            <w:vAlign w:val="center"/>
          </w:tcPr>
          <w:p w14:paraId="7FFE88BA" w14:textId="00B64131" w:rsidR="00436383" w:rsidRDefault="00436383" w:rsidP="00206964">
            <w:pPr>
              <w:rPr>
                <w:lang w:val="da-DK"/>
              </w:rPr>
            </w:pPr>
            <w:r>
              <w:rPr>
                <w:lang w:val="da-DK"/>
              </w:rPr>
              <w:t xml:space="preserve">Der er udtaget </w:t>
            </w:r>
            <w:r w:rsidR="00EB5817">
              <w:rPr>
                <w:lang w:val="da-DK"/>
              </w:rPr>
              <w:t>5</w:t>
            </w:r>
            <w:r>
              <w:rPr>
                <w:lang w:val="da-DK"/>
              </w:rPr>
              <w:t xml:space="preserve"> egenkontrolprøver i </w:t>
            </w:r>
            <w:r w:rsidR="004247FA">
              <w:rPr>
                <w:lang w:val="da-DK"/>
              </w:rPr>
              <w:t>21/5-1/10 2025</w:t>
            </w:r>
            <w:r>
              <w:rPr>
                <w:lang w:val="da-DK"/>
              </w:rPr>
              <w:t>. Aalborg Kommune gør opmærksom på at der skal tages 6 prøver og disse skal fordeles i perioden april til oktober.</w:t>
            </w:r>
          </w:p>
          <w:p w14:paraId="21E0CC8F" w14:textId="78639166" w:rsidR="00436383" w:rsidRPr="00600053" w:rsidRDefault="00436383" w:rsidP="00206964">
            <w:pPr>
              <w:rPr>
                <w:lang w:val="da-DK"/>
              </w:rPr>
            </w:pPr>
            <w:r>
              <w:rPr>
                <w:lang w:val="da-DK"/>
              </w:rPr>
              <w:t>Aalborg Kommune håndhæver ikke perioden i det der er en meget lav produktion på dambruget, men antallet af prøver skal efterkommes.</w:t>
            </w:r>
          </w:p>
        </w:tc>
      </w:tr>
      <w:tr w:rsidR="00600053" w:rsidRPr="00600053" w14:paraId="51088DE6" w14:textId="77777777" w:rsidTr="1AB54D3F">
        <w:trPr>
          <w:jc w:val="center"/>
        </w:trPr>
        <w:tc>
          <w:tcPr>
            <w:tcW w:w="2122" w:type="dxa"/>
            <w:vAlign w:val="center"/>
          </w:tcPr>
          <w:p w14:paraId="4F7642E0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lastRenderedPageBreak/>
              <w:t>Håndhævelser</w:t>
            </w:r>
          </w:p>
        </w:tc>
        <w:tc>
          <w:tcPr>
            <w:tcW w:w="7506" w:type="dxa"/>
            <w:gridSpan w:val="7"/>
            <w:vAlign w:val="center"/>
          </w:tcPr>
          <w:p w14:paraId="34C38EDE" w14:textId="7A042555" w:rsidR="00600053" w:rsidRDefault="00F96FC9" w:rsidP="00600053">
            <w:pPr>
              <w:rPr>
                <w:rFonts w:cstheme="minorHAnsi"/>
                <w:lang w:val="da-DK"/>
              </w:rPr>
            </w:pPr>
            <w:r>
              <w:rPr>
                <w:rFonts w:cstheme="minorHAnsi"/>
                <w:lang w:val="da-DK"/>
              </w:rPr>
              <w:t>Aalborg Kommune indskærper hermed, i henhold til</w:t>
            </w:r>
            <w:r w:rsidR="00B81E66" w:rsidRPr="00B81E66">
              <w:rPr>
                <w:rFonts w:cstheme="minorHAnsi"/>
                <w:lang w:val="da-DK"/>
              </w:rPr>
              <w:t xml:space="preserve"> §69 i miljøbeskyttelsesloven</w:t>
            </w:r>
            <w:r>
              <w:rPr>
                <w:rFonts w:cstheme="minorHAnsi"/>
                <w:lang w:val="da-DK"/>
              </w:rPr>
              <w:t>, at miljøgodkendelsesvilkår omkring indretning og drift af dambruget samt udledning af spildevand overholdes.</w:t>
            </w:r>
            <w:r w:rsidR="00B81E66" w:rsidRPr="00B81E66">
              <w:rPr>
                <w:rFonts w:cstheme="minorHAnsi"/>
                <w:lang w:val="da-DK"/>
              </w:rPr>
              <w:t xml:space="preserve"> </w:t>
            </w:r>
            <w:r>
              <w:rPr>
                <w:rFonts w:cstheme="minorHAnsi"/>
                <w:lang w:val="da-DK"/>
              </w:rPr>
              <w:t>Følgende vilkår indskærpes:</w:t>
            </w:r>
          </w:p>
          <w:p w14:paraId="1F60C7FD" w14:textId="1CFB5731" w:rsidR="00600053" w:rsidRDefault="00600053" w:rsidP="5407D753">
            <w:pPr>
              <w:rPr>
                <w:lang w:val="da-DK"/>
              </w:rPr>
            </w:pPr>
            <w:r w:rsidRPr="5407D753">
              <w:rPr>
                <w:lang w:val="da-DK"/>
              </w:rPr>
              <w:t>Vilkår 10 Rengøring af decentrale bundfældningszoner rengøres hver dag</w:t>
            </w:r>
            <w:r w:rsidR="1976EE27" w:rsidRPr="5407D753">
              <w:rPr>
                <w:lang w:val="da-DK"/>
              </w:rPr>
              <w:t xml:space="preserve">, og månedlig oprensning af </w:t>
            </w:r>
            <w:proofErr w:type="gramStart"/>
            <w:r w:rsidR="1976EE27" w:rsidRPr="5407D753">
              <w:rPr>
                <w:lang w:val="da-DK"/>
              </w:rPr>
              <w:t>bundfældnings bassinet</w:t>
            </w:r>
            <w:proofErr w:type="gramEnd"/>
            <w:r w:rsidR="1976EE27" w:rsidRPr="5407D753">
              <w:rPr>
                <w:lang w:val="da-DK"/>
              </w:rPr>
              <w:t xml:space="preserve"> </w:t>
            </w:r>
          </w:p>
          <w:p w14:paraId="0E56C365" w14:textId="77777777" w:rsidR="00600053" w:rsidRPr="00F6514E" w:rsidRDefault="00600053" w:rsidP="00600053">
            <w:pPr>
              <w:rPr>
                <w:lang w:val="da-DK"/>
              </w:rPr>
            </w:pPr>
            <w:r w:rsidRPr="00F6514E">
              <w:rPr>
                <w:lang w:val="da-DK"/>
              </w:rPr>
              <w:t>Vilkår 12 Registrering af vandindtag skal aflæses den 1. i hver måned og gennemsnitligt vandindtag beregnes pr. dag. Beregnet vandindtag for hver måned skal sendes til tilsynsmyndigheden</w:t>
            </w:r>
          </w:p>
          <w:p w14:paraId="3192A48D" w14:textId="77777777" w:rsidR="00600053" w:rsidRPr="00F6514E" w:rsidRDefault="00600053" w:rsidP="00600053">
            <w:pPr>
              <w:rPr>
                <w:lang w:val="da-DK"/>
              </w:rPr>
            </w:pPr>
            <w:r w:rsidRPr="48BBFD51">
              <w:rPr>
                <w:lang w:val="da-DK"/>
              </w:rPr>
              <w:t xml:space="preserve">Vilkår 18 Dambruget skal føre driftsjournal </w:t>
            </w:r>
          </w:p>
          <w:p w14:paraId="3DB83C2F" w14:textId="079A8F92" w:rsidR="06FDCA69" w:rsidRDefault="06FDCA69" w:rsidP="5407D753">
            <w:pPr>
              <w:rPr>
                <w:lang w:val="da-DK"/>
              </w:rPr>
            </w:pPr>
            <w:r w:rsidRPr="5407D753">
              <w:rPr>
                <w:lang w:val="da-DK"/>
              </w:rPr>
              <w:t xml:space="preserve">Vilkår 24 </w:t>
            </w:r>
            <w:r w:rsidR="2BAA5EC2" w:rsidRPr="5407D753">
              <w:rPr>
                <w:lang w:val="da-DK"/>
              </w:rPr>
              <w:t>V</w:t>
            </w:r>
            <w:r w:rsidRPr="5407D753">
              <w:rPr>
                <w:lang w:val="da-DK"/>
              </w:rPr>
              <w:t>accination mod rødmundssyge</w:t>
            </w:r>
          </w:p>
          <w:p w14:paraId="61BF8B2A" w14:textId="77777777" w:rsidR="00600053" w:rsidRPr="00F6514E" w:rsidRDefault="00600053" w:rsidP="00600053">
            <w:pPr>
              <w:rPr>
                <w:lang w:val="da-DK"/>
              </w:rPr>
            </w:pPr>
            <w:r w:rsidRPr="00F6514E">
              <w:rPr>
                <w:lang w:val="da-DK"/>
              </w:rPr>
              <w:t>Vilkår 31 Døde fisk skal opsamles dagligt og opbevares i tæt lukket beholder</w:t>
            </w:r>
          </w:p>
          <w:p w14:paraId="0C4AB136" w14:textId="047CB7E6" w:rsidR="00600053" w:rsidRDefault="00600053" w:rsidP="00600053">
            <w:pPr>
              <w:overflowPunct/>
              <w:autoSpaceDE/>
              <w:autoSpaceDN/>
              <w:adjustRightInd/>
              <w:textAlignment w:val="auto"/>
              <w:rPr>
                <w:lang w:val="da-DK"/>
              </w:rPr>
            </w:pPr>
            <w:r w:rsidRPr="5407D753">
              <w:rPr>
                <w:lang w:val="da-DK"/>
              </w:rPr>
              <w:t xml:space="preserve">Vilkår 35 </w:t>
            </w:r>
            <w:r w:rsidR="7F497915" w:rsidRPr="5407D753">
              <w:rPr>
                <w:lang w:val="da-DK"/>
              </w:rPr>
              <w:t>O</w:t>
            </w:r>
            <w:r w:rsidRPr="5407D753">
              <w:rPr>
                <w:lang w:val="da-DK"/>
              </w:rPr>
              <w:t>plag af kemikalier, foder mm skal opbevares i tætte egnede beholdere i rum uden afløb eller i spildbakker</w:t>
            </w:r>
          </w:p>
          <w:p w14:paraId="33C5C9AF" w14:textId="116B69E0" w:rsidR="00DA1391" w:rsidRDefault="00DA1391" w:rsidP="00600053">
            <w:pPr>
              <w:overflowPunct/>
              <w:autoSpaceDE/>
              <w:autoSpaceDN/>
              <w:adjustRightInd/>
              <w:textAlignment w:val="auto"/>
              <w:rPr>
                <w:lang w:val="da-DK"/>
              </w:rPr>
            </w:pPr>
            <w:r>
              <w:rPr>
                <w:lang w:val="da-DK"/>
              </w:rPr>
              <w:t xml:space="preserve">Vilkår 36 </w:t>
            </w:r>
            <w:r w:rsidR="003124FE">
              <w:rPr>
                <w:lang w:val="da-DK"/>
              </w:rPr>
              <w:t>Mængden af affald skal begrænses mest muligt.</w:t>
            </w:r>
          </w:p>
          <w:p w14:paraId="3DCA44C9" w14:textId="4305A61D" w:rsidR="00F96FC9" w:rsidRPr="00F6514E" w:rsidRDefault="00F96FC9" w:rsidP="00600053">
            <w:pPr>
              <w:rPr>
                <w:lang w:val="da-DK"/>
              </w:rPr>
            </w:pPr>
            <w:r w:rsidRPr="00F6514E">
              <w:rPr>
                <w:lang w:val="da-DK"/>
              </w:rPr>
              <w:t>Jævnfør §110 skt. 1 nr.</w:t>
            </w:r>
            <w:r w:rsidR="1DB6A892" w:rsidRPr="6C670465">
              <w:rPr>
                <w:lang w:val="da-DK"/>
              </w:rPr>
              <w:t xml:space="preserve"> </w:t>
            </w:r>
            <w:r w:rsidRPr="00F6514E">
              <w:rPr>
                <w:lang w:val="da-DK"/>
              </w:rPr>
              <w:t>4 i miljøbeskyttelsesloven, er det strafbart at tilsidesætte vilkår i en miljøgodkendelse. Jævnfør §69 stk.3 kan indskærpelser ikke påklages.</w:t>
            </w:r>
          </w:p>
          <w:p w14:paraId="116513D7" w14:textId="041B7655" w:rsidR="00436383" w:rsidRDefault="00436383" w:rsidP="00600053">
            <w:pPr>
              <w:overflowPunct/>
              <w:autoSpaceDE/>
              <w:autoSpaceDN/>
              <w:adjustRightInd/>
              <w:textAlignment w:val="auto"/>
              <w:rPr>
                <w:lang w:val="da-DK"/>
              </w:rPr>
            </w:pPr>
            <w:r w:rsidRPr="1AB54D3F">
              <w:rPr>
                <w:lang w:val="da-DK"/>
              </w:rPr>
              <w:t xml:space="preserve">Håndhævelse af vilkår 9, 13, </w:t>
            </w:r>
            <w:r w:rsidR="7D5C111C" w:rsidRPr="1AB54D3F">
              <w:rPr>
                <w:lang w:val="da-DK"/>
              </w:rPr>
              <w:t xml:space="preserve">15 </w:t>
            </w:r>
            <w:r w:rsidRPr="1AB54D3F">
              <w:rPr>
                <w:lang w:val="da-DK"/>
              </w:rPr>
              <w:t>samt vilkår 1</w:t>
            </w:r>
            <w:r w:rsidR="7D888D99" w:rsidRPr="1AB54D3F">
              <w:rPr>
                <w:lang w:val="da-DK"/>
              </w:rPr>
              <w:t>9</w:t>
            </w:r>
            <w:r w:rsidRPr="1AB54D3F">
              <w:rPr>
                <w:lang w:val="da-DK"/>
              </w:rPr>
              <w:t xml:space="preserve"> </w:t>
            </w:r>
            <w:proofErr w:type="gramStart"/>
            <w:r w:rsidRPr="1AB54D3F">
              <w:rPr>
                <w:lang w:val="da-DK"/>
              </w:rPr>
              <w:t>pågår</w:t>
            </w:r>
            <w:proofErr w:type="gramEnd"/>
            <w:r w:rsidRPr="1AB54D3F">
              <w:rPr>
                <w:lang w:val="da-DK"/>
              </w:rPr>
              <w:t>.</w:t>
            </w:r>
          </w:p>
          <w:p w14:paraId="06F07015" w14:textId="0F199775" w:rsidR="00600053" w:rsidRPr="00600053" w:rsidRDefault="004C466D" w:rsidP="004C466D">
            <w:pPr>
              <w:overflowPunct/>
              <w:autoSpaceDE/>
              <w:autoSpaceDN/>
              <w:adjustRightInd/>
              <w:textAlignment w:val="auto"/>
              <w:rPr>
                <w:lang w:val="da-DK"/>
              </w:rPr>
            </w:pPr>
            <w:r w:rsidRPr="00914929">
              <w:rPr>
                <w:lang w:val="da-DK"/>
              </w:rPr>
              <w:t>Aalborg Kommune vil føre et o</w:t>
            </w:r>
            <w:r w:rsidR="00600053" w:rsidRPr="00914929">
              <w:rPr>
                <w:lang w:val="da-DK"/>
              </w:rPr>
              <w:t xml:space="preserve">pfølgende </w:t>
            </w:r>
            <w:r w:rsidR="00600053" w:rsidRPr="00DD722B">
              <w:rPr>
                <w:lang w:val="da-DK"/>
              </w:rPr>
              <w:t xml:space="preserve">tilsyn i </w:t>
            </w:r>
            <w:r w:rsidR="00C23B24" w:rsidRPr="00DD722B">
              <w:rPr>
                <w:lang w:val="da-DK"/>
              </w:rPr>
              <w:t>februar</w:t>
            </w:r>
            <w:r w:rsidR="00914929" w:rsidRPr="00DD722B">
              <w:rPr>
                <w:lang w:val="da-DK"/>
              </w:rPr>
              <w:t xml:space="preserve"> 2026.</w:t>
            </w:r>
          </w:p>
        </w:tc>
      </w:tr>
      <w:tr w:rsidR="00600053" w:rsidRPr="00600053" w14:paraId="2ECA0E1B" w14:textId="77777777" w:rsidTr="1AB54D3F">
        <w:trPr>
          <w:jc w:val="center"/>
        </w:trPr>
        <w:tc>
          <w:tcPr>
            <w:tcW w:w="2122" w:type="dxa"/>
            <w:vAlign w:val="center"/>
          </w:tcPr>
          <w:p w14:paraId="50389A34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Bæredygtighed</w:t>
            </w:r>
          </w:p>
        </w:tc>
        <w:tc>
          <w:tcPr>
            <w:tcW w:w="7506" w:type="dxa"/>
            <w:gridSpan w:val="7"/>
            <w:vAlign w:val="center"/>
          </w:tcPr>
          <w:p w14:paraId="26809B14" w14:textId="2D1D6B50" w:rsidR="00600053" w:rsidRPr="00600053" w:rsidRDefault="004C466D" w:rsidP="00206964">
            <w:pPr>
              <w:rPr>
                <w:lang w:val="da-DK"/>
              </w:rPr>
            </w:pPr>
            <w:r>
              <w:rPr>
                <w:lang w:val="da-DK"/>
              </w:rPr>
              <w:t xml:space="preserve">Dambruget har lukket for den ene boring </w:t>
            </w:r>
            <w:r w:rsidR="00B81E66">
              <w:rPr>
                <w:lang w:val="da-DK"/>
              </w:rPr>
              <w:t>for at tilpasse vandmængden til aktuel produktion</w:t>
            </w:r>
            <w:r>
              <w:rPr>
                <w:lang w:val="da-DK"/>
              </w:rPr>
              <w:t>.</w:t>
            </w:r>
            <w:r w:rsidR="006A2E90">
              <w:rPr>
                <w:lang w:val="da-DK"/>
              </w:rPr>
              <w:t xml:space="preserve"> </w:t>
            </w:r>
          </w:p>
        </w:tc>
      </w:tr>
      <w:tr w:rsidR="00600053" w:rsidRPr="00600053" w14:paraId="094565C5" w14:textId="77777777" w:rsidTr="1AB54D3F">
        <w:trPr>
          <w:jc w:val="center"/>
        </w:trPr>
        <w:tc>
          <w:tcPr>
            <w:tcW w:w="2122" w:type="dxa"/>
            <w:vAlign w:val="center"/>
          </w:tcPr>
          <w:p w14:paraId="188BF25C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Jordforurening</w:t>
            </w:r>
          </w:p>
        </w:tc>
        <w:tc>
          <w:tcPr>
            <w:tcW w:w="7506" w:type="dxa"/>
            <w:gridSpan w:val="7"/>
            <w:vAlign w:val="center"/>
          </w:tcPr>
          <w:p w14:paraId="4BDD7103" w14:textId="77777777" w:rsidR="00600053" w:rsidRPr="00600053" w:rsidRDefault="00600053" w:rsidP="00206964">
            <w:pPr>
              <w:rPr>
                <w:lang w:val="da-DK"/>
              </w:rPr>
            </w:pPr>
            <w:r w:rsidRPr="00600053">
              <w:rPr>
                <w:lang w:val="da-DK"/>
              </w:rPr>
              <w:t>Nej</w:t>
            </w:r>
          </w:p>
        </w:tc>
      </w:tr>
      <w:tr w:rsidR="00600053" w:rsidRPr="00600053" w14:paraId="030D6D4A" w14:textId="77777777" w:rsidTr="1AB54D3F">
        <w:trPr>
          <w:jc w:val="center"/>
        </w:trPr>
        <w:tc>
          <w:tcPr>
            <w:tcW w:w="2122" w:type="dxa"/>
            <w:vAlign w:val="center"/>
          </w:tcPr>
          <w:p w14:paraId="465DFCB3" w14:textId="77777777" w:rsidR="00600053" w:rsidRPr="00600053" w:rsidRDefault="00600053" w:rsidP="00206964">
            <w:pPr>
              <w:spacing w:line="276" w:lineRule="auto"/>
              <w:rPr>
                <w:b/>
                <w:lang w:val="da-DK"/>
              </w:rPr>
            </w:pPr>
            <w:r w:rsidRPr="00600053">
              <w:rPr>
                <w:b/>
                <w:lang w:val="da-DK"/>
              </w:rPr>
              <w:t>Vandløbsundersøgelse</w:t>
            </w:r>
          </w:p>
        </w:tc>
        <w:tc>
          <w:tcPr>
            <w:tcW w:w="7506" w:type="dxa"/>
            <w:gridSpan w:val="7"/>
            <w:vAlign w:val="center"/>
          </w:tcPr>
          <w:p w14:paraId="1EB43978" w14:textId="250F3572" w:rsidR="00600053" w:rsidRPr="00600053" w:rsidRDefault="00C17626" w:rsidP="00206964">
            <w:pPr>
              <w:rPr>
                <w:lang w:val="da-DK"/>
              </w:rPr>
            </w:pPr>
            <w:r>
              <w:rPr>
                <w:lang w:val="da-DK"/>
              </w:rPr>
              <w:t>D</w:t>
            </w:r>
            <w:r w:rsidR="004C466D">
              <w:rPr>
                <w:lang w:val="da-DK"/>
              </w:rPr>
              <w:t xml:space="preserve">er ses ikke en påvirkning </w:t>
            </w:r>
            <w:r>
              <w:rPr>
                <w:lang w:val="da-DK"/>
              </w:rPr>
              <w:t xml:space="preserve">fra dambruget </w:t>
            </w:r>
            <w:r w:rsidR="004C466D">
              <w:rPr>
                <w:lang w:val="da-DK"/>
              </w:rPr>
              <w:t>af vandløbet, ud fra faunasammensætningen</w:t>
            </w:r>
            <w:r>
              <w:rPr>
                <w:lang w:val="da-DK"/>
              </w:rPr>
              <w:t xml:space="preserve">. Aalborg Kommune vurderer at den lille produktion der er på dambruget </w:t>
            </w:r>
            <w:proofErr w:type="gramStart"/>
            <w:r>
              <w:rPr>
                <w:lang w:val="da-DK"/>
              </w:rPr>
              <w:t>pt.</w:t>
            </w:r>
            <w:proofErr w:type="gramEnd"/>
            <w:r>
              <w:rPr>
                <w:lang w:val="da-DK"/>
              </w:rPr>
              <w:t xml:space="preserve"> er en afgørende faktor for dette, så længe i</w:t>
            </w:r>
            <w:r w:rsidR="004C466D">
              <w:rPr>
                <w:lang w:val="da-DK"/>
              </w:rPr>
              <w:t>ndretningen af dambruget ikke er i overensstemmelse</w:t>
            </w:r>
            <w:r w:rsidR="00B81E66">
              <w:rPr>
                <w:lang w:val="da-DK"/>
              </w:rPr>
              <w:t xml:space="preserve"> med miljøgodkendelsen</w:t>
            </w:r>
            <w:r>
              <w:rPr>
                <w:lang w:val="da-DK"/>
              </w:rPr>
              <w:t>. Ved faunaundersøgelsen i foråret 202</w:t>
            </w:r>
            <w:r w:rsidR="00137E45">
              <w:rPr>
                <w:lang w:val="da-DK"/>
              </w:rPr>
              <w:t>5</w:t>
            </w:r>
            <w:r>
              <w:rPr>
                <w:lang w:val="da-DK"/>
              </w:rPr>
              <w:t xml:space="preserve"> blev der registreret en faunaklasse </w:t>
            </w:r>
            <w:r w:rsidR="00137E45">
              <w:rPr>
                <w:lang w:val="da-DK"/>
              </w:rPr>
              <w:t>5</w:t>
            </w:r>
            <w:r>
              <w:rPr>
                <w:lang w:val="da-DK"/>
              </w:rPr>
              <w:t xml:space="preserve"> op og nedstrøms dambrug</w:t>
            </w:r>
            <w:r w:rsidR="00B81E66">
              <w:rPr>
                <w:lang w:val="da-DK"/>
              </w:rPr>
              <w:t>et</w:t>
            </w:r>
            <w:r w:rsidR="00137E45">
              <w:rPr>
                <w:lang w:val="da-DK"/>
              </w:rPr>
              <w:t>, dette er dog et fald i faunaklassen fra 6 opstrøms og nedstrøms i 2024.</w:t>
            </w:r>
          </w:p>
        </w:tc>
      </w:tr>
    </w:tbl>
    <w:p w14:paraId="379B840E" w14:textId="77777777" w:rsidR="004D304D" w:rsidRDefault="004D304D"/>
    <w:sectPr w:rsidR="004D30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53"/>
    <w:rsid w:val="00004360"/>
    <w:rsid w:val="00044152"/>
    <w:rsid w:val="000B787B"/>
    <w:rsid w:val="000D7EA2"/>
    <w:rsid w:val="000F030E"/>
    <w:rsid w:val="00104E77"/>
    <w:rsid w:val="00137E45"/>
    <w:rsid w:val="00144B8D"/>
    <w:rsid w:val="001C7A10"/>
    <w:rsid w:val="001E050E"/>
    <w:rsid w:val="00206964"/>
    <w:rsid w:val="002419CF"/>
    <w:rsid w:val="00270B28"/>
    <w:rsid w:val="00272711"/>
    <w:rsid w:val="003124FE"/>
    <w:rsid w:val="00323E2C"/>
    <w:rsid w:val="0033101A"/>
    <w:rsid w:val="00363EC0"/>
    <w:rsid w:val="003A73CE"/>
    <w:rsid w:val="0040060A"/>
    <w:rsid w:val="00422FA7"/>
    <w:rsid w:val="004247FA"/>
    <w:rsid w:val="00436383"/>
    <w:rsid w:val="0044615A"/>
    <w:rsid w:val="00472A06"/>
    <w:rsid w:val="00494C83"/>
    <w:rsid w:val="004A0F0C"/>
    <w:rsid w:val="004C466D"/>
    <w:rsid w:val="004D304D"/>
    <w:rsid w:val="005523B1"/>
    <w:rsid w:val="00586EE0"/>
    <w:rsid w:val="0059401E"/>
    <w:rsid w:val="005A6ACC"/>
    <w:rsid w:val="00600053"/>
    <w:rsid w:val="00640E0A"/>
    <w:rsid w:val="006417EB"/>
    <w:rsid w:val="006963B9"/>
    <w:rsid w:val="006A2E90"/>
    <w:rsid w:val="006F3ED7"/>
    <w:rsid w:val="00704D20"/>
    <w:rsid w:val="00733E57"/>
    <w:rsid w:val="007D7EA4"/>
    <w:rsid w:val="00844B79"/>
    <w:rsid w:val="008528A7"/>
    <w:rsid w:val="008810D6"/>
    <w:rsid w:val="00887807"/>
    <w:rsid w:val="008A14C9"/>
    <w:rsid w:val="008B0B13"/>
    <w:rsid w:val="008C6F26"/>
    <w:rsid w:val="008D73A3"/>
    <w:rsid w:val="00914929"/>
    <w:rsid w:val="00917B2C"/>
    <w:rsid w:val="009802B2"/>
    <w:rsid w:val="00993DBD"/>
    <w:rsid w:val="009C1313"/>
    <w:rsid w:val="009E0DFF"/>
    <w:rsid w:val="009E481E"/>
    <w:rsid w:val="009F75EB"/>
    <w:rsid w:val="00A37FAB"/>
    <w:rsid w:val="00A95A64"/>
    <w:rsid w:val="00AD725E"/>
    <w:rsid w:val="00B81E66"/>
    <w:rsid w:val="00BA48AD"/>
    <w:rsid w:val="00BC52D7"/>
    <w:rsid w:val="00BE51B7"/>
    <w:rsid w:val="00BE5CFC"/>
    <w:rsid w:val="00C17626"/>
    <w:rsid w:val="00C23B24"/>
    <w:rsid w:val="00CA29B8"/>
    <w:rsid w:val="00D50944"/>
    <w:rsid w:val="00D734BE"/>
    <w:rsid w:val="00DA1391"/>
    <w:rsid w:val="00DD2ECE"/>
    <w:rsid w:val="00DD722B"/>
    <w:rsid w:val="00DF1FED"/>
    <w:rsid w:val="00E15B93"/>
    <w:rsid w:val="00E4517B"/>
    <w:rsid w:val="00E72C9A"/>
    <w:rsid w:val="00E9499E"/>
    <w:rsid w:val="00E97FE0"/>
    <w:rsid w:val="00EB5817"/>
    <w:rsid w:val="00F14AC1"/>
    <w:rsid w:val="00F17761"/>
    <w:rsid w:val="00F6514E"/>
    <w:rsid w:val="00F85DD5"/>
    <w:rsid w:val="00F96FC9"/>
    <w:rsid w:val="00FA116C"/>
    <w:rsid w:val="00FA6FA0"/>
    <w:rsid w:val="00FD1E79"/>
    <w:rsid w:val="037F40FA"/>
    <w:rsid w:val="06FDCA69"/>
    <w:rsid w:val="0E5EDE5F"/>
    <w:rsid w:val="18A5E50E"/>
    <w:rsid w:val="1976EE27"/>
    <w:rsid w:val="197A30C2"/>
    <w:rsid w:val="1AB54D3F"/>
    <w:rsid w:val="1DB6A892"/>
    <w:rsid w:val="2BAA5EC2"/>
    <w:rsid w:val="3A167CA2"/>
    <w:rsid w:val="3BF7AC07"/>
    <w:rsid w:val="3E7B0A92"/>
    <w:rsid w:val="44B7333C"/>
    <w:rsid w:val="48BBFD51"/>
    <w:rsid w:val="4E663887"/>
    <w:rsid w:val="5407D753"/>
    <w:rsid w:val="5D3E75AC"/>
    <w:rsid w:val="6C670465"/>
    <w:rsid w:val="6D4E6824"/>
    <w:rsid w:val="70220062"/>
    <w:rsid w:val="7D5C111C"/>
    <w:rsid w:val="7D888D99"/>
    <w:rsid w:val="7F4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EC0D"/>
  <w15:chartTrackingRefBased/>
  <w15:docId w15:val="{4700B631-E9C6-4E79-940E-9EFE900F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053"/>
    <w:pPr>
      <w:spacing w:after="200" w:line="240" w:lineRule="auto"/>
    </w:pPr>
    <w:rPr>
      <w:rFonts w:eastAsiaTheme="minorEastAsia"/>
      <w:kern w:val="0"/>
      <w:sz w:val="18"/>
      <w:szCs w:val="18"/>
      <w:lang w:bidi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600053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eastAsiaTheme="minorEastAsia"/>
      <w:kern w:val="0"/>
      <w:sz w:val="18"/>
      <w:szCs w:val="18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rFonts w:eastAsiaTheme="minorEastAsia"/>
      <w:kern w:val="0"/>
      <w:sz w:val="20"/>
      <w:szCs w:val="20"/>
      <w:lang w:bidi="en-US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3559</Characters>
  <Application>Microsoft Office Word</Application>
  <DocSecurity>0</DocSecurity>
  <Lines>84</Lines>
  <Paragraphs>61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Schmidt Hildebrand</dc:creator>
  <cp:keywords/>
  <dc:description/>
  <cp:lastModifiedBy>Mette Pouline Ottosen</cp:lastModifiedBy>
  <cp:revision>12</cp:revision>
  <dcterms:created xsi:type="dcterms:W3CDTF">2025-12-02T13:22:00Z</dcterms:created>
  <dcterms:modified xsi:type="dcterms:W3CDTF">2026-01-14T07:35:00Z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