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964195" w:rsidRPr="00B35914" w:rsidTr="00E94930">
        <w:trPr>
          <w:trHeight w:val="1417"/>
        </w:trPr>
        <w:tc>
          <w:tcPr>
            <w:tcW w:w="5670" w:type="dxa"/>
          </w:tcPr>
          <w:p w:rsidR="00B35914" w:rsidRPr="00B35914" w:rsidRDefault="00B35914" w:rsidP="00B35914">
            <w:pPr>
              <w:pStyle w:val="Modtager"/>
              <w:rPr>
                <w:rFonts w:ascii="Calibri" w:hAnsi="Calibri" w:cs="Calibri"/>
              </w:rPr>
            </w:pPr>
            <w:bookmarkStart w:id="0" w:name="_GoBack"/>
            <w:bookmarkEnd w:id="0"/>
            <w:proofErr w:type="spellStart"/>
            <w:r w:rsidRPr="00B35914">
              <w:rPr>
                <w:rFonts w:ascii="Calibri" w:hAnsi="Calibri" w:cs="Calibri"/>
              </w:rPr>
              <w:t>Chembo</w:t>
            </w:r>
            <w:proofErr w:type="spellEnd"/>
            <w:r w:rsidRPr="00B35914">
              <w:rPr>
                <w:rFonts w:ascii="Calibri" w:hAnsi="Calibri" w:cs="Calibri"/>
              </w:rPr>
              <w:t xml:space="preserve"> </w:t>
            </w:r>
            <w:proofErr w:type="spellStart"/>
            <w:r w:rsidRPr="00B35914">
              <w:rPr>
                <w:rFonts w:ascii="Calibri" w:hAnsi="Calibri" w:cs="Calibri"/>
              </w:rPr>
              <w:t>Production</w:t>
            </w:r>
            <w:proofErr w:type="spellEnd"/>
            <w:r w:rsidRPr="00B35914">
              <w:rPr>
                <w:rFonts w:ascii="Calibri" w:hAnsi="Calibri" w:cs="Calibri"/>
              </w:rPr>
              <w:t xml:space="preserve"> Ltd ApS</w:t>
            </w:r>
          </w:p>
          <w:p w:rsidR="00B35914" w:rsidRPr="00B35914" w:rsidRDefault="00B35914" w:rsidP="00B35914">
            <w:pPr>
              <w:pStyle w:val="Modtager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Att.: Helle Rasmussen</w:t>
            </w:r>
          </w:p>
          <w:p w:rsidR="00B35914" w:rsidRPr="00B35914" w:rsidRDefault="00B35914" w:rsidP="00B35914">
            <w:pPr>
              <w:pStyle w:val="Modtager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Oldenvej 13a</w:t>
            </w:r>
          </w:p>
          <w:p w:rsidR="00964195" w:rsidRPr="00B35914" w:rsidRDefault="00B35914" w:rsidP="00B35914">
            <w:pPr>
              <w:pStyle w:val="Modtager"/>
            </w:pPr>
            <w:r w:rsidRPr="00B35914">
              <w:rPr>
                <w:rFonts w:ascii="Calibri" w:hAnsi="Calibri" w:cs="Calibri"/>
              </w:rPr>
              <w:t>3490 Kvistgård</w:t>
            </w:r>
          </w:p>
        </w:tc>
      </w:tr>
    </w:tbl>
    <w:tbl>
      <w:tblPr>
        <w:tblpPr w:rightFromText="142" w:vertAnchor="page" w:horzAnchor="page" w:tblpX="6975" w:tblpY="209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6"/>
      </w:tblGrid>
      <w:tr w:rsidR="00964195" w:rsidRPr="00B35914" w:rsidTr="00E94930">
        <w:trPr>
          <w:trHeight w:val="397"/>
        </w:trPr>
        <w:tc>
          <w:tcPr>
            <w:tcW w:w="4196" w:type="dxa"/>
            <w:vAlign w:val="bottom"/>
          </w:tcPr>
          <w:p w:rsidR="00964195" w:rsidRPr="00B35914" w:rsidRDefault="00B35914" w:rsidP="00B35914">
            <w:pPr>
              <w:pStyle w:val="KolofonFed"/>
            </w:pPr>
            <w:r w:rsidRPr="00B35914">
              <w:rPr>
                <w:rFonts w:ascii="Calibri" w:hAnsi="Calibri" w:cs="Calibri"/>
              </w:rPr>
              <w:t>Center for By Land og Vand</w:t>
            </w:r>
          </w:p>
        </w:tc>
      </w:tr>
    </w:tbl>
    <w:tbl>
      <w:tblPr>
        <w:tblpPr w:leftFromText="142" w:rightFromText="142" w:vertAnchor="page" w:horzAnchor="page" w:tblpX="8903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B35914" w:rsidTr="00C97EEF">
        <w:trPr>
          <w:trHeight w:val="2835"/>
        </w:trPr>
        <w:tc>
          <w:tcPr>
            <w:tcW w:w="2268" w:type="dxa"/>
          </w:tcPr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Natur og Miljø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Prøvestensvej 52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3000 Helsingør</w:t>
            </w:r>
          </w:p>
          <w:p w:rsidR="00B35914" w:rsidRPr="00B35914" w:rsidRDefault="00B35914" w:rsidP="00B35914">
            <w:pPr>
              <w:pStyle w:val="KolofonAfstand"/>
            </w:pP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Cvr nr. 64 50 20 18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Dato 21.11.2018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Sagsnr. 18/</w:t>
            </w:r>
            <w:r>
              <w:rPr>
                <w:rFonts w:ascii="Calibri" w:hAnsi="Calibri" w:cs="Calibri"/>
              </w:rPr>
              <w:t>4873</w:t>
            </w:r>
          </w:p>
          <w:p w:rsidR="00B35914" w:rsidRPr="00B35914" w:rsidRDefault="00B35914" w:rsidP="00B35914">
            <w:pPr>
              <w:pStyle w:val="KolofonAfstand"/>
            </w:pP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Sagsbehandler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  <w:b/>
              </w:rPr>
              <w:t>Malene Kamstrup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Ingeniør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Tlf. 49 28 24 54</w:t>
            </w:r>
          </w:p>
          <w:p w:rsidR="00B35914" w:rsidRPr="00B35914" w:rsidRDefault="00B35914" w:rsidP="00B35914">
            <w:pPr>
              <w:pStyle w:val="Kolofon"/>
              <w:rPr>
                <w:rFonts w:ascii="Calibri" w:hAnsi="Calibri" w:cs="Calibri"/>
              </w:rPr>
            </w:pPr>
            <w:r w:rsidRPr="00B35914">
              <w:rPr>
                <w:rFonts w:ascii="Calibri" w:hAnsi="Calibri" w:cs="Calibri"/>
              </w:rPr>
              <w:t>mka55@helsingor.dk</w:t>
            </w:r>
          </w:p>
          <w:p w:rsidR="00964195" w:rsidRPr="00B35914" w:rsidRDefault="00B35914" w:rsidP="00B35914">
            <w:pPr>
              <w:pStyle w:val="Kolofon"/>
            </w:pPr>
            <w:r w:rsidRPr="00B35914">
              <w:rPr>
                <w:rFonts w:ascii="Calibri" w:hAnsi="Calibri" w:cs="Calibri"/>
              </w:rPr>
              <w:t>www.helsingor.dk</w:t>
            </w:r>
          </w:p>
        </w:tc>
      </w:tr>
    </w:tbl>
    <w:p w:rsidR="00B35914" w:rsidRDefault="00B35914" w:rsidP="00B35914">
      <w:pPr>
        <w:pStyle w:val="Overskrift1"/>
      </w:pPr>
      <w:r>
        <w:t>Ændrede af vilkår for opbevaring filterkage og andet farligt affald</w:t>
      </w:r>
    </w:p>
    <w:p w:rsidR="00B35914" w:rsidRDefault="00B35914" w:rsidP="00B35914">
      <w:r>
        <w:t xml:space="preserve">I skaffer filterkage bort til </w:t>
      </w:r>
      <w:proofErr w:type="spellStart"/>
      <w:r>
        <w:t>Ekokem</w:t>
      </w:r>
      <w:proofErr w:type="spellEnd"/>
      <w:r>
        <w:t xml:space="preserve"> i Nyborg. I er miljøgodkendt til at opbevare op til kun et ton filterkage. Men det koster mindre at aflevere fem tom ad gangen. I opbevarer filterkagen i </w:t>
      </w:r>
      <w:proofErr w:type="spellStart"/>
      <w:r>
        <w:t>bigbags</w:t>
      </w:r>
      <w:proofErr w:type="spellEnd"/>
      <w:r>
        <w:t xml:space="preserve"> indendørs i nr. 15, hvilket er en miljømæssig sikker måde at opbevare det på, da eventuelle spild kan samles op fra gulvet eller skylles til jeres vandrenseanlæg.</w:t>
      </w:r>
    </w:p>
    <w:p w:rsidR="00B35914" w:rsidRDefault="00B35914" w:rsidP="00B35914"/>
    <w:p w:rsidR="00B35914" w:rsidRDefault="00B35914" w:rsidP="00B35914">
      <w:r>
        <w:t xml:space="preserve">I har i miljøgodkendelsen fra 2008 en række vilkår der regulerer jeres opbevaring af affald i almindelighed og farligt affald. Det er vilkår 9, 9b, 9c, 10, 10a, 11 og 12. Nogle af disse vilkår er ikke længere aktuelle, da I opbevarer affaldet på en anden måde nu. Kommunen vurderer derfor, at vi bør slette og revidere disse vilkår. </w:t>
      </w:r>
    </w:p>
    <w:p w:rsidR="00B35914" w:rsidRDefault="00B35914" w:rsidP="00B35914"/>
    <w:p w:rsidR="00B35914" w:rsidRPr="00656CCC" w:rsidRDefault="00B35914" w:rsidP="00B35914">
      <w:pPr>
        <w:rPr>
          <w:b/>
        </w:rPr>
      </w:pPr>
      <w:r>
        <w:rPr>
          <w:b/>
        </w:rPr>
        <w:t>K</w:t>
      </w:r>
      <w:r w:rsidRPr="00656CCC">
        <w:rPr>
          <w:b/>
        </w:rPr>
        <w:t>ommunens afgørelse</w:t>
      </w:r>
    </w:p>
    <w:p w:rsidR="00B35914" w:rsidRDefault="00B35914" w:rsidP="00B35914">
      <w:r>
        <w:t>Med hjemmel i miljøbeskyttelsesloven §33 meddeler Helsingør Kommune ændrede vilkår om affald og jord og grundvand således:</w:t>
      </w:r>
    </w:p>
    <w:p w:rsidR="00B35914" w:rsidRDefault="00B35914" w:rsidP="00B35914"/>
    <w:p w:rsidR="00B35914" w:rsidRDefault="00B35914" w:rsidP="00B35914">
      <w:r>
        <w:t>Vilkår 9, 9b, 9c, 10, 10a, 11 og 12 udgår.</w:t>
      </w:r>
    </w:p>
    <w:p w:rsidR="00B35914" w:rsidRPr="0098093C" w:rsidRDefault="00B35914" w:rsidP="00B35914">
      <w:pPr>
        <w:rPr>
          <w:rFonts w:cstheme="minorHAnsi"/>
        </w:rPr>
      </w:pPr>
      <w:r>
        <w:t>N</w:t>
      </w:r>
      <w:r w:rsidRPr="0098093C">
        <w:rPr>
          <w:rFonts w:cstheme="minorHAnsi"/>
        </w:rPr>
        <w:t>ye vilkår:</w:t>
      </w:r>
    </w:p>
    <w:p w:rsidR="00B35914" w:rsidRPr="0098093C" w:rsidRDefault="00B35914" w:rsidP="00B35914">
      <w:pPr>
        <w:spacing w:line="240" w:lineRule="auto"/>
        <w:ind w:left="790"/>
        <w:rPr>
          <w:rFonts w:cstheme="minorHAnsi"/>
        </w:rPr>
      </w:pPr>
      <w:r w:rsidRPr="0098093C">
        <w:rPr>
          <w:rFonts w:cstheme="minorHAnsi"/>
        </w:rPr>
        <w:t>9d</w:t>
      </w:r>
      <w:r w:rsidRPr="0098093C">
        <w:rPr>
          <w:rFonts w:cstheme="minorHAnsi"/>
        </w:rPr>
        <w:tab/>
        <w:t>Virksomheden må højst op</w:t>
      </w:r>
      <w:r>
        <w:rPr>
          <w:rFonts w:cstheme="minorHAnsi"/>
        </w:rPr>
        <w:t>bevare følgende mængder affald:</w:t>
      </w:r>
    </w:p>
    <w:tbl>
      <w:tblPr>
        <w:tblStyle w:val="Tabel-Gitter"/>
        <w:tblW w:w="0" w:type="auto"/>
        <w:tblInd w:w="828" w:type="dxa"/>
        <w:tblLook w:val="01E0" w:firstRow="1" w:lastRow="1" w:firstColumn="1" w:lastColumn="1" w:noHBand="0" w:noVBand="0"/>
      </w:tblPr>
      <w:tblGrid>
        <w:gridCol w:w="3126"/>
        <w:gridCol w:w="3341"/>
      </w:tblGrid>
      <w:tr w:rsidR="00B35914" w:rsidRPr="0098093C" w:rsidTr="006F588C"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  <w:b/>
              </w:rPr>
            </w:pPr>
            <w:r w:rsidRPr="0098093C">
              <w:rPr>
                <w:rFonts w:cstheme="minorHAnsi"/>
                <w:b/>
              </w:rPr>
              <w:t>Type</w:t>
            </w:r>
          </w:p>
        </w:tc>
        <w:tc>
          <w:tcPr>
            <w:tcW w:w="33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  <w:b/>
              </w:rPr>
            </w:pPr>
            <w:r w:rsidRPr="0098093C">
              <w:rPr>
                <w:rFonts w:cstheme="minorHAnsi"/>
                <w:b/>
              </w:rPr>
              <w:t>Maksimal mængde</w:t>
            </w:r>
          </w:p>
        </w:tc>
      </w:tr>
      <w:tr w:rsidR="00B35914" w:rsidRPr="0098093C" w:rsidTr="006F588C">
        <w:tc>
          <w:tcPr>
            <w:tcW w:w="3126" w:type="dxa"/>
            <w:tcBorders>
              <w:top w:val="single" w:sz="12" w:space="0" w:color="auto"/>
              <w:lef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Blandet brændbart og/eller dagrenovation</w:t>
            </w:r>
          </w:p>
        </w:tc>
        <w:tc>
          <w:tcPr>
            <w:tcW w:w="3341" w:type="dxa"/>
            <w:tcBorders>
              <w:top w:val="single" w:sz="12" w:space="0" w:color="auto"/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1 container</w:t>
            </w:r>
          </w:p>
        </w:tc>
      </w:tr>
      <w:tr w:rsidR="00B35914" w:rsidRPr="0098093C" w:rsidTr="006F588C">
        <w:tc>
          <w:tcPr>
            <w:tcW w:w="3126" w:type="dxa"/>
            <w:tcBorders>
              <w:lef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Papir</w:t>
            </w:r>
          </w:p>
        </w:tc>
        <w:tc>
          <w:tcPr>
            <w:tcW w:w="3341" w:type="dxa"/>
            <w:tcBorders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1 container</w:t>
            </w:r>
          </w:p>
        </w:tc>
      </w:tr>
      <w:tr w:rsidR="00B35914" w:rsidRPr="0098093C" w:rsidTr="006F588C">
        <w:tc>
          <w:tcPr>
            <w:tcW w:w="3126" w:type="dxa"/>
            <w:tcBorders>
              <w:lef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Pap</w:t>
            </w:r>
          </w:p>
        </w:tc>
        <w:tc>
          <w:tcPr>
            <w:tcW w:w="3341" w:type="dxa"/>
            <w:tcBorders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1 container</w:t>
            </w:r>
          </w:p>
        </w:tc>
      </w:tr>
      <w:tr w:rsidR="00B35914" w:rsidRPr="0098093C" w:rsidTr="006F588C">
        <w:tc>
          <w:tcPr>
            <w:tcW w:w="3126" w:type="dxa"/>
            <w:tcBorders>
              <w:lef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Filterkage</w:t>
            </w:r>
          </w:p>
        </w:tc>
        <w:tc>
          <w:tcPr>
            <w:tcW w:w="3341" w:type="dxa"/>
            <w:tcBorders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98093C">
              <w:rPr>
                <w:rFonts w:cstheme="minorHAnsi"/>
              </w:rPr>
              <w:t>000 kg</w:t>
            </w:r>
          </w:p>
        </w:tc>
      </w:tr>
      <w:tr w:rsidR="00B35914" w:rsidRPr="0098093C" w:rsidTr="006F588C">
        <w:tc>
          <w:tcPr>
            <w:tcW w:w="3126" w:type="dxa"/>
            <w:tcBorders>
              <w:lef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Spildevand, der skal bortskaffes som affald</w:t>
            </w:r>
          </w:p>
        </w:tc>
        <w:tc>
          <w:tcPr>
            <w:tcW w:w="3341" w:type="dxa"/>
            <w:tcBorders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smartTag w:uri="urn:schemas-microsoft-com:office:smarttags" w:element="metricconverter">
              <w:smartTagPr>
                <w:attr w:name="ProductID" w:val="2000 liter"/>
              </w:smartTagPr>
              <w:r w:rsidRPr="0098093C">
                <w:rPr>
                  <w:rFonts w:cstheme="minorHAnsi"/>
                </w:rPr>
                <w:t>2000 liter</w:t>
              </w:r>
            </w:smartTag>
          </w:p>
        </w:tc>
      </w:tr>
      <w:tr w:rsidR="00B35914" w:rsidRPr="0098093C" w:rsidTr="006F588C">
        <w:tc>
          <w:tcPr>
            <w:tcW w:w="3126" w:type="dxa"/>
            <w:tcBorders>
              <w:lef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>
              <w:rPr>
                <w:rFonts w:cstheme="minorHAnsi"/>
              </w:rPr>
              <w:t>Spildevand der er modtaget som farligt affald</w:t>
            </w:r>
          </w:p>
        </w:tc>
        <w:tc>
          <w:tcPr>
            <w:tcW w:w="3341" w:type="dxa"/>
            <w:tcBorders>
              <w:right w:val="single" w:sz="12" w:space="0" w:color="auto"/>
            </w:tcBorders>
          </w:tcPr>
          <w:p w:rsidR="00B35914" w:rsidRPr="00BE340E" w:rsidRDefault="00B35914" w:rsidP="006F588C">
            <w:pPr>
              <w:rPr>
                <w:rFonts w:cstheme="minorHAnsi"/>
              </w:rPr>
            </w:pPr>
            <w:r>
              <w:rPr>
                <w:rFonts w:cstheme="minorHAnsi"/>
              </w:rPr>
              <w:t>40 m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 i renseanlægget</w:t>
            </w:r>
          </w:p>
        </w:tc>
      </w:tr>
      <w:tr w:rsidR="00B35914" w:rsidRPr="0098093C" w:rsidTr="006F588C">
        <w:tc>
          <w:tcPr>
            <w:tcW w:w="3126" w:type="dxa"/>
            <w:tcBorders>
              <w:lef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Brugte glasperler</w:t>
            </w:r>
          </w:p>
        </w:tc>
        <w:tc>
          <w:tcPr>
            <w:tcW w:w="3341" w:type="dxa"/>
            <w:tcBorders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smartTag w:uri="urn:schemas-microsoft-com:office:smarttags" w:element="metricconverter">
              <w:smartTagPr>
                <w:attr w:name="ProductID" w:val="200 kg"/>
              </w:smartTagPr>
              <w:r w:rsidRPr="0098093C">
                <w:rPr>
                  <w:rFonts w:cstheme="minorHAnsi"/>
                </w:rPr>
                <w:t>200 kg</w:t>
              </w:r>
            </w:smartTag>
          </w:p>
        </w:tc>
      </w:tr>
      <w:tr w:rsidR="00B35914" w:rsidRPr="0098093C" w:rsidTr="006F588C">
        <w:tc>
          <w:tcPr>
            <w:tcW w:w="3126" w:type="dxa"/>
            <w:tcBorders>
              <w:left w:val="single" w:sz="12" w:space="0" w:color="auto"/>
              <w:bottom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Sand fra sandfang</w:t>
            </w:r>
          </w:p>
        </w:tc>
        <w:tc>
          <w:tcPr>
            <w:tcW w:w="3341" w:type="dxa"/>
            <w:tcBorders>
              <w:bottom w:val="single" w:sz="12" w:space="0" w:color="auto"/>
              <w:right w:val="single" w:sz="12" w:space="0" w:color="auto"/>
            </w:tcBorders>
          </w:tcPr>
          <w:p w:rsidR="00B35914" w:rsidRPr="0098093C" w:rsidRDefault="00B35914" w:rsidP="006F588C">
            <w:pPr>
              <w:rPr>
                <w:rFonts w:cstheme="minorHAnsi"/>
              </w:rPr>
            </w:pPr>
            <w:r w:rsidRPr="0098093C">
              <w:rPr>
                <w:rFonts w:cstheme="minorHAnsi"/>
              </w:rPr>
              <w:t>0 uden for sandfangene</w:t>
            </w:r>
          </w:p>
        </w:tc>
      </w:tr>
    </w:tbl>
    <w:p w:rsidR="00B35914" w:rsidRPr="0098093C" w:rsidRDefault="00B35914" w:rsidP="00B35914">
      <w:pPr>
        <w:ind w:left="720"/>
        <w:rPr>
          <w:rFonts w:cstheme="minorHAnsi"/>
        </w:rPr>
      </w:pPr>
    </w:p>
    <w:p w:rsidR="00B35914" w:rsidRDefault="00B35914" w:rsidP="00B35914">
      <w:pPr>
        <w:ind w:left="720"/>
        <w:rPr>
          <w:rFonts w:cstheme="minorHAnsi"/>
        </w:rPr>
      </w:pPr>
      <w:r w:rsidRPr="0098093C">
        <w:rPr>
          <w:rFonts w:cstheme="minorHAnsi"/>
        </w:rPr>
        <w:lastRenderedPageBreak/>
        <w:t>Virksomheden må godt sortere affaldet i flere end de nævnte fraktioner.</w:t>
      </w:r>
    </w:p>
    <w:p w:rsidR="00B35914" w:rsidRPr="0098093C" w:rsidRDefault="00B35914" w:rsidP="00B35914">
      <w:pPr>
        <w:ind w:left="720"/>
        <w:rPr>
          <w:rFonts w:cstheme="minorHAnsi"/>
        </w:rPr>
      </w:pPr>
    </w:p>
    <w:p w:rsidR="00B35914" w:rsidRDefault="00B35914" w:rsidP="00B35914">
      <w:pPr>
        <w:ind w:left="720" w:hanging="720"/>
        <w:rPr>
          <w:rFonts w:cstheme="minorHAnsi"/>
        </w:rPr>
      </w:pPr>
      <w:r>
        <w:rPr>
          <w:rFonts w:cstheme="minorHAnsi"/>
        </w:rPr>
        <w:t>10b</w:t>
      </w:r>
      <w:r>
        <w:rPr>
          <w:rFonts w:cstheme="minorHAnsi"/>
        </w:rPr>
        <w:tab/>
      </w:r>
      <w:r w:rsidRPr="00BE340E">
        <w:rPr>
          <w:rFonts w:cstheme="minorHAnsi"/>
        </w:rPr>
        <w:t xml:space="preserve">Alt farligt affald skal opbevares indendørs og uden mulighed for afløb til offentlig kloak, jord, grundvand eller vandløb. Oplaget skal skærmes, så der ikke er mulighed for påkørsel. </w:t>
      </w:r>
      <w:r>
        <w:rPr>
          <w:rFonts w:cstheme="minorHAnsi"/>
        </w:rPr>
        <w:t xml:space="preserve"> Flydende farligt affald skal opbevares således at h</w:t>
      </w:r>
      <w:r w:rsidRPr="00BE340E">
        <w:rPr>
          <w:rFonts w:cstheme="minorHAnsi"/>
        </w:rPr>
        <w:t>ele indholdet af den største beholder skal kunne opsamles ved utæt emballage, spild, mv.</w:t>
      </w:r>
    </w:p>
    <w:p w:rsidR="00B35914" w:rsidRDefault="00B35914" w:rsidP="00B35914">
      <w:pPr>
        <w:ind w:left="720" w:hanging="720"/>
        <w:rPr>
          <w:rFonts w:cstheme="minorHAnsi"/>
        </w:rPr>
      </w:pPr>
    </w:p>
    <w:p w:rsidR="00B35914" w:rsidRPr="00B35914" w:rsidRDefault="00B35914" w:rsidP="00B35914">
      <w:pPr>
        <w:rPr>
          <w:b/>
        </w:rPr>
      </w:pPr>
      <w:r w:rsidRPr="00B35914">
        <w:rPr>
          <w:b/>
        </w:rPr>
        <w:t>Klagevejledning</w:t>
      </w:r>
    </w:p>
    <w:p w:rsidR="00B35914" w:rsidRPr="00E42E75" w:rsidRDefault="00B35914" w:rsidP="00B35914">
      <w:r w:rsidRPr="00543846">
        <w:t>I kan klage over afgørelsen. Ønsker I at klage, skal I senest den</w:t>
      </w:r>
      <w:r>
        <w:t xml:space="preserve"> 19. december 2018 have</w:t>
      </w:r>
      <w:r w:rsidRPr="00543846">
        <w:t xml:space="preserve"> indtas</w:t>
      </w:r>
      <w:r w:rsidRPr="00E42E75">
        <w:t xml:space="preserve">tet klagen i </w:t>
      </w:r>
      <w:hyperlink r:id="rId8" w:history="1">
        <w:r w:rsidRPr="00E42E75">
          <w:rPr>
            <w:rStyle w:val="Hyperlink"/>
            <w:rFonts w:eastAsia="Times New Roman" w:cs="Arial"/>
            <w:color w:val="auto"/>
            <w:u w:val="none"/>
            <w:lang w:eastAsia="da-DK"/>
          </w:rPr>
          <w:t>Klageportalen</w:t>
        </w:r>
      </w:hyperlink>
      <w:r w:rsidRPr="00E42E75">
        <w:t xml:space="preserve"> til Miljø- og Fødevareklagenævnet.</w:t>
      </w:r>
    </w:p>
    <w:p w:rsidR="00B35914" w:rsidRPr="00E42E75" w:rsidRDefault="00B35914" w:rsidP="00B35914"/>
    <w:p w:rsidR="00B35914" w:rsidRPr="00E42E75" w:rsidRDefault="00B35914" w:rsidP="00B35914">
      <w:r w:rsidRPr="00E42E75">
        <w:t>Visse interesseorganisationer kan også klage. Vi sender derfor kopi af afgørelsen til dem, der har ønsket det.</w:t>
      </w:r>
    </w:p>
    <w:p w:rsidR="00B35914" w:rsidRPr="00E42E75" w:rsidRDefault="00B35914" w:rsidP="00B35914"/>
    <w:p w:rsidR="00B35914" w:rsidRPr="00E42E75" w:rsidRDefault="00B35914" w:rsidP="00B35914">
      <w:r w:rsidRPr="00E42E75">
        <w:t>Vi vurderer at der ikke er nogen med en individuel interesse i sagen, og offentliggør derfor ikke afgørelsen på vores hjemmeside. Enhver kan komme til at se kommunens dokumenter i denne sag.</w:t>
      </w:r>
    </w:p>
    <w:p w:rsidR="00B35914" w:rsidRPr="00E42E75" w:rsidRDefault="00B35914" w:rsidP="00B35914"/>
    <w:p w:rsidR="00B35914" w:rsidRPr="00E42E75" w:rsidRDefault="00B35914" w:rsidP="00B35914">
      <w:r w:rsidRPr="00E42E75">
        <w:t>Hvis Klagenævnet modtager en klage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B35914" w:rsidRPr="00E42E75" w:rsidRDefault="00B35914" w:rsidP="00B35914"/>
    <w:p w:rsidR="00B35914" w:rsidRPr="00E42E75" w:rsidRDefault="00B35914" w:rsidP="00B35914">
      <w:r w:rsidRPr="00E42E75">
        <w:t>Afgørelsen kan også bringes for domstolene inden den 21. maj 2019.</w:t>
      </w:r>
    </w:p>
    <w:p w:rsidR="00B35914" w:rsidRPr="00E42E75" w:rsidRDefault="00B35914" w:rsidP="00B35914"/>
    <w:p w:rsidR="00B35914" w:rsidRPr="00E42E75" w:rsidRDefault="00B35914" w:rsidP="00B35914">
      <w:r w:rsidRPr="00E42E75">
        <w:t>Kopi:</w:t>
      </w:r>
    </w:p>
    <w:p w:rsidR="00E42E75" w:rsidRDefault="00B35914" w:rsidP="00E42E75">
      <w:pPr>
        <w:ind w:left="792"/>
      </w:pPr>
      <w:r w:rsidRPr="00E42E75">
        <w:t xml:space="preserve">Danmarks naturfredningsforening </w:t>
      </w:r>
    </w:p>
    <w:p w:rsidR="00B35914" w:rsidRPr="00E42E75" w:rsidRDefault="00B35914" w:rsidP="00E42E75">
      <w:pPr>
        <w:ind w:left="792"/>
        <w:rPr>
          <w:rFonts w:cstheme="minorHAnsi"/>
          <w:szCs w:val="22"/>
        </w:rPr>
      </w:pPr>
      <w:r w:rsidRPr="00E42E75">
        <w:t xml:space="preserve">Styrelsen for Patientsikkerhed </w:t>
      </w:r>
      <w:r w:rsidRPr="00E42E75">
        <w:rPr>
          <w:rFonts w:cstheme="minorHAnsi"/>
          <w:szCs w:val="22"/>
        </w:rPr>
        <w:t xml:space="preserve"> </w:t>
      </w:r>
    </w:p>
    <w:p w:rsidR="00B35914" w:rsidRPr="00E42E75" w:rsidRDefault="00B35914" w:rsidP="00B35914">
      <w:pPr>
        <w:rPr>
          <w:rFonts w:cstheme="minorHAnsi"/>
          <w:szCs w:val="22"/>
        </w:rPr>
      </w:pPr>
    </w:p>
    <w:p w:rsidR="00B35914" w:rsidRPr="00E42E75" w:rsidRDefault="00B35914" w:rsidP="00B35914"/>
    <w:p w:rsidR="00B35914" w:rsidRPr="001C3F45" w:rsidRDefault="00B35914" w:rsidP="00B35914"/>
    <w:p w:rsidR="00B35914" w:rsidRPr="001C3F45" w:rsidRDefault="00B35914" w:rsidP="00B35914"/>
    <w:p w:rsidR="00B35914" w:rsidRPr="001C3F45" w:rsidRDefault="00B35914" w:rsidP="00B35914">
      <w:r w:rsidRPr="001C3F45">
        <w:t>Med venlig hilsen</w:t>
      </w:r>
    </w:p>
    <w:p w:rsidR="00B35914" w:rsidRPr="001C3F45" w:rsidRDefault="00B35914" w:rsidP="00B35914">
      <w:r w:rsidRPr="00BE340E">
        <w:rPr>
          <w:noProof/>
          <w:lang w:eastAsia="da-DK"/>
        </w:rPr>
        <w:drawing>
          <wp:inline distT="0" distB="0" distL="0" distR="0" wp14:anchorId="4F3F388E" wp14:editId="4769748E">
            <wp:extent cx="2250839" cy="560477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77" cy="57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14" w:rsidRDefault="00B35914" w:rsidP="00B35914">
      <w:pPr>
        <w:rPr>
          <w:rFonts w:ascii="Calibri" w:hAnsi="Calibri" w:cs="Calibri"/>
        </w:rPr>
      </w:pPr>
      <w:r w:rsidRPr="001C3F45">
        <w:rPr>
          <w:rFonts w:ascii="Calibri" w:hAnsi="Calibri" w:cs="Calibri"/>
        </w:rPr>
        <w:t>Malene Kamstrup</w:t>
      </w:r>
    </w:p>
    <w:p w:rsidR="00B35914" w:rsidRPr="001C3F45" w:rsidRDefault="00B35914" w:rsidP="00B35914">
      <w:r>
        <w:rPr>
          <w:rFonts w:ascii="Calibri" w:hAnsi="Calibri" w:cs="Calibri"/>
        </w:rPr>
        <w:t>Ingeniør</w:t>
      </w:r>
    </w:p>
    <w:p w:rsidR="00E524FB" w:rsidRPr="00B35914" w:rsidRDefault="00E524FB" w:rsidP="00C40F85">
      <w:pPr>
        <w:pStyle w:val="Overskrift1"/>
      </w:pPr>
    </w:p>
    <w:p w:rsidR="004A09AB" w:rsidRPr="00B35914" w:rsidRDefault="004A09AB" w:rsidP="005C2578"/>
    <w:p w:rsidR="004A09AB" w:rsidRPr="00B35914" w:rsidRDefault="004A09AB" w:rsidP="005C2578"/>
    <w:p w:rsidR="00E63AE4" w:rsidRPr="00B35914" w:rsidRDefault="00E63AE4" w:rsidP="00B51C65"/>
    <w:sectPr w:rsidR="00E63AE4" w:rsidRPr="00B35914" w:rsidSect="00EC2C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3232" w:bottom="737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14" w:rsidRPr="00B35914" w:rsidRDefault="00B35914" w:rsidP="00413091">
      <w:pPr>
        <w:spacing w:line="240" w:lineRule="auto"/>
      </w:pPr>
      <w:r w:rsidRPr="00B35914">
        <w:separator/>
      </w:r>
    </w:p>
  </w:endnote>
  <w:endnote w:type="continuationSeparator" w:id="0">
    <w:p w:rsidR="00B35914" w:rsidRPr="00B35914" w:rsidRDefault="00B35914" w:rsidP="00413091">
      <w:pPr>
        <w:spacing w:line="240" w:lineRule="auto"/>
      </w:pPr>
      <w:r w:rsidRPr="00B359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14" w:rsidRDefault="00B359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14" w:rsidRDefault="00B3591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14" w:rsidRDefault="00B359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14" w:rsidRPr="00B35914" w:rsidRDefault="00B35914" w:rsidP="00413091">
      <w:pPr>
        <w:spacing w:line="240" w:lineRule="auto"/>
      </w:pPr>
      <w:r w:rsidRPr="00B35914">
        <w:separator/>
      </w:r>
    </w:p>
  </w:footnote>
  <w:footnote w:type="continuationSeparator" w:id="0">
    <w:p w:rsidR="00B35914" w:rsidRPr="00B35914" w:rsidRDefault="00B35914" w:rsidP="00413091">
      <w:pPr>
        <w:spacing w:line="240" w:lineRule="auto"/>
      </w:pPr>
      <w:r w:rsidRPr="00B359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14" w:rsidRDefault="00B359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EC2CE0" w:rsidRPr="00B35914" w:rsidTr="00B51C65">
      <w:trPr>
        <w:trHeight w:hRule="exact" w:val="397"/>
      </w:trPr>
      <w:tc>
        <w:tcPr>
          <w:tcW w:w="2268" w:type="dxa"/>
        </w:tcPr>
        <w:p w:rsidR="00EC2CE0" w:rsidRPr="00B35914" w:rsidRDefault="00EC2CE0" w:rsidP="00B51C65">
          <w:pPr>
            <w:pStyle w:val="SidetalTop"/>
          </w:pPr>
          <w:r w:rsidRPr="00B35914">
            <w:t xml:space="preserve">SIDE </w:t>
          </w:r>
          <w:r w:rsidRPr="00B35914">
            <w:fldChar w:fldCharType="begin"/>
          </w:r>
          <w:r w:rsidRPr="00B35914">
            <w:instrText>PAGE   \* MERGEFORMAT</w:instrText>
          </w:r>
          <w:r w:rsidRPr="00B35914">
            <w:fldChar w:fldCharType="separate"/>
          </w:r>
          <w:r w:rsidR="00E93DBF">
            <w:rPr>
              <w:noProof/>
            </w:rPr>
            <w:t>2</w:t>
          </w:r>
          <w:r w:rsidRPr="00B35914">
            <w:fldChar w:fldCharType="end"/>
          </w:r>
        </w:p>
      </w:tc>
    </w:tr>
    <w:tr w:rsidR="00EC2CE0" w:rsidRPr="00B35914" w:rsidTr="00B51C65">
      <w:trPr>
        <w:trHeight w:hRule="exact" w:val="737"/>
      </w:trPr>
      <w:tc>
        <w:tcPr>
          <w:tcW w:w="2268" w:type="dxa"/>
        </w:tcPr>
        <w:p w:rsidR="00EC2CE0" w:rsidRPr="00B35914" w:rsidRDefault="00B35914" w:rsidP="00B35914">
          <w:pPr>
            <w:pStyle w:val="Kolofon"/>
          </w:pPr>
          <w:r w:rsidRPr="00B35914">
            <w:rPr>
              <w:rFonts w:ascii="Calibri" w:hAnsi="Calibri" w:cs="Calibri"/>
            </w:rPr>
            <w:t>Helsingør Kommune</w:t>
          </w:r>
        </w:p>
      </w:tc>
    </w:tr>
  </w:tbl>
  <w:p w:rsidR="00EC2CE0" w:rsidRPr="00B35914" w:rsidRDefault="00EC2CE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E0" w:rsidRPr="00B35914" w:rsidRDefault="00B35914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 w:rsidP="004C79E7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  <w:sz w:val="20"/>
      </w:rPr>
    </w:pPr>
  </w:p>
  <w:p w:rsidR="00EC2CE0" w:rsidRPr="00B35914" w:rsidRDefault="00EC2CE0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3.012"/>
    <w:docVar w:name="DocumentCreated" w:val="DocumentCreated"/>
    <w:docVar w:name="DocumentCreatedOK" w:val="DocumentCreatedOK"/>
    <w:docVar w:name="DocumentInitialized" w:val="OK"/>
    <w:docVar w:name="Encrypted_DocCaseNo" w:val="8qYrB3PXo6/JkNReyasc7w=="/>
    <w:docVar w:name="IntegrationType" w:val="StandAlone"/>
    <w:docVar w:name="IsDocument" w:val=" "/>
  </w:docVars>
  <w:rsids>
    <w:rsidRoot w:val="00B35914"/>
    <w:rsid w:val="000001A2"/>
    <w:rsid w:val="000006FB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17823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80DFD"/>
    <w:rsid w:val="00286059"/>
    <w:rsid w:val="00286CD4"/>
    <w:rsid w:val="0029120B"/>
    <w:rsid w:val="002939CB"/>
    <w:rsid w:val="0029518B"/>
    <w:rsid w:val="002A36CC"/>
    <w:rsid w:val="002A7AEC"/>
    <w:rsid w:val="002B67D3"/>
    <w:rsid w:val="002C0779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6432"/>
    <w:rsid w:val="003841DB"/>
    <w:rsid w:val="003857E3"/>
    <w:rsid w:val="003921BB"/>
    <w:rsid w:val="00392643"/>
    <w:rsid w:val="0039339D"/>
    <w:rsid w:val="003969C7"/>
    <w:rsid w:val="003A1CBA"/>
    <w:rsid w:val="003A4C3E"/>
    <w:rsid w:val="003B5F24"/>
    <w:rsid w:val="003B7D09"/>
    <w:rsid w:val="003B7E31"/>
    <w:rsid w:val="003D1603"/>
    <w:rsid w:val="003D4338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C49"/>
    <w:rsid w:val="00875E4A"/>
    <w:rsid w:val="00876ADC"/>
    <w:rsid w:val="008819E3"/>
    <w:rsid w:val="00886A41"/>
    <w:rsid w:val="00887ECE"/>
    <w:rsid w:val="00887F6C"/>
    <w:rsid w:val="0089028F"/>
    <w:rsid w:val="00895030"/>
    <w:rsid w:val="0089532E"/>
    <w:rsid w:val="00897044"/>
    <w:rsid w:val="008A603C"/>
    <w:rsid w:val="008B0177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5914"/>
    <w:rsid w:val="00B37E07"/>
    <w:rsid w:val="00B41F48"/>
    <w:rsid w:val="00B45ADD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08A"/>
    <w:rsid w:val="00E17A9A"/>
    <w:rsid w:val="00E246F5"/>
    <w:rsid w:val="00E27BDE"/>
    <w:rsid w:val="00E320F7"/>
    <w:rsid w:val="00E42978"/>
    <w:rsid w:val="00E42E75"/>
    <w:rsid w:val="00E43764"/>
    <w:rsid w:val="00E451A7"/>
    <w:rsid w:val="00E4678D"/>
    <w:rsid w:val="00E47188"/>
    <w:rsid w:val="00E524FB"/>
    <w:rsid w:val="00E6012F"/>
    <w:rsid w:val="00E63AE4"/>
    <w:rsid w:val="00E64AD7"/>
    <w:rsid w:val="00E71C9F"/>
    <w:rsid w:val="00E71EA4"/>
    <w:rsid w:val="00E83EA6"/>
    <w:rsid w:val="00E83FAF"/>
    <w:rsid w:val="00E93DB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F03C20"/>
    <w:rsid w:val="00F073C3"/>
    <w:rsid w:val="00F10D35"/>
    <w:rsid w:val="00F1440E"/>
    <w:rsid w:val="00F1462E"/>
    <w:rsid w:val="00F14752"/>
    <w:rsid w:val="00F2284B"/>
    <w:rsid w:val="00F23117"/>
    <w:rsid w:val="00F24046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505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E1B35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vneneshus.dk/start-din-klage/miljoe-og-foedevareklagenaev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75D4-EAFF-4B13-ADEA-2EDB7C15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468</Words>
  <Characters>2627</Characters>
  <Application>Microsoft Office Word</Application>
  <DocSecurity>4</DocSecurity>
  <Lines>109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2022-02-01T10:11:00Z</dcterms:created>
  <dcterms:modified xsi:type="dcterms:W3CDTF">2022-02-01T10:11:00Z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{00153418-3BB2-4616-8180-521E8D552F1E}</vt:lpwstr>
  </property>
</Properties>
</file>