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1009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7337"/>
        <w:gridCol w:w="2755"/>
      </w:tblGrid>
      <w:tr w:rsidR="004D6645" w:rsidRPr="000F62D8" w:rsidTr="001B0C28">
        <w:trPr>
          <w:cantSplit/>
          <w:trHeight w:hRule="exact" w:val="3175"/>
        </w:trPr>
        <w:tc>
          <w:tcPr>
            <w:tcW w:w="7337" w:type="dxa"/>
            <w:tcMar>
              <w:left w:w="0" w:type="dxa"/>
            </w:tcMar>
          </w:tcPr>
          <w:p w:rsidR="004D6645" w:rsidRPr="000F62D8" w:rsidRDefault="004D6645" w:rsidP="001B0C28">
            <w:pPr>
              <w:rPr>
                <w:rFonts w:cs="Arial"/>
                <w:szCs w:val="22"/>
              </w:rPr>
            </w:pPr>
            <w:bookmarkStart w:id="0" w:name="loknavn"/>
            <w:bookmarkEnd w:id="0"/>
          </w:p>
          <w:p w:rsidR="00C1278F" w:rsidRDefault="00C1278F" w:rsidP="00C1278F">
            <w:pPr>
              <w:rPr>
                <w:rFonts w:cs="Arial"/>
                <w:szCs w:val="22"/>
              </w:rPr>
            </w:pPr>
            <w:bookmarkStart w:id="1" w:name="adresse"/>
            <w:bookmarkEnd w:id="1"/>
            <w:r>
              <w:rPr>
                <w:rFonts w:cs="Arial"/>
                <w:szCs w:val="22"/>
              </w:rPr>
              <w:t>Statoil Refining Denmark A/S</w:t>
            </w:r>
          </w:p>
          <w:p w:rsidR="004D6645" w:rsidRPr="000F62D8" w:rsidRDefault="00C1278F" w:rsidP="00C1278F">
            <w:pPr>
              <w:rPr>
                <w:rFonts w:cs="Arial"/>
                <w:szCs w:val="22"/>
              </w:rPr>
            </w:pPr>
            <w:r>
              <w:rPr>
                <w:rFonts w:cs="Arial"/>
                <w:szCs w:val="22"/>
              </w:rPr>
              <w:t>Kalundborg</w:t>
            </w:r>
          </w:p>
          <w:p w:rsidR="004D6645" w:rsidRPr="000F62D8" w:rsidRDefault="00961852" w:rsidP="001B0C28">
            <w:pPr>
              <w:tabs>
                <w:tab w:val="left" w:pos="6511"/>
              </w:tabs>
              <w:rPr>
                <w:rFonts w:cs="Arial"/>
                <w:szCs w:val="22"/>
              </w:rPr>
            </w:pPr>
            <w:bookmarkStart w:id="2" w:name="postnr"/>
            <w:bookmarkEnd w:id="2"/>
            <w:r>
              <w:rPr>
                <w:rFonts w:cs="Arial"/>
                <w:szCs w:val="22"/>
              </w:rPr>
              <w:t xml:space="preserve"> </w:t>
            </w:r>
            <w:bookmarkStart w:id="3" w:name="postdist"/>
            <w:bookmarkEnd w:id="3"/>
          </w:p>
          <w:p w:rsidR="004D6645" w:rsidRPr="000F62D8" w:rsidRDefault="004D6645" w:rsidP="001B0C28">
            <w:pPr>
              <w:rPr>
                <w:rFonts w:cs="Arial"/>
                <w:szCs w:val="22"/>
              </w:rPr>
            </w:pPr>
            <w:bookmarkStart w:id="4" w:name="att"/>
            <w:bookmarkEnd w:id="4"/>
          </w:p>
        </w:tc>
        <w:tc>
          <w:tcPr>
            <w:tcW w:w="2755" w:type="dxa"/>
            <w:tcMar>
              <w:top w:w="34" w:type="dxa"/>
              <w:left w:w="0" w:type="dxa"/>
              <w:bottom w:w="28" w:type="dxa"/>
            </w:tcMar>
          </w:tcPr>
          <w:p w:rsidR="004D6645" w:rsidRPr="000F62D8" w:rsidRDefault="000F62D8" w:rsidP="001B0C28">
            <w:r w:rsidRPr="000F62D8">
              <w:t>Virksomheder</w:t>
            </w:r>
          </w:p>
          <w:p w:rsidR="004D6645" w:rsidRPr="000F62D8" w:rsidRDefault="004D6645" w:rsidP="001B0C28">
            <w:r w:rsidRPr="000F62D8">
              <w:t xml:space="preserve">J.nr. </w:t>
            </w:r>
            <w:bookmarkStart w:id="5" w:name="esdh_sagsnr"/>
            <w:bookmarkEnd w:id="5"/>
            <w:r w:rsidR="00C1278F">
              <w:t>MST-1271-00280</w:t>
            </w:r>
          </w:p>
          <w:p w:rsidR="004D6645" w:rsidRPr="000F62D8" w:rsidRDefault="004D6645" w:rsidP="001B0C28">
            <w:r w:rsidRPr="000F62D8">
              <w:t xml:space="preserve">Ref. </w:t>
            </w:r>
            <w:bookmarkStart w:id="6" w:name="login_sagsbeh"/>
            <w:bookmarkEnd w:id="6"/>
            <w:r w:rsidR="009E24C0">
              <w:t>k</w:t>
            </w:r>
            <w:r w:rsidR="00C1278F">
              <w:t>igni/</w:t>
            </w:r>
            <w:r w:rsidR="009E24C0">
              <w:t>subjo/chste</w:t>
            </w:r>
          </w:p>
          <w:p w:rsidR="004D6645" w:rsidRPr="000F62D8" w:rsidRDefault="000F62D8" w:rsidP="00AF41BA">
            <w:r w:rsidRPr="000F62D8">
              <w:t>Den</w:t>
            </w:r>
            <w:bookmarkStart w:id="7" w:name="regdato"/>
            <w:bookmarkEnd w:id="7"/>
            <w:r w:rsidR="008277B0">
              <w:t xml:space="preserve"> </w:t>
            </w:r>
            <w:r w:rsidR="00AF41BA">
              <w:t>4</w:t>
            </w:r>
            <w:r w:rsidR="00015DFF">
              <w:t>. ju</w:t>
            </w:r>
            <w:r w:rsidR="00AF41BA">
              <w:t>l</w:t>
            </w:r>
            <w:r w:rsidR="00015DFF">
              <w:t>i</w:t>
            </w:r>
            <w:r w:rsidR="00C007D3" w:rsidRPr="00BE4B4C">
              <w:t xml:space="preserve"> 201</w:t>
            </w:r>
            <w:r w:rsidR="008F2A32">
              <w:t>6</w:t>
            </w:r>
          </w:p>
        </w:tc>
      </w:tr>
    </w:tbl>
    <w:p w:rsidR="00CA7D10" w:rsidRPr="00C35CB2" w:rsidRDefault="00CA7D10" w:rsidP="00CA7D10">
      <w:pPr>
        <w:autoSpaceDE w:val="0"/>
        <w:autoSpaceDN w:val="0"/>
        <w:adjustRightInd w:val="0"/>
        <w:rPr>
          <w:rFonts w:cs="Arial"/>
          <w:b/>
          <w:bCs/>
          <w:color w:val="FF0000"/>
          <w:sz w:val="24"/>
        </w:rPr>
      </w:pPr>
      <w:r w:rsidRPr="00C35CB2">
        <w:rPr>
          <w:rFonts w:cs="Arial"/>
          <w:b/>
          <w:bCs/>
          <w:sz w:val="24"/>
        </w:rPr>
        <w:t xml:space="preserve">Påbud om </w:t>
      </w:r>
      <w:r w:rsidR="009E302C" w:rsidRPr="00C35CB2">
        <w:rPr>
          <w:rFonts w:cs="Arial"/>
          <w:b/>
          <w:bCs/>
          <w:sz w:val="24"/>
        </w:rPr>
        <w:t>nye vilkår vedr. emissionsgrænseværdier til luft og for egenkontrol</w:t>
      </w:r>
    </w:p>
    <w:p w:rsidR="00CA7D10" w:rsidRPr="00E0653B" w:rsidRDefault="00CA7D10" w:rsidP="00CA7D10">
      <w:pPr>
        <w:autoSpaceDE w:val="0"/>
        <w:autoSpaceDN w:val="0"/>
        <w:adjustRightInd w:val="0"/>
        <w:rPr>
          <w:rFonts w:cs="Arial"/>
          <w:b/>
          <w:bCs/>
          <w:szCs w:val="20"/>
        </w:rPr>
      </w:pPr>
    </w:p>
    <w:p w:rsidR="00025283" w:rsidRDefault="00025283" w:rsidP="009E24C0">
      <w:pPr>
        <w:spacing w:line="240" w:lineRule="auto"/>
        <w:rPr>
          <w:szCs w:val="20"/>
        </w:rPr>
      </w:pPr>
      <w:bookmarkStart w:id="8" w:name="Loknavn_3"/>
      <w:bookmarkEnd w:id="8"/>
    </w:p>
    <w:p w:rsidR="00025283" w:rsidRPr="00C35CB2" w:rsidRDefault="00025283" w:rsidP="00025283">
      <w:pPr>
        <w:suppressAutoHyphens w:val="0"/>
        <w:autoSpaceDE w:val="0"/>
        <w:autoSpaceDN w:val="0"/>
        <w:adjustRightInd w:val="0"/>
        <w:spacing w:line="240" w:lineRule="auto"/>
        <w:rPr>
          <w:rFonts w:cs="Georgia"/>
          <w:color w:val="000000"/>
          <w:sz w:val="24"/>
        </w:rPr>
      </w:pPr>
      <w:r w:rsidRPr="00C35CB2">
        <w:rPr>
          <w:rFonts w:cs="Georgia"/>
          <w:b/>
          <w:bCs/>
          <w:color w:val="000000"/>
          <w:sz w:val="24"/>
        </w:rPr>
        <w:t>Påbud</w:t>
      </w:r>
    </w:p>
    <w:p w:rsidR="00025283" w:rsidRPr="00DB2325" w:rsidRDefault="00025283" w:rsidP="00FA4839">
      <w:pPr>
        <w:spacing w:line="240" w:lineRule="auto"/>
      </w:pPr>
      <w:r w:rsidRPr="003A66BF">
        <w:t>Miljøstyrelsen meddeler</w:t>
      </w:r>
      <w:r w:rsidRPr="00510745">
        <w:t xml:space="preserve"> hermed</w:t>
      </w:r>
      <w:r w:rsidR="00FA4839">
        <w:t xml:space="preserve"> Statoil Refining Denmark A/S, Kalundborg (Statoil) påbud</w:t>
      </w:r>
      <w:r w:rsidRPr="00510745">
        <w:t xml:space="preserve"> i henhold til miljøbeskyttelseslovens</w:t>
      </w:r>
      <w:r w:rsidRPr="00953E81">
        <w:rPr>
          <w:rStyle w:val="Fodnotehenvisning"/>
          <w:szCs w:val="20"/>
        </w:rPr>
        <w:footnoteReference w:id="1"/>
      </w:r>
      <w:r w:rsidRPr="00510745">
        <w:t xml:space="preserve"> </w:t>
      </w:r>
      <w:r>
        <w:rPr>
          <w:rFonts w:cs="Arial"/>
          <w:szCs w:val="20"/>
        </w:rPr>
        <w:t>§ 41, stk. 1</w:t>
      </w:r>
      <w:r w:rsidRPr="00510745">
        <w:rPr>
          <w:rFonts w:cs="Arial"/>
          <w:szCs w:val="20"/>
        </w:rPr>
        <w:t xml:space="preserve"> om overholdelse af følgende vilkår</w:t>
      </w:r>
      <w:r w:rsidR="00BE4B4C">
        <w:t>, j</w:t>
      </w:r>
      <w:r w:rsidR="00FA4839">
        <w:rPr>
          <w:szCs w:val="20"/>
        </w:rPr>
        <w:t>f. § 4, stk.5 og § 14 stk. 4 og stk. 5 i bekendtgørelsen om store fyringsanlæg</w:t>
      </w:r>
      <w:r w:rsidR="008F2A32">
        <w:rPr>
          <w:rStyle w:val="Fodnotehenvisning"/>
          <w:szCs w:val="20"/>
        </w:rPr>
        <w:footnoteReference w:id="2"/>
      </w:r>
      <w:r w:rsidR="00FA4839" w:rsidRPr="00953E81">
        <w:rPr>
          <w:szCs w:val="20"/>
        </w:rPr>
        <w:t>.</w:t>
      </w:r>
    </w:p>
    <w:p w:rsidR="00025283" w:rsidRDefault="00025283" w:rsidP="00FA4839">
      <w:pPr>
        <w:spacing w:line="240" w:lineRule="auto"/>
      </w:pPr>
    </w:p>
    <w:p w:rsidR="00025283" w:rsidRPr="00511BC2" w:rsidRDefault="00025283" w:rsidP="00FA4839">
      <w:pPr>
        <w:spacing w:line="240" w:lineRule="auto"/>
        <w:rPr>
          <w:szCs w:val="20"/>
        </w:rPr>
      </w:pPr>
      <w:r w:rsidRPr="0098637E">
        <w:t xml:space="preserve">Påbuddet reviderer alene de af </w:t>
      </w:r>
      <w:r>
        <w:rPr>
          <w:rFonts w:cs="Georgia"/>
          <w:color w:val="000000"/>
          <w:szCs w:val="20"/>
        </w:rPr>
        <w:t>Statoil</w:t>
      </w:r>
      <w:r w:rsidR="00FA4839">
        <w:rPr>
          <w:rFonts w:cs="Georgia"/>
          <w:color w:val="000000"/>
          <w:szCs w:val="20"/>
        </w:rPr>
        <w:t>s</w:t>
      </w:r>
      <w:r>
        <w:rPr>
          <w:rFonts w:cs="Georgia"/>
          <w:color w:val="000000"/>
          <w:szCs w:val="20"/>
        </w:rPr>
        <w:t xml:space="preserve"> </w:t>
      </w:r>
      <w:r w:rsidRPr="0098637E">
        <w:t xml:space="preserve">specifikke vilkår, der </w:t>
      </w:r>
      <w:r>
        <w:t>omhandler</w:t>
      </w:r>
      <w:r w:rsidRPr="0098637E">
        <w:t xml:space="preserve"> emissionsgrænseværdierne for parametrene SO</w:t>
      </w:r>
      <w:r w:rsidRPr="0098637E">
        <w:rPr>
          <w:vertAlign w:val="subscript"/>
        </w:rPr>
        <w:t>2</w:t>
      </w:r>
      <w:r w:rsidRPr="0098637E">
        <w:t>, NO</w:t>
      </w:r>
      <w:r w:rsidRPr="0098637E">
        <w:rPr>
          <w:vertAlign w:val="subscript"/>
        </w:rPr>
        <w:t>x</w:t>
      </w:r>
      <w:r w:rsidRPr="0098637E">
        <w:t xml:space="preserve"> og støv for fyringsanlæggene </w:t>
      </w:r>
      <w:r w:rsidR="00FA4839">
        <w:t xml:space="preserve">tilsluttet afkast 3, afkast 4 og afkast 5+6 </w:t>
      </w:r>
      <w:r w:rsidRPr="0098637E">
        <w:t>samt vilkår om krav til egenkontrol.</w:t>
      </w:r>
    </w:p>
    <w:p w:rsidR="00025283" w:rsidRPr="00F62284" w:rsidRDefault="00025283" w:rsidP="00FA4839">
      <w:pPr>
        <w:spacing w:line="240" w:lineRule="auto"/>
        <w:ind w:right="-50"/>
        <w:rPr>
          <w:rFonts w:cs="Arial"/>
          <w:szCs w:val="22"/>
        </w:rPr>
      </w:pPr>
    </w:p>
    <w:p w:rsidR="00632D29" w:rsidRDefault="00025283" w:rsidP="00FA4839">
      <w:pPr>
        <w:spacing w:line="240" w:lineRule="auto"/>
        <w:ind w:right="-50"/>
        <w:rPr>
          <w:szCs w:val="20"/>
        </w:rPr>
      </w:pPr>
      <w:r w:rsidRPr="00957ADF">
        <w:rPr>
          <w:rFonts w:cs="Arial"/>
          <w:szCs w:val="20"/>
        </w:rPr>
        <w:t xml:space="preserve">Vilkårene er ikke retsbeskyttede, da de er </w:t>
      </w:r>
      <w:r>
        <w:rPr>
          <w:rFonts w:cs="Arial"/>
          <w:szCs w:val="20"/>
        </w:rPr>
        <w:t>medd</w:t>
      </w:r>
      <w:r w:rsidRPr="00957ADF">
        <w:rPr>
          <w:rFonts w:cs="Arial"/>
          <w:szCs w:val="20"/>
        </w:rPr>
        <w:t>e</w:t>
      </w:r>
      <w:r>
        <w:rPr>
          <w:rFonts w:cs="Arial"/>
          <w:szCs w:val="20"/>
        </w:rPr>
        <w:t>l</w:t>
      </w:r>
      <w:r w:rsidRPr="00957ADF">
        <w:rPr>
          <w:rFonts w:cs="Arial"/>
          <w:szCs w:val="20"/>
        </w:rPr>
        <w:t>t ved påbud.</w:t>
      </w:r>
    </w:p>
    <w:p w:rsidR="006C0D9C" w:rsidRDefault="006C0D9C" w:rsidP="006576C7">
      <w:pPr>
        <w:rPr>
          <w:rFonts w:cs="Georgia"/>
          <w:color w:val="000000"/>
          <w:szCs w:val="20"/>
        </w:rPr>
      </w:pPr>
    </w:p>
    <w:p w:rsidR="006C0D9C" w:rsidRPr="00C35CB2" w:rsidRDefault="00C35CB2" w:rsidP="006C0D9C">
      <w:pPr>
        <w:suppressAutoHyphens w:val="0"/>
        <w:autoSpaceDE w:val="0"/>
        <w:autoSpaceDN w:val="0"/>
        <w:adjustRightInd w:val="0"/>
        <w:spacing w:line="240" w:lineRule="auto"/>
        <w:rPr>
          <w:rFonts w:cs="Georgia"/>
          <w:color w:val="000000"/>
          <w:sz w:val="22"/>
          <w:szCs w:val="22"/>
        </w:rPr>
      </w:pPr>
      <w:r>
        <w:rPr>
          <w:rFonts w:cs="Georgia"/>
          <w:b/>
          <w:bCs/>
          <w:color w:val="000000"/>
          <w:sz w:val="22"/>
          <w:szCs w:val="22"/>
        </w:rPr>
        <w:t>V</w:t>
      </w:r>
      <w:r w:rsidR="006C0D9C" w:rsidRPr="00C35CB2">
        <w:rPr>
          <w:rFonts w:cs="Georgia"/>
          <w:b/>
          <w:bCs/>
          <w:color w:val="000000"/>
          <w:sz w:val="22"/>
          <w:szCs w:val="22"/>
        </w:rPr>
        <w:t xml:space="preserve">ilkår </w:t>
      </w:r>
    </w:p>
    <w:p w:rsidR="009B7703" w:rsidRDefault="006C0D9C" w:rsidP="009B7703">
      <w:pPr>
        <w:suppressAutoHyphens w:val="0"/>
        <w:autoSpaceDE w:val="0"/>
        <w:autoSpaceDN w:val="0"/>
        <w:adjustRightInd w:val="0"/>
        <w:spacing w:line="240" w:lineRule="auto"/>
        <w:rPr>
          <w:rFonts w:cs="Georgia"/>
          <w:color w:val="000000"/>
          <w:szCs w:val="20"/>
        </w:rPr>
      </w:pPr>
      <w:r w:rsidRPr="006C0D9C">
        <w:rPr>
          <w:rFonts w:cs="Georgia"/>
          <w:color w:val="000000"/>
          <w:szCs w:val="20"/>
        </w:rPr>
        <w:t>Med de</w:t>
      </w:r>
      <w:r w:rsidR="009B7703">
        <w:rPr>
          <w:rFonts w:cs="Georgia"/>
          <w:color w:val="000000"/>
          <w:szCs w:val="20"/>
        </w:rPr>
        <w:t>tte påbud</w:t>
      </w:r>
      <w:r w:rsidRPr="006C0D9C">
        <w:rPr>
          <w:rFonts w:cs="Georgia"/>
          <w:color w:val="000000"/>
          <w:szCs w:val="20"/>
        </w:rPr>
        <w:t xml:space="preserve"> udgår vilkår</w:t>
      </w:r>
      <w:r w:rsidR="009B7703">
        <w:rPr>
          <w:rFonts w:cs="Georgia"/>
          <w:color w:val="000000"/>
          <w:szCs w:val="20"/>
        </w:rPr>
        <w:t xml:space="preserve"> </w:t>
      </w:r>
      <w:r w:rsidR="009B7703" w:rsidRPr="00BC2AD1">
        <w:rPr>
          <w:rFonts w:cs="Georgia"/>
          <w:color w:val="000000"/>
          <w:szCs w:val="20"/>
        </w:rPr>
        <w:t>C2,</w:t>
      </w:r>
      <w:r w:rsidR="009B7703">
        <w:rPr>
          <w:rFonts w:cs="Georgia"/>
          <w:color w:val="000000"/>
          <w:szCs w:val="20"/>
        </w:rPr>
        <w:t xml:space="preserve"> C4, C6 og C18</w:t>
      </w:r>
      <w:r w:rsidRPr="006C0D9C">
        <w:rPr>
          <w:rFonts w:cs="Georgia"/>
          <w:color w:val="000000"/>
          <w:szCs w:val="20"/>
        </w:rPr>
        <w:t xml:space="preserve"> i </w:t>
      </w:r>
      <w:r w:rsidR="004F6651">
        <w:rPr>
          <w:rFonts w:cs="Georgia"/>
          <w:color w:val="000000"/>
          <w:szCs w:val="20"/>
        </w:rPr>
        <w:t>miljøgodkendelsen (revurdering)</w:t>
      </w:r>
      <w:r>
        <w:rPr>
          <w:rFonts w:cs="Georgia"/>
          <w:color w:val="000000"/>
          <w:szCs w:val="20"/>
        </w:rPr>
        <w:t xml:space="preserve"> af </w:t>
      </w:r>
      <w:r w:rsidR="004F6651">
        <w:rPr>
          <w:rFonts w:cs="Georgia"/>
          <w:color w:val="000000"/>
          <w:szCs w:val="20"/>
        </w:rPr>
        <w:t>20. december 2013</w:t>
      </w:r>
      <w:r w:rsidR="009B7703">
        <w:rPr>
          <w:rFonts w:cs="Georgia"/>
          <w:color w:val="000000"/>
          <w:szCs w:val="20"/>
        </w:rPr>
        <w:t xml:space="preserve">. </w:t>
      </w:r>
    </w:p>
    <w:p w:rsidR="009B7703" w:rsidRDefault="009B7703" w:rsidP="009B7703">
      <w:pPr>
        <w:suppressAutoHyphens w:val="0"/>
        <w:autoSpaceDE w:val="0"/>
        <w:autoSpaceDN w:val="0"/>
        <w:adjustRightInd w:val="0"/>
        <w:spacing w:line="240" w:lineRule="auto"/>
        <w:rPr>
          <w:rFonts w:cs="Georgia"/>
          <w:color w:val="000000"/>
          <w:szCs w:val="20"/>
        </w:rPr>
      </w:pPr>
    </w:p>
    <w:p w:rsidR="00A857AB" w:rsidRPr="00A857AB" w:rsidRDefault="009B7703" w:rsidP="00A857AB">
      <w:pPr>
        <w:suppressAutoHyphens w:val="0"/>
        <w:autoSpaceDE w:val="0"/>
        <w:autoSpaceDN w:val="0"/>
        <w:adjustRightInd w:val="0"/>
        <w:spacing w:line="240" w:lineRule="auto"/>
        <w:rPr>
          <w:rFonts w:cs="Georgia"/>
          <w:color w:val="000000"/>
          <w:szCs w:val="20"/>
        </w:rPr>
      </w:pPr>
      <w:r>
        <w:rPr>
          <w:rFonts w:cs="Georgia"/>
          <w:color w:val="000000"/>
          <w:szCs w:val="20"/>
        </w:rPr>
        <w:t>Følgende vilkår tilføjes godkendelsen:</w:t>
      </w:r>
      <w:r w:rsidR="00C35CB2">
        <w:rPr>
          <w:rFonts w:cs="Georgia"/>
          <w:color w:val="000000"/>
          <w:szCs w:val="20"/>
        </w:rPr>
        <w:t xml:space="preserve"> </w:t>
      </w:r>
    </w:p>
    <w:p w:rsidR="00A857AB" w:rsidRPr="00A857AB" w:rsidRDefault="00A857AB" w:rsidP="00A857AB">
      <w:pPr>
        <w:suppressAutoHyphens w:val="0"/>
        <w:autoSpaceDE w:val="0"/>
        <w:autoSpaceDN w:val="0"/>
        <w:adjustRightInd w:val="0"/>
        <w:spacing w:line="240" w:lineRule="auto"/>
        <w:ind w:left="360"/>
        <w:rPr>
          <w:rFonts w:cs="Georgia"/>
          <w:color w:val="000000"/>
          <w:szCs w:val="20"/>
        </w:rPr>
      </w:pPr>
    </w:p>
    <w:p w:rsidR="00A857AB" w:rsidRPr="00A857AB" w:rsidRDefault="00B966C4" w:rsidP="00A857AB">
      <w:pPr>
        <w:suppressAutoHyphens w:val="0"/>
        <w:autoSpaceDE w:val="0"/>
        <w:autoSpaceDN w:val="0"/>
        <w:adjustRightInd w:val="0"/>
        <w:spacing w:line="240" w:lineRule="auto"/>
        <w:ind w:left="360"/>
        <w:rPr>
          <w:rFonts w:cs="Georgia"/>
          <w:color w:val="000000"/>
          <w:szCs w:val="20"/>
        </w:rPr>
      </w:pPr>
      <w:r>
        <w:rPr>
          <w:rFonts w:cs="Georgia"/>
          <w:b/>
          <w:bCs/>
          <w:color w:val="000000"/>
          <w:szCs w:val="20"/>
        </w:rPr>
        <w:t>Luft</w:t>
      </w:r>
      <w:r w:rsidR="00A857AB" w:rsidRPr="00A857AB">
        <w:rPr>
          <w:rFonts w:cs="Georgia"/>
          <w:b/>
          <w:bCs/>
          <w:color w:val="000000"/>
          <w:szCs w:val="20"/>
        </w:rPr>
        <w:t xml:space="preserve"> </w:t>
      </w:r>
    </w:p>
    <w:p w:rsidR="00A857AB" w:rsidRPr="00B03FF9"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B03FF9">
        <w:rPr>
          <w:rFonts w:cs="Georgia"/>
          <w:color w:val="000000"/>
          <w:szCs w:val="20"/>
        </w:rPr>
        <w:t xml:space="preserve">Der skal i </w:t>
      </w:r>
      <w:r w:rsidR="006C57A0" w:rsidRPr="00B03FF9">
        <w:rPr>
          <w:rFonts w:cs="Georgia"/>
          <w:color w:val="000000"/>
          <w:szCs w:val="20"/>
        </w:rPr>
        <w:t>afkast 3</w:t>
      </w:r>
      <w:r w:rsidRPr="00B03FF9">
        <w:rPr>
          <w:rFonts w:cs="Georgia"/>
          <w:color w:val="000000"/>
          <w:szCs w:val="20"/>
        </w:rPr>
        <w:t xml:space="preserve"> være installeret automatisk målende systemer (AMS) til kontinuerlig måling af SO2, NOx,</w:t>
      </w:r>
      <w:r w:rsidR="008277B0">
        <w:rPr>
          <w:rFonts w:cs="Georgia"/>
          <w:color w:val="000000"/>
          <w:szCs w:val="20"/>
        </w:rPr>
        <w:t xml:space="preserve"> CO</w:t>
      </w:r>
      <w:r w:rsidR="00894ED0" w:rsidRPr="00B03FF9">
        <w:rPr>
          <w:rFonts w:cs="Georgia"/>
          <w:color w:val="000000"/>
          <w:szCs w:val="20"/>
        </w:rPr>
        <w:t xml:space="preserve"> og</w:t>
      </w:r>
      <w:r w:rsidRPr="00B03FF9">
        <w:rPr>
          <w:rFonts w:cs="Georgia"/>
          <w:color w:val="000000"/>
          <w:szCs w:val="20"/>
        </w:rPr>
        <w:t xml:space="preserve"> støv samt af driftsparametrene O2, temperatur, tryk og vanddamp.</w:t>
      </w:r>
      <w:r w:rsidR="008277B0">
        <w:rPr>
          <w:rFonts w:cs="Georgia"/>
          <w:color w:val="000000"/>
          <w:szCs w:val="20"/>
        </w:rPr>
        <w:t xml:space="preserve"> Kontinuerlig m</w:t>
      </w:r>
      <w:r w:rsidRPr="00B03FF9">
        <w:rPr>
          <w:rFonts w:cs="Georgia"/>
          <w:color w:val="000000"/>
          <w:szCs w:val="20"/>
        </w:rPr>
        <w:t xml:space="preserve">åling af vanddamp i røggassen er ikke nødvendig, hvis gasprøverne tørres inden måling. </w:t>
      </w:r>
    </w:p>
    <w:p w:rsidR="00A857AB" w:rsidRPr="00A857AB" w:rsidRDefault="00A857AB" w:rsidP="00A857AB">
      <w:pPr>
        <w:suppressAutoHyphens w:val="0"/>
        <w:autoSpaceDE w:val="0"/>
        <w:autoSpaceDN w:val="0"/>
        <w:adjustRightInd w:val="0"/>
        <w:spacing w:line="240" w:lineRule="auto"/>
        <w:rPr>
          <w:rFonts w:cs="Georgia"/>
          <w:color w:val="000000"/>
          <w:szCs w:val="20"/>
        </w:rPr>
      </w:pPr>
    </w:p>
    <w:p w:rsidR="0019527D" w:rsidRPr="0019527D" w:rsidRDefault="00894ED0" w:rsidP="0019527D">
      <w:pPr>
        <w:pStyle w:val="Listeafsnit"/>
        <w:numPr>
          <w:ilvl w:val="0"/>
          <w:numId w:val="12"/>
        </w:numPr>
        <w:suppressAutoHyphens w:val="0"/>
        <w:autoSpaceDE w:val="0"/>
        <w:autoSpaceDN w:val="0"/>
        <w:adjustRightInd w:val="0"/>
        <w:spacing w:line="240" w:lineRule="auto"/>
        <w:ind w:left="360"/>
        <w:rPr>
          <w:rFonts w:cs="Georgia"/>
          <w:color w:val="000000"/>
          <w:szCs w:val="20"/>
        </w:rPr>
      </w:pPr>
      <w:bookmarkStart w:id="9" w:name="_Ref428780071"/>
      <w:r>
        <w:rPr>
          <w:rFonts w:cs="Georgia"/>
          <w:color w:val="000000"/>
          <w:szCs w:val="20"/>
        </w:rPr>
        <w:t>Der skal i afkast 4 samt afkast 5+6</w:t>
      </w:r>
      <w:r w:rsidRPr="00DB7737">
        <w:rPr>
          <w:rFonts w:cs="Georgia"/>
          <w:color w:val="000000"/>
          <w:szCs w:val="20"/>
        </w:rPr>
        <w:t xml:space="preserve"> være installeret automatisk målende systemer (AMS) til kontinuerlig måling af NO</w:t>
      </w:r>
      <w:r w:rsidRPr="0013347A">
        <w:rPr>
          <w:rFonts w:cs="Georgia"/>
          <w:color w:val="000000"/>
          <w:szCs w:val="20"/>
          <w:vertAlign w:val="subscript"/>
        </w:rPr>
        <w:t>x</w:t>
      </w:r>
      <w:r w:rsidRPr="00DB7737">
        <w:rPr>
          <w:rFonts w:cs="Georgia"/>
          <w:color w:val="000000"/>
          <w:szCs w:val="20"/>
        </w:rPr>
        <w:t xml:space="preserve"> samt af driftsparametrene O</w:t>
      </w:r>
      <w:r w:rsidRPr="0013347A">
        <w:rPr>
          <w:rFonts w:cs="Georgia"/>
          <w:color w:val="000000"/>
          <w:szCs w:val="20"/>
          <w:vertAlign w:val="subscript"/>
        </w:rPr>
        <w:t>2</w:t>
      </w:r>
      <w:r w:rsidRPr="00DB7737">
        <w:rPr>
          <w:rFonts w:cs="Georgia"/>
          <w:color w:val="000000"/>
          <w:szCs w:val="20"/>
        </w:rPr>
        <w:t>, temperatur, tryk og vanddamp. Måling af vanddamp i røggassen er ikke nødvendig, hvis gasprøverne tørres inden måling.</w:t>
      </w:r>
      <w:bookmarkEnd w:id="9"/>
    </w:p>
    <w:p w:rsidR="00BC4870" w:rsidRPr="00BC4870" w:rsidRDefault="00BC4870" w:rsidP="00BC4870">
      <w:pPr>
        <w:pStyle w:val="Listeafsnit"/>
        <w:rPr>
          <w:rFonts w:cs="Georgia"/>
          <w:color w:val="000000"/>
          <w:szCs w:val="20"/>
        </w:rPr>
      </w:pPr>
    </w:p>
    <w:p w:rsidR="00BC4870" w:rsidRPr="00BC4870" w:rsidRDefault="00BC4870" w:rsidP="00BC4870">
      <w:pPr>
        <w:suppressAutoHyphens w:val="0"/>
        <w:autoSpaceDE w:val="0"/>
        <w:autoSpaceDN w:val="0"/>
        <w:adjustRightInd w:val="0"/>
        <w:spacing w:line="240" w:lineRule="auto"/>
        <w:ind w:left="360"/>
        <w:rPr>
          <w:rFonts w:cs="Georgia"/>
          <w:color w:val="000000"/>
          <w:szCs w:val="20"/>
        </w:rPr>
      </w:pPr>
      <w:r>
        <w:rPr>
          <w:rFonts w:cs="Georgia"/>
          <w:color w:val="000000"/>
          <w:szCs w:val="20"/>
        </w:rPr>
        <w:t>Andre metoder (f.eks. PEMS) til kontinuerlig af måling NO</w:t>
      </w:r>
      <w:r>
        <w:rPr>
          <w:rFonts w:cs="Georgia"/>
          <w:color w:val="000000"/>
          <w:szCs w:val="20"/>
          <w:vertAlign w:val="subscript"/>
        </w:rPr>
        <w:t xml:space="preserve">x </w:t>
      </w:r>
      <w:r>
        <w:rPr>
          <w:rFonts w:cs="Georgia"/>
          <w:color w:val="000000"/>
          <w:szCs w:val="20"/>
        </w:rPr>
        <w:t>kan anvendes, hvis der er tilsvarende sikkerhed for, at målingen af den udledte mængde af NO</w:t>
      </w:r>
      <w:r>
        <w:rPr>
          <w:rFonts w:cs="Georgia"/>
          <w:color w:val="000000"/>
          <w:szCs w:val="20"/>
          <w:vertAlign w:val="subscript"/>
        </w:rPr>
        <w:t>x</w:t>
      </w:r>
      <w:r>
        <w:rPr>
          <w:rFonts w:cs="Georgia"/>
          <w:color w:val="000000"/>
          <w:szCs w:val="20"/>
        </w:rPr>
        <w:t>, regnet som NO</w:t>
      </w:r>
      <w:r>
        <w:rPr>
          <w:rFonts w:cs="Georgia"/>
          <w:color w:val="000000"/>
          <w:szCs w:val="20"/>
          <w:vertAlign w:val="subscript"/>
        </w:rPr>
        <w:t>2</w:t>
      </w:r>
      <w:r>
        <w:rPr>
          <w:rFonts w:cs="Georgia"/>
          <w:color w:val="000000"/>
          <w:szCs w:val="20"/>
        </w:rPr>
        <w:t>, er som ved AMS-målingen.</w:t>
      </w:r>
      <w:r w:rsidR="008277B0">
        <w:rPr>
          <w:rFonts w:cs="Georgia"/>
          <w:color w:val="000000"/>
          <w:szCs w:val="20"/>
        </w:rPr>
        <w:t xml:space="preserve"> Den alternative metode skal kvalitetssikres og kontrolleres efter principperne i EN 14181, som beskrevet for AMS, i det omfang, det er teknisk muligt.</w:t>
      </w:r>
    </w:p>
    <w:p w:rsidR="00894ED0" w:rsidRPr="00894ED0" w:rsidRDefault="00894ED0" w:rsidP="00894ED0">
      <w:pPr>
        <w:suppressAutoHyphens w:val="0"/>
        <w:autoSpaceDE w:val="0"/>
        <w:autoSpaceDN w:val="0"/>
        <w:adjustRightInd w:val="0"/>
        <w:spacing w:line="240" w:lineRule="auto"/>
        <w:rPr>
          <w:rFonts w:cs="Georgia"/>
          <w:color w:val="000000"/>
          <w:szCs w:val="20"/>
        </w:rPr>
      </w:pPr>
    </w:p>
    <w:p w:rsidR="00A857AB"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lastRenderedPageBreak/>
        <w:t xml:space="preserve">Målesteder skal så vidt muligt indrettes som anvist i Luftvejledningen, Miljøstyrelsens vejledning nr. 2/2001. </w:t>
      </w:r>
    </w:p>
    <w:p w:rsidR="00A857AB" w:rsidRPr="00A857AB" w:rsidRDefault="00A857AB" w:rsidP="00A857AB">
      <w:pPr>
        <w:pStyle w:val="Listeafsnit"/>
        <w:rPr>
          <w:rFonts w:cs="Georgia"/>
          <w:color w:val="000000"/>
          <w:szCs w:val="20"/>
        </w:rPr>
      </w:pPr>
    </w:p>
    <w:p w:rsidR="00A857AB" w:rsidRDefault="00A857AB" w:rsidP="00A857AB">
      <w:p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 xml:space="preserve">Der skal være god plads omkring målestedet, så manuelt udstyr kan håndteres og indføres i røgrøret på en praktisk måde. </w:t>
      </w:r>
    </w:p>
    <w:p w:rsidR="00A857AB" w:rsidRPr="00A857AB" w:rsidRDefault="00A857AB" w:rsidP="00A857AB">
      <w:pPr>
        <w:suppressAutoHyphens w:val="0"/>
        <w:autoSpaceDE w:val="0"/>
        <w:autoSpaceDN w:val="0"/>
        <w:adjustRightInd w:val="0"/>
        <w:spacing w:line="240" w:lineRule="auto"/>
        <w:ind w:left="360"/>
        <w:rPr>
          <w:rFonts w:cs="Georgia"/>
          <w:color w:val="000000"/>
          <w:szCs w:val="20"/>
        </w:rPr>
      </w:pPr>
    </w:p>
    <w:p w:rsidR="00A857AB" w:rsidRDefault="00A857AB" w:rsidP="00A857AB">
      <w:p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 xml:space="preserve">Såfremt målestederne ikke kan indrettes efter anvisningen, skal målestedernes egnethed eftervises. </w:t>
      </w:r>
    </w:p>
    <w:p w:rsidR="00A857AB" w:rsidRPr="00A857AB" w:rsidRDefault="00A857AB" w:rsidP="00A857AB">
      <w:pPr>
        <w:suppressAutoHyphens w:val="0"/>
        <w:autoSpaceDE w:val="0"/>
        <w:autoSpaceDN w:val="0"/>
        <w:adjustRightInd w:val="0"/>
        <w:spacing w:line="240" w:lineRule="auto"/>
        <w:ind w:left="360"/>
        <w:rPr>
          <w:rFonts w:cs="Georgia"/>
          <w:color w:val="000000"/>
          <w:szCs w:val="20"/>
        </w:rPr>
      </w:pPr>
    </w:p>
    <w:p w:rsidR="00A857AB"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AMS-måler</w:t>
      </w:r>
      <w:r w:rsidR="00BC4870">
        <w:rPr>
          <w:rFonts w:cs="Georgia"/>
          <w:color w:val="000000"/>
          <w:szCs w:val="20"/>
        </w:rPr>
        <w:t>n</w:t>
      </w:r>
      <w:r w:rsidRPr="00A857AB">
        <w:rPr>
          <w:rFonts w:cs="Georgia"/>
          <w:color w:val="000000"/>
          <w:szCs w:val="20"/>
        </w:rPr>
        <w:t xml:space="preserve">e skal være i en sådan stand, at værdierne af 95 % -konfidensintervallerne i forbindelse med et enkelt måleresultat ikke overstiger følgende procentdele af de respektive emissionsgrænseværdier: </w:t>
      </w:r>
    </w:p>
    <w:p w:rsidR="00372830" w:rsidRDefault="00372830" w:rsidP="00372830">
      <w:pPr>
        <w:suppressAutoHyphens w:val="0"/>
        <w:autoSpaceDE w:val="0"/>
        <w:autoSpaceDN w:val="0"/>
        <w:adjustRightInd w:val="0"/>
        <w:spacing w:line="240" w:lineRule="auto"/>
        <w:rPr>
          <w:rFonts w:cs="Georgia"/>
          <w:color w:val="000000"/>
          <w:szCs w:val="20"/>
        </w:rPr>
      </w:pPr>
    </w:p>
    <w:p w:rsidR="00372830" w:rsidRPr="00C8271C" w:rsidRDefault="00372830" w:rsidP="00372830">
      <w:pPr>
        <w:ind w:left="1304"/>
        <w:rPr>
          <w:rFonts w:cs="Arial"/>
          <w:szCs w:val="22"/>
        </w:rPr>
      </w:pPr>
      <w:r w:rsidRPr="00C8271C">
        <w:rPr>
          <w:rFonts w:cs="Arial"/>
          <w:szCs w:val="22"/>
        </w:rPr>
        <w:t>SO</w:t>
      </w:r>
      <w:r w:rsidRPr="00B13AFF">
        <w:rPr>
          <w:rFonts w:cs="Arial"/>
          <w:szCs w:val="22"/>
          <w:vertAlign w:val="subscript"/>
        </w:rPr>
        <w:t>2</w:t>
      </w:r>
      <w:r w:rsidRPr="00C8271C">
        <w:rPr>
          <w:rFonts w:cs="Arial"/>
          <w:szCs w:val="22"/>
        </w:rPr>
        <w:t xml:space="preserve">: </w:t>
      </w:r>
      <w:r>
        <w:rPr>
          <w:rFonts w:cs="Arial"/>
          <w:szCs w:val="22"/>
        </w:rPr>
        <w:t>20 %</w:t>
      </w:r>
    </w:p>
    <w:p w:rsidR="00372830" w:rsidRDefault="00372830" w:rsidP="00372830">
      <w:pPr>
        <w:ind w:left="1304"/>
        <w:rPr>
          <w:rFonts w:cs="Arial"/>
          <w:szCs w:val="22"/>
        </w:rPr>
      </w:pPr>
      <w:r w:rsidRPr="00C8271C">
        <w:rPr>
          <w:rFonts w:cs="Arial"/>
          <w:szCs w:val="22"/>
        </w:rPr>
        <w:t>NO</w:t>
      </w:r>
      <w:r w:rsidRPr="00B13AFF">
        <w:rPr>
          <w:rFonts w:cs="Arial"/>
          <w:szCs w:val="22"/>
          <w:vertAlign w:val="subscript"/>
        </w:rPr>
        <w:t>x</w:t>
      </w:r>
      <w:r w:rsidRPr="00C8271C">
        <w:rPr>
          <w:rFonts w:cs="Arial"/>
          <w:szCs w:val="22"/>
        </w:rPr>
        <w:t xml:space="preserve">: </w:t>
      </w:r>
      <w:r>
        <w:rPr>
          <w:rFonts w:cs="Arial"/>
          <w:szCs w:val="22"/>
        </w:rPr>
        <w:t>20 %</w:t>
      </w:r>
    </w:p>
    <w:p w:rsidR="00372830" w:rsidRPr="00372830" w:rsidRDefault="00372830" w:rsidP="00372830">
      <w:pPr>
        <w:ind w:left="1304"/>
        <w:rPr>
          <w:rFonts w:cs="Georgia"/>
          <w:color w:val="000000"/>
          <w:szCs w:val="20"/>
        </w:rPr>
      </w:pPr>
      <w:r>
        <w:rPr>
          <w:rFonts w:cs="Arial"/>
          <w:szCs w:val="22"/>
        </w:rPr>
        <w:t>Støv</w:t>
      </w:r>
      <w:r w:rsidRPr="00C8271C">
        <w:rPr>
          <w:rFonts w:cs="Arial"/>
          <w:szCs w:val="22"/>
        </w:rPr>
        <w:t xml:space="preserve">: </w:t>
      </w:r>
      <w:r>
        <w:rPr>
          <w:rFonts w:cs="Arial"/>
          <w:szCs w:val="22"/>
        </w:rPr>
        <w:t>30 %</w:t>
      </w:r>
    </w:p>
    <w:p w:rsidR="00A857AB" w:rsidRPr="00A857AB" w:rsidRDefault="00A857AB" w:rsidP="00A857AB">
      <w:pPr>
        <w:suppressAutoHyphens w:val="0"/>
        <w:autoSpaceDE w:val="0"/>
        <w:autoSpaceDN w:val="0"/>
        <w:adjustRightInd w:val="0"/>
        <w:spacing w:line="240" w:lineRule="auto"/>
        <w:ind w:left="360" w:hanging="360"/>
        <w:rPr>
          <w:rFonts w:cs="Georgia"/>
          <w:color w:val="000000"/>
          <w:szCs w:val="20"/>
        </w:rPr>
      </w:pPr>
    </w:p>
    <w:p w:rsidR="00A857AB" w:rsidRPr="00A857AB"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 xml:space="preserve">Hvis mere end 10 døgnmiddelværdier i løbet af et kalenderår må kasseres, fordi mere end 3 timegennemsnitsværdier var ugyldige, som følge af at AMS-udstyret ikke fungerede korrekt eller var under vedligeholdelse, skal </w:t>
      </w:r>
      <w:r w:rsidR="0018092B">
        <w:rPr>
          <w:rFonts w:cs="Georgia"/>
          <w:color w:val="000000"/>
          <w:szCs w:val="20"/>
        </w:rPr>
        <w:t>Statoil</w:t>
      </w:r>
      <w:r w:rsidRPr="00A857AB">
        <w:rPr>
          <w:rFonts w:cs="Georgia"/>
          <w:color w:val="000000"/>
          <w:szCs w:val="20"/>
        </w:rPr>
        <w:t xml:space="preserve"> træffe passende foranstaltninger til at gøre AMS-udstyret mere pålideligt. </w:t>
      </w:r>
    </w:p>
    <w:p w:rsidR="00A857AB" w:rsidRPr="00A857AB" w:rsidRDefault="00A857AB" w:rsidP="00A857AB">
      <w:pPr>
        <w:suppressAutoHyphens w:val="0"/>
        <w:autoSpaceDE w:val="0"/>
        <w:autoSpaceDN w:val="0"/>
        <w:adjustRightInd w:val="0"/>
        <w:spacing w:line="240" w:lineRule="auto"/>
        <w:ind w:left="360" w:hanging="360"/>
        <w:rPr>
          <w:rFonts w:cs="Georgia"/>
          <w:color w:val="000000"/>
          <w:szCs w:val="20"/>
        </w:rPr>
      </w:pPr>
    </w:p>
    <w:p w:rsidR="00A857AB" w:rsidRPr="00A857AB"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 xml:space="preserve">AMS-målerne skal kontrolleres og kalibreres i henhold til standarden DS/EN14181. Kontrol og kalibrering skal udføres af et akkrediteret firma. </w:t>
      </w:r>
    </w:p>
    <w:p w:rsidR="00A857AB" w:rsidRPr="00A857AB" w:rsidRDefault="00A857AB" w:rsidP="00A857AB">
      <w:pPr>
        <w:suppressAutoHyphens w:val="0"/>
        <w:autoSpaceDE w:val="0"/>
        <w:autoSpaceDN w:val="0"/>
        <w:adjustRightInd w:val="0"/>
        <w:spacing w:line="240" w:lineRule="auto"/>
        <w:ind w:left="360" w:hanging="360"/>
        <w:rPr>
          <w:rFonts w:cs="Georgia"/>
          <w:color w:val="000000"/>
          <w:szCs w:val="20"/>
        </w:rPr>
      </w:pPr>
    </w:p>
    <w:p w:rsidR="00A857AB" w:rsidRPr="00A857AB" w:rsidRDefault="00A857AB" w:rsidP="00A857AB">
      <w:p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 xml:space="preserve">AMS-målerne skal kvalitetssikres inden ibrugtagning og herefter hvert 5. år. AMS-målerne skal kontrolleres og kalibreres ved hjælp af parallelmåling hvert år. </w:t>
      </w:r>
    </w:p>
    <w:p w:rsidR="00A857AB" w:rsidRPr="00A857AB" w:rsidRDefault="00A857AB" w:rsidP="00A857AB">
      <w:pPr>
        <w:pStyle w:val="Listeafsnit"/>
        <w:rPr>
          <w:rFonts w:cs="Georgia"/>
          <w:color w:val="000000"/>
          <w:szCs w:val="20"/>
        </w:rPr>
      </w:pPr>
    </w:p>
    <w:p w:rsidR="00A857AB" w:rsidRPr="00A857AB"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Resultaterne af kontro</w:t>
      </w:r>
      <w:r w:rsidR="00E36157">
        <w:rPr>
          <w:rFonts w:cs="Georgia"/>
          <w:color w:val="000000"/>
          <w:szCs w:val="20"/>
        </w:rPr>
        <w:t xml:space="preserve">llen af AMS-målerne jf. vilkår </w:t>
      </w:r>
      <w:r w:rsidR="00425E50">
        <w:rPr>
          <w:rFonts w:cs="Georgia"/>
          <w:color w:val="000000"/>
          <w:szCs w:val="20"/>
        </w:rPr>
        <w:t>6</w:t>
      </w:r>
      <w:r w:rsidRPr="00A857AB">
        <w:rPr>
          <w:rFonts w:cs="Georgia"/>
          <w:color w:val="000000"/>
          <w:szCs w:val="20"/>
        </w:rPr>
        <w:t xml:space="preserve"> skal være tilsynsmyndigheden i hænde senest 2 mdr. efter, at kontrollen/kalibreringen er udført. </w:t>
      </w:r>
      <w:r w:rsidR="00E36157">
        <w:rPr>
          <w:rFonts w:cs="Georgia"/>
          <w:color w:val="000000"/>
          <w:szCs w:val="20"/>
        </w:rPr>
        <w:t>Statoil</w:t>
      </w:r>
      <w:r w:rsidRPr="00A857AB">
        <w:rPr>
          <w:rFonts w:cs="Georgia"/>
          <w:color w:val="000000"/>
          <w:szCs w:val="20"/>
        </w:rPr>
        <w:t xml:space="preserve"> skal inden fremsendelse til miljømyndigheden kvalitetssikre rapporteringen. </w:t>
      </w:r>
    </w:p>
    <w:p w:rsidR="00A857AB" w:rsidRPr="00A857AB" w:rsidRDefault="00A857AB" w:rsidP="00A857AB">
      <w:pPr>
        <w:suppressAutoHyphens w:val="0"/>
        <w:autoSpaceDE w:val="0"/>
        <w:autoSpaceDN w:val="0"/>
        <w:adjustRightInd w:val="0"/>
        <w:spacing w:line="240" w:lineRule="auto"/>
        <w:ind w:left="360" w:hanging="360"/>
        <w:rPr>
          <w:rFonts w:cs="Georgia"/>
          <w:color w:val="000000"/>
          <w:szCs w:val="20"/>
        </w:rPr>
      </w:pPr>
    </w:p>
    <w:p w:rsidR="00A857AB" w:rsidRDefault="00E36157"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Pr>
          <w:rFonts w:cs="Georgia"/>
          <w:color w:val="000000"/>
          <w:szCs w:val="20"/>
        </w:rPr>
        <w:t>Statoil</w:t>
      </w:r>
      <w:r w:rsidR="00A857AB" w:rsidRPr="00A857AB">
        <w:rPr>
          <w:rFonts w:cs="Georgia"/>
          <w:color w:val="000000"/>
          <w:szCs w:val="20"/>
        </w:rPr>
        <w:t xml:space="preserve"> skal være i besiddelse af en kvalitetshåndbog for AMS-målere, hvori der er beskrevet procedurer for vedligeholdelse og reparation samt for databehandling, herunder validering. </w:t>
      </w:r>
    </w:p>
    <w:p w:rsidR="00BC4870" w:rsidRPr="00BC4870" w:rsidRDefault="00BC4870" w:rsidP="00BC4870">
      <w:pPr>
        <w:pStyle w:val="Listeafsnit"/>
        <w:rPr>
          <w:rFonts w:cs="Georgia"/>
          <w:color w:val="000000"/>
          <w:szCs w:val="20"/>
        </w:rPr>
      </w:pPr>
    </w:p>
    <w:p w:rsidR="00BC4870" w:rsidRPr="00A857AB" w:rsidRDefault="00BC4870"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Pr>
          <w:rFonts w:cs="Georgia"/>
          <w:color w:val="000000"/>
          <w:szCs w:val="20"/>
        </w:rPr>
        <w:t>Anvendes der andre metoder til måling af NO</w:t>
      </w:r>
      <w:r>
        <w:rPr>
          <w:rFonts w:cs="Georgia"/>
          <w:color w:val="000000"/>
          <w:szCs w:val="20"/>
          <w:vertAlign w:val="subscript"/>
        </w:rPr>
        <w:t>x</w:t>
      </w:r>
      <w:r>
        <w:rPr>
          <w:rFonts w:cs="Georgia"/>
          <w:color w:val="000000"/>
          <w:szCs w:val="20"/>
        </w:rPr>
        <w:t xml:space="preserve"> (f.eks. PEMS) på afkast 4 samt afkast 5+6, så skal metoden kvalitetssikres og kontrolleres efter principperne i EN 14181, som beskrevet for AMS, i det omfang det er teknisk muligt.</w:t>
      </w:r>
    </w:p>
    <w:p w:rsidR="00A857AB" w:rsidRPr="00A857AB" w:rsidRDefault="00A857AB" w:rsidP="00A857AB">
      <w:pPr>
        <w:suppressAutoHyphens w:val="0"/>
        <w:autoSpaceDE w:val="0"/>
        <w:autoSpaceDN w:val="0"/>
        <w:adjustRightInd w:val="0"/>
        <w:spacing w:line="240" w:lineRule="auto"/>
        <w:ind w:left="360" w:hanging="360"/>
        <w:rPr>
          <w:rFonts w:cs="Georgia"/>
          <w:color w:val="000000"/>
          <w:szCs w:val="20"/>
        </w:rPr>
      </w:pPr>
    </w:p>
    <w:p w:rsidR="00A857AB" w:rsidRPr="00A857AB" w:rsidRDefault="00A857AB" w:rsidP="00A857AB">
      <w:pPr>
        <w:suppressAutoHyphens w:val="0"/>
        <w:autoSpaceDE w:val="0"/>
        <w:autoSpaceDN w:val="0"/>
        <w:adjustRightInd w:val="0"/>
        <w:spacing w:line="240" w:lineRule="auto"/>
        <w:ind w:left="360"/>
        <w:rPr>
          <w:rFonts w:cs="Georgia"/>
          <w:color w:val="000000"/>
          <w:szCs w:val="20"/>
        </w:rPr>
      </w:pPr>
      <w:r w:rsidRPr="00A857AB">
        <w:rPr>
          <w:rFonts w:cs="Georgia"/>
          <w:b/>
          <w:bCs/>
          <w:color w:val="000000"/>
          <w:szCs w:val="20"/>
        </w:rPr>
        <w:t xml:space="preserve">Emissionsgrænseværdier / Luftforurening </w:t>
      </w:r>
    </w:p>
    <w:p w:rsidR="00A857AB" w:rsidRPr="00A857AB" w:rsidRDefault="00A857AB" w:rsidP="00A857AB">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857AB">
        <w:rPr>
          <w:rFonts w:cs="Georgia"/>
          <w:color w:val="000000"/>
          <w:szCs w:val="20"/>
        </w:rPr>
        <w:t xml:space="preserve">Følgende emissionsgrænseværdier skal overholdes ved fyring med </w:t>
      </w:r>
      <w:r w:rsidR="00BC2AD1">
        <w:rPr>
          <w:rFonts w:cs="Georgia"/>
          <w:color w:val="000000"/>
          <w:szCs w:val="20"/>
        </w:rPr>
        <w:t>raffinaderigas</w:t>
      </w:r>
      <w:r w:rsidRPr="00A857AB">
        <w:rPr>
          <w:rFonts w:cs="Georgia"/>
          <w:color w:val="000000"/>
          <w:szCs w:val="20"/>
        </w:rPr>
        <w:t xml:space="preserve"> i det samlede fyringsanlæg bestående af </w:t>
      </w:r>
      <w:r w:rsidR="00BC2AD1">
        <w:rPr>
          <w:rFonts w:cs="Georgia"/>
          <w:color w:val="000000"/>
          <w:szCs w:val="20"/>
        </w:rPr>
        <w:t>H-201, H-202, H1051, H-1001 og H-601 (afkast 3)</w:t>
      </w:r>
      <w:r w:rsidRPr="00A857AB">
        <w:rPr>
          <w:rFonts w:cs="Georgia"/>
          <w:color w:val="000000"/>
          <w:szCs w:val="20"/>
        </w:rPr>
        <w:t xml:space="preserve">: </w:t>
      </w:r>
    </w:p>
    <w:p w:rsidR="00387E45" w:rsidRDefault="00387E45" w:rsidP="000E3A48">
      <w:pPr>
        <w:suppressAutoHyphens w:val="0"/>
        <w:autoSpaceDE w:val="0"/>
        <w:autoSpaceDN w:val="0"/>
        <w:adjustRightInd w:val="0"/>
        <w:rPr>
          <w:rFonts w:cs="Georgia"/>
          <w:color w:val="000000"/>
          <w:szCs w:val="20"/>
        </w:rPr>
      </w:pPr>
    </w:p>
    <w:p w:rsidR="00AB41EF" w:rsidRPr="00425E50" w:rsidRDefault="00AB41EF" w:rsidP="00425E50">
      <w:pPr>
        <w:tabs>
          <w:tab w:val="left" w:pos="1985"/>
        </w:tabs>
        <w:suppressAutoHyphens w:val="0"/>
        <w:autoSpaceDE w:val="0"/>
        <w:autoSpaceDN w:val="0"/>
        <w:adjustRightInd w:val="0"/>
        <w:spacing w:line="240" w:lineRule="auto"/>
        <w:ind w:left="1304"/>
        <w:rPr>
          <w:rFonts w:cs="Georgia"/>
          <w:color w:val="000000"/>
          <w:szCs w:val="20"/>
        </w:rPr>
      </w:pPr>
      <w:r w:rsidRPr="00425E50">
        <w:rPr>
          <w:rFonts w:cs="Georgia"/>
          <w:color w:val="000000"/>
          <w:szCs w:val="20"/>
        </w:rPr>
        <w:t xml:space="preserve">SO2: </w:t>
      </w:r>
      <w:r w:rsidR="00DB050E">
        <w:rPr>
          <w:rFonts w:cs="Georgia"/>
          <w:color w:val="000000"/>
          <w:szCs w:val="20"/>
        </w:rPr>
        <w:tab/>
      </w:r>
      <w:r w:rsidR="009B576B">
        <w:rPr>
          <w:rFonts w:cs="Georgia"/>
          <w:color w:val="000000"/>
          <w:szCs w:val="20"/>
        </w:rPr>
        <w:t>35</w:t>
      </w:r>
      <w:r w:rsidRPr="00425E50">
        <w:rPr>
          <w:rFonts w:cs="Georgia"/>
          <w:color w:val="000000"/>
          <w:szCs w:val="20"/>
        </w:rPr>
        <w:t xml:space="preserve"> mg/Nm3 </w:t>
      </w:r>
      <w:r w:rsidR="00425E50">
        <w:rPr>
          <w:rFonts w:cs="Georgia"/>
          <w:color w:val="000000"/>
          <w:szCs w:val="20"/>
        </w:rPr>
        <w:t>tør røggas ved referencetilstanden 3,0 % O</w:t>
      </w:r>
      <w:r w:rsidR="00425E50">
        <w:rPr>
          <w:rFonts w:cs="Georgia"/>
          <w:color w:val="000000"/>
          <w:szCs w:val="20"/>
          <w:vertAlign w:val="subscript"/>
        </w:rPr>
        <w:t>2</w:t>
      </w:r>
    </w:p>
    <w:p w:rsidR="00AB41EF" w:rsidRPr="00425E50" w:rsidRDefault="00AB41EF" w:rsidP="00DB050E">
      <w:pPr>
        <w:tabs>
          <w:tab w:val="left" w:pos="1985"/>
        </w:tabs>
        <w:suppressAutoHyphens w:val="0"/>
        <w:autoSpaceDE w:val="0"/>
        <w:autoSpaceDN w:val="0"/>
        <w:adjustRightInd w:val="0"/>
        <w:spacing w:line="240" w:lineRule="auto"/>
        <w:ind w:left="1304"/>
        <w:rPr>
          <w:rFonts w:cs="Georgia"/>
          <w:color w:val="000000"/>
          <w:szCs w:val="20"/>
        </w:rPr>
      </w:pPr>
      <w:r w:rsidRPr="00425E50">
        <w:rPr>
          <w:rFonts w:cs="Georgia"/>
          <w:color w:val="000000"/>
          <w:szCs w:val="20"/>
        </w:rPr>
        <w:t xml:space="preserve">NOx: </w:t>
      </w:r>
      <w:r w:rsidR="00DB050E">
        <w:rPr>
          <w:rFonts w:cs="Georgia"/>
          <w:color w:val="000000"/>
          <w:szCs w:val="20"/>
        </w:rPr>
        <w:tab/>
      </w:r>
      <w:r w:rsidR="00BC2AD1" w:rsidRPr="00425E50">
        <w:rPr>
          <w:rFonts w:cs="Georgia"/>
          <w:color w:val="000000"/>
          <w:szCs w:val="20"/>
        </w:rPr>
        <w:t>3</w:t>
      </w:r>
      <w:r w:rsidRPr="00425E50">
        <w:rPr>
          <w:rFonts w:cs="Georgia"/>
          <w:color w:val="000000"/>
          <w:szCs w:val="20"/>
        </w:rPr>
        <w:t xml:space="preserve">00 mg/Nm3 </w:t>
      </w:r>
      <w:r w:rsidR="00425E50">
        <w:rPr>
          <w:rFonts w:cs="Georgia"/>
          <w:color w:val="000000"/>
          <w:szCs w:val="20"/>
        </w:rPr>
        <w:t>tør røggas ved referencetilstanden 3,0 % O</w:t>
      </w:r>
      <w:r w:rsidR="00425E50">
        <w:rPr>
          <w:rFonts w:cs="Georgia"/>
          <w:color w:val="000000"/>
          <w:szCs w:val="20"/>
          <w:vertAlign w:val="subscript"/>
        </w:rPr>
        <w:t>2</w:t>
      </w:r>
    </w:p>
    <w:p w:rsidR="00AB41EF" w:rsidRDefault="00AB41EF" w:rsidP="00DB050E">
      <w:pPr>
        <w:tabs>
          <w:tab w:val="left" w:pos="1985"/>
        </w:tabs>
        <w:suppressAutoHyphens w:val="0"/>
        <w:autoSpaceDE w:val="0"/>
        <w:autoSpaceDN w:val="0"/>
        <w:adjustRightInd w:val="0"/>
        <w:spacing w:line="240" w:lineRule="auto"/>
        <w:ind w:left="1304"/>
        <w:rPr>
          <w:rFonts w:cs="Georgia"/>
          <w:color w:val="000000"/>
          <w:szCs w:val="20"/>
          <w:vertAlign w:val="subscript"/>
        </w:rPr>
      </w:pPr>
      <w:r w:rsidRPr="00AB41EF">
        <w:rPr>
          <w:rFonts w:cs="Georgia"/>
          <w:color w:val="000000"/>
          <w:szCs w:val="20"/>
        </w:rPr>
        <w:t xml:space="preserve">Støv: </w:t>
      </w:r>
      <w:r w:rsidR="00DB050E">
        <w:rPr>
          <w:rFonts w:cs="Georgia"/>
          <w:color w:val="000000"/>
          <w:szCs w:val="20"/>
        </w:rPr>
        <w:tab/>
        <w:t xml:space="preserve">     </w:t>
      </w:r>
      <w:r w:rsidR="007E5123">
        <w:rPr>
          <w:rFonts w:cs="Georgia"/>
          <w:color w:val="000000"/>
          <w:szCs w:val="20"/>
        </w:rPr>
        <w:t>5</w:t>
      </w:r>
      <w:r w:rsidRPr="00AB41EF">
        <w:rPr>
          <w:rFonts w:cs="Georgia"/>
          <w:color w:val="000000"/>
          <w:szCs w:val="20"/>
        </w:rPr>
        <w:t xml:space="preserve"> mg/Nm3 </w:t>
      </w:r>
      <w:r w:rsidR="00425E50">
        <w:rPr>
          <w:rFonts w:cs="Georgia"/>
          <w:color w:val="000000"/>
          <w:szCs w:val="20"/>
        </w:rPr>
        <w:t>tør røggas ved referencetilstanden 3,0 % O</w:t>
      </w:r>
      <w:r w:rsidR="00425E50">
        <w:rPr>
          <w:rFonts w:cs="Georgia"/>
          <w:color w:val="000000"/>
          <w:szCs w:val="20"/>
          <w:vertAlign w:val="subscript"/>
        </w:rPr>
        <w:t>2</w:t>
      </w:r>
    </w:p>
    <w:p w:rsidR="00A6310A" w:rsidRDefault="00A6310A" w:rsidP="00DB050E">
      <w:pPr>
        <w:tabs>
          <w:tab w:val="left" w:pos="1985"/>
        </w:tabs>
        <w:suppressAutoHyphens w:val="0"/>
        <w:autoSpaceDE w:val="0"/>
        <w:autoSpaceDN w:val="0"/>
        <w:adjustRightInd w:val="0"/>
        <w:spacing w:line="240" w:lineRule="auto"/>
        <w:ind w:left="1304"/>
        <w:rPr>
          <w:rFonts w:cs="Georgia"/>
          <w:color w:val="000000"/>
          <w:szCs w:val="20"/>
          <w:vertAlign w:val="subscript"/>
        </w:rPr>
      </w:pPr>
    </w:p>
    <w:p w:rsidR="00A6310A" w:rsidRPr="00A6310A" w:rsidRDefault="00A6310A" w:rsidP="00A6310A">
      <w:pPr>
        <w:suppressAutoHyphens w:val="0"/>
        <w:autoSpaceDE w:val="0"/>
        <w:autoSpaceDN w:val="0"/>
        <w:adjustRightInd w:val="0"/>
        <w:spacing w:line="240" w:lineRule="auto"/>
        <w:ind w:left="426"/>
        <w:rPr>
          <w:rFonts w:cs="Georgia"/>
          <w:color w:val="000000"/>
          <w:szCs w:val="20"/>
        </w:rPr>
      </w:pPr>
      <w:r w:rsidRPr="00A857AB">
        <w:rPr>
          <w:rFonts w:cs="Georgia"/>
          <w:color w:val="000000"/>
          <w:szCs w:val="20"/>
        </w:rPr>
        <w:t xml:space="preserve">Følgende emissionsgrænseværdier skal overholdes ved fyring med </w:t>
      </w:r>
      <w:r>
        <w:rPr>
          <w:rFonts w:cs="Georgia"/>
          <w:color w:val="000000"/>
          <w:szCs w:val="20"/>
        </w:rPr>
        <w:t>raffinaderigas</w:t>
      </w:r>
      <w:r w:rsidR="00364469">
        <w:rPr>
          <w:rFonts w:cs="Georgia"/>
          <w:color w:val="000000"/>
          <w:szCs w:val="20"/>
        </w:rPr>
        <w:t xml:space="preserve"> </w:t>
      </w:r>
      <w:r>
        <w:rPr>
          <w:rFonts w:cs="Georgia"/>
          <w:color w:val="000000"/>
          <w:szCs w:val="20"/>
        </w:rPr>
        <w:t>i</w:t>
      </w:r>
      <w:r w:rsidRPr="00A6310A">
        <w:rPr>
          <w:rFonts w:cs="Georgia"/>
          <w:color w:val="000000"/>
          <w:szCs w:val="20"/>
        </w:rPr>
        <w:t xml:space="preserve"> fyringsanlæg H-4201 (afkast 4) og i fyringsanlæg H-4401 (afkast 5+6): </w:t>
      </w:r>
    </w:p>
    <w:p w:rsidR="00A6310A" w:rsidRDefault="00A6310A" w:rsidP="00A6310A">
      <w:pPr>
        <w:suppressAutoHyphens w:val="0"/>
        <w:autoSpaceDE w:val="0"/>
        <w:autoSpaceDN w:val="0"/>
        <w:adjustRightInd w:val="0"/>
        <w:rPr>
          <w:rFonts w:cs="Georgia"/>
          <w:color w:val="000000"/>
          <w:szCs w:val="20"/>
        </w:rPr>
      </w:pPr>
    </w:p>
    <w:p w:rsidR="00A6310A" w:rsidRPr="00425E50" w:rsidRDefault="00A6310A" w:rsidP="00A6310A">
      <w:pPr>
        <w:tabs>
          <w:tab w:val="left" w:pos="1985"/>
        </w:tabs>
        <w:suppressAutoHyphens w:val="0"/>
        <w:autoSpaceDE w:val="0"/>
        <w:autoSpaceDN w:val="0"/>
        <w:adjustRightInd w:val="0"/>
        <w:spacing w:line="240" w:lineRule="auto"/>
        <w:ind w:left="1304"/>
        <w:rPr>
          <w:rFonts w:cs="Georgia"/>
          <w:color w:val="000000"/>
          <w:szCs w:val="20"/>
        </w:rPr>
      </w:pPr>
      <w:r w:rsidRPr="00425E50">
        <w:rPr>
          <w:rFonts w:cs="Georgia"/>
          <w:color w:val="000000"/>
          <w:szCs w:val="20"/>
        </w:rPr>
        <w:t xml:space="preserve">SO2: </w:t>
      </w:r>
      <w:r>
        <w:rPr>
          <w:rFonts w:cs="Georgia"/>
          <w:color w:val="000000"/>
          <w:szCs w:val="20"/>
        </w:rPr>
        <w:tab/>
      </w:r>
      <w:r w:rsidR="009B576B">
        <w:rPr>
          <w:rFonts w:cs="Georgia"/>
          <w:color w:val="000000"/>
          <w:szCs w:val="20"/>
        </w:rPr>
        <w:t>35</w:t>
      </w:r>
      <w:r w:rsidRPr="00425E50">
        <w:rPr>
          <w:rFonts w:cs="Georgia"/>
          <w:color w:val="000000"/>
          <w:szCs w:val="20"/>
        </w:rPr>
        <w:t xml:space="preserve"> mg/Nm3 </w:t>
      </w:r>
      <w:r>
        <w:rPr>
          <w:rFonts w:cs="Georgia"/>
          <w:color w:val="000000"/>
          <w:szCs w:val="20"/>
        </w:rPr>
        <w:t>tør røggas ved referencetilstanden 3,0 % O</w:t>
      </w:r>
      <w:r>
        <w:rPr>
          <w:rFonts w:cs="Georgia"/>
          <w:color w:val="000000"/>
          <w:szCs w:val="20"/>
          <w:vertAlign w:val="subscript"/>
        </w:rPr>
        <w:t>2</w:t>
      </w:r>
    </w:p>
    <w:p w:rsidR="00A6310A" w:rsidRPr="00425E50" w:rsidRDefault="00A6310A" w:rsidP="00A6310A">
      <w:pPr>
        <w:tabs>
          <w:tab w:val="left" w:pos="1985"/>
        </w:tabs>
        <w:suppressAutoHyphens w:val="0"/>
        <w:autoSpaceDE w:val="0"/>
        <w:autoSpaceDN w:val="0"/>
        <w:adjustRightInd w:val="0"/>
        <w:spacing w:line="240" w:lineRule="auto"/>
        <w:ind w:left="1304"/>
        <w:rPr>
          <w:rFonts w:cs="Georgia"/>
          <w:color w:val="000000"/>
          <w:szCs w:val="20"/>
        </w:rPr>
      </w:pPr>
      <w:r w:rsidRPr="00425E50">
        <w:rPr>
          <w:rFonts w:cs="Georgia"/>
          <w:color w:val="000000"/>
          <w:szCs w:val="20"/>
        </w:rPr>
        <w:t xml:space="preserve">NOx: </w:t>
      </w:r>
      <w:r>
        <w:rPr>
          <w:rFonts w:cs="Georgia"/>
          <w:color w:val="000000"/>
          <w:szCs w:val="20"/>
        </w:rPr>
        <w:tab/>
        <w:t>225</w:t>
      </w:r>
      <w:r w:rsidRPr="00425E50">
        <w:rPr>
          <w:rFonts w:cs="Georgia"/>
          <w:color w:val="000000"/>
          <w:szCs w:val="20"/>
        </w:rPr>
        <w:t xml:space="preserve"> mg/Nm3 </w:t>
      </w:r>
      <w:r>
        <w:rPr>
          <w:rFonts w:cs="Georgia"/>
          <w:color w:val="000000"/>
          <w:szCs w:val="20"/>
        </w:rPr>
        <w:t>tør røggas ved referencetilstanden 3,0 % O</w:t>
      </w:r>
      <w:r>
        <w:rPr>
          <w:rFonts w:cs="Georgia"/>
          <w:color w:val="000000"/>
          <w:szCs w:val="20"/>
          <w:vertAlign w:val="subscript"/>
        </w:rPr>
        <w:t>2</w:t>
      </w:r>
    </w:p>
    <w:p w:rsidR="00A6310A" w:rsidRDefault="00A6310A" w:rsidP="00A6310A">
      <w:pPr>
        <w:tabs>
          <w:tab w:val="left" w:pos="1985"/>
        </w:tabs>
        <w:suppressAutoHyphens w:val="0"/>
        <w:autoSpaceDE w:val="0"/>
        <w:autoSpaceDN w:val="0"/>
        <w:adjustRightInd w:val="0"/>
        <w:spacing w:line="240" w:lineRule="auto"/>
        <w:ind w:left="1304"/>
        <w:rPr>
          <w:rFonts w:cs="Georgia"/>
          <w:color w:val="000000"/>
          <w:szCs w:val="20"/>
        </w:rPr>
      </w:pPr>
      <w:r w:rsidRPr="00AB41EF">
        <w:rPr>
          <w:rFonts w:cs="Georgia"/>
          <w:color w:val="000000"/>
          <w:szCs w:val="20"/>
        </w:rPr>
        <w:t xml:space="preserve">Støv: </w:t>
      </w:r>
      <w:r>
        <w:rPr>
          <w:rFonts w:cs="Georgia"/>
          <w:color w:val="000000"/>
          <w:szCs w:val="20"/>
        </w:rPr>
        <w:tab/>
        <w:t xml:space="preserve">     5</w:t>
      </w:r>
      <w:r w:rsidRPr="00AB41EF">
        <w:rPr>
          <w:rFonts w:cs="Georgia"/>
          <w:color w:val="000000"/>
          <w:szCs w:val="20"/>
        </w:rPr>
        <w:t xml:space="preserve"> mg/Nm3 </w:t>
      </w:r>
      <w:r>
        <w:rPr>
          <w:rFonts w:cs="Georgia"/>
          <w:color w:val="000000"/>
          <w:szCs w:val="20"/>
        </w:rPr>
        <w:t>tør røggas ved referencetilstanden 3,0 % O</w:t>
      </w:r>
      <w:r>
        <w:rPr>
          <w:rFonts w:cs="Georgia"/>
          <w:color w:val="000000"/>
          <w:szCs w:val="20"/>
          <w:vertAlign w:val="subscript"/>
        </w:rPr>
        <w:t>2</w:t>
      </w:r>
    </w:p>
    <w:p w:rsidR="007E5123" w:rsidRDefault="007E5123" w:rsidP="00AB41EF">
      <w:pPr>
        <w:suppressAutoHyphens w:val="0"/>
        <w:autoSpaceDE w:val="0"/>
        <w:autoSpaceDN w:val="0"/>
        <w:adjustRightInd w:val="0"/>
        <w:spacing w:line="240" w:lineRule="auto"/>
        <w:ind w:left="1304"/>
        <w:rPr>
          <w:rFonts w:cs="Georgia"/>
          <w:color w:val="000000"/>
          <w:szCs w:val="20"/>
        </w:rPr>
      </w:pPr>
    </w:p>
    <w:p w:rsidR="007E5123" w:rsidRDefault="007E5123" w:rsidP="007E5123">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330629">
        <w:rPr>
          <w:rFonts w:cs="Georgia"/>
          <w:color w:val="000000"/>
          <w:szCs w:val="20"/>
        </w:rPr>
        <w:lastRenderedPageBreak/>
        <w:t>Emissionen af SO</w:t>
      </w:r>
      <w:r w:rsidRPr="00330629">
        <w:rPr>
          <w:rFonts w:cs="Georgia"/>
          <w:color w:val="000000"/>
          <w:szCs w:val="20"/>
          <w:vertAlign w:val="subscript"/>
        </w:rPr>
        <w:t>2</w:t>
      </w:r>
      <w:r w:rsidRPr="00330629">
        <w:rPr>
          <w:rFonts w:cs="Georgia"/>
          <w:color w:val="000000"/>
          <w:szCs w:val="20"/>
        </w:rPr>
        <w:t xml:space="preserve"> fra andre end de af vilkår</w:t>
      </w:r>
      <w:r w:rsidR="00357C1C">
        <w:rPr>
          <w:rFonts w:cs="Georgia"/>
          <w:color w:val="000000"/>
          <w:szCs w:val="20"/>
        </w:rPr>
        <w:t xml:space="preserve"> 1 og</w:t>
      </w:r>
      <w:r w:rsidRPr="00330629">
        <w:rPr>
          <w:rFonts w:cs="Georgia"/>
          <w:color w:val="000000"/>
          <w:szCs w:val="20"/>
        </w:rPr>
        <w:t xml:space="preserve"> </w:t>
      </w:r>
      <w:r w:rsidR="004A7D95">
        <w:rPr>
          <w:rFonts w:cs="Georgia"/>
          <w:color w:val="000000"/>
          <w:szCs w:val="20"/>
        </w:rPr>
        <w:t>10</w:t>
      </w:r>
      <w:r w:rsidRPr="00330629">
        <w:rPr>
          <w:rFonts w:cs="Georgia"/>
          <w:color w:val="000000"/>
          <w:szCs w:val="20"/>
        </w:rPr>
        <w:t xml:space="preserve"> omfattede afkast må ved anvendelse af eget brændsel ikke overstige en SO</w:t>
      </w:r>
      <w:r w:rsidRPr="00330629">
        <w:rPr>
          <w:rFonts w:cs="Georgia"/>
          <w:color w:val="000000"/>
          <w:szCs w:val="20"/>
          <w:vertAlign w:val="subscript"/>
        </w:rPr>
        <w:t>2</w:t>
      </w:r>
      <w:r w:rsidRPr="00330629">
        <w:rPr>
          <w:rFonts w:cs="Georgia"/>
          <w:color w:val="000000"/>
          <w:szCs w:val="20"/>
        </w:rPr>
        <w:t>-udledning, der svarer til anvendelsen af fuelolie med et indholds af svovl, svarende til den til enhver tid fastsatte grænse for svovlindhold i fuelolie</w:t>
      </w:r>
      <w:r w:rsidR="00D16D7D" w:rsidRPr="00330629">
        <w:rPr>
          <w:rFonts w:cs="Georgia"/>
          <w:color w:val="000000"/>
          <w:szCs w:val="20"/>
        </w:rPr>
        <w:t xml:space="preserve"> i svovlbekendtgørelsen</w:t>
      </w:r>
      <w:r w:rsidR="00D16D7D">
        <w:rPr>
          <w:rStyle w:val="Fodnotehenvisning"/>
          <w:rFonts w:cs="Georgia"/>
          <w:color w:val="000000"/>
          <w:szCs w:val="20"/>
        </w:rPr>
        <w:footnoteReference w:id="3"/>
      </w:r>
      <w:r w:rsidR="00330629">
        <w:rPr>
          <w:rFonts w:cs="Georgia"/>
          <w:color w:val="000000"/>
          <w:szCs w:val="20"/>
        </w:rPr>
        <w:t>. Grænsen for S</w:t>
      </w:r>
      <w:r w:rsidR="00646681">
        <w:rPr>
          <w:rFonts w:cs="Georgia"/>
          <w:color w:val="000000"/>
          <w:szCs w:val="20"/>
        </w:rPr>
        <w:t>O</w:t>
      </w:r>
      <w:r w:rsidR="00330629">
        <w:rPr>
          <w:rFonts w:cs="Georgia"/>
          <w:color w:val="000000"/>
          <w:szCs w:val="20"/>
          <w:vertAlign w:val="subscript"/>
        </w:rPr>
        <w:t>2</w:t>
      </w:r>
      <w:r w:rsidR="00330629">
        <w:rPr>
          <w:rFonts w:cs="Georgia"/>
          <w:color w:val="000000"/>
          <w:szCs w:val="20"/>
        </w:rPr>
        <w:t>-udledning beregnes som det vægtede aritmetiske gennemsnit i løbet af et kalenderår.</w:t>
      </w:r>
    </w:p>
    <w:p w:rsidR="00330629" w:rsidRPr="00330629" w:rsidRDefault="00330629" w:rsidP="00330629">
      <w:pPr>
        <w:suppressAutoHyphens w:val="0"/>
        <w:autoSpaceDE w:val="0"/>
        <w:autoSpaceDN w:val="0"/>
        <w:adjustRightInd w:val="0"/>
        <w:spacing w:line="240" w:lineRule="auto"/>
        <w:rPr>
          <w:rFonts w:cs="Georgia"/>
          <w:color w:val="000000"/>
          <w:szCs w:val="20"/>
        </w:rPr>
      </w:pPr>
    </w:p>
    <w:p w:rsidR="00330629" w:rsidRDefault="00330629" w:rsidP="007E5123">
      <w:pPr>
        <w:pStyle w:val="Listeafsnit"/>
        <w:numPr>
          <w:ilvl w:val="0"/>
          <w:numId w:val="12"/>
        </w:numPr>
        <w:suppressAutoHyphens w:val="0"/>
        <w:autoSpaceDE w:val="0"/>
        <w:autoSpaceDN w:val="0"/>
        <w:adjustRightInd w:val="0"/>
        <w:spacing w:line="240" w:lineRule="auto"/>
        <w:ind w:left="360"/>
        <w:rPr>
          <w:rFonts w:cs="Georgia"/>
          <w:color w:val="000000"/>
          <w:szCs w:val="20"/>
        </w:rPr>
      </w:pPr>
      <w:r>
        <w:rPr>
          <w:rFonts w:cs="Georgia"/>
          <w:color w:val="000000"/>
          <w:szCs w:val="20"/>
        </w:rPr>
        <w:t>Emissionen af NO</w:t>
      </w:r>
      <w:r>
        <w:rPr>
          <w:rFonts w:cs="Georgia"/>
          <w:color w:val="000000"/>
          <w:szCs w:val="20"/>
          <w:vertAlign w:val="subscript"/>
        </w:rPr>
        <w:t>x</w:t>
      </w:r>
      <w:r>
        <w:rPr>
          <w:rFonts w:cs="Georgia"/>
          <w:color w:val="000000"/>
          <w:szCs w:val="20"/>
        </w:rPr>
        <w:t xml:space="preserve"> fra andre end de af vilkår</w:t>
      </w:r>
      <w:r w:rsidR="00357C1C">
        <w:rPr>
          <w:rFonts w:cs="Georgia"/>
          <w:color w:val="000000"/>
          <w:szCs w:val="20"/>
        </w:rPr>
        <w:t xml:space="preserve"> 1 og</w:t>
      </w:r>
      <w:r>
        <w:rPr>
          <w:rFonts w:cs="Georgia"/>
          <w:color w:val="000000"/>
          <w:szCs w:val="20"/>
        </w:rPr>
        <w:t xml:space="preserve"> </w:t>
      </w:r>
      <w:r w:rsidR="004A7D95">
        <w:rPr>
          <w:rFonts w:cs="Georgia"/>
          <w:color w:val="000000"/>
          <w:szCs w:val="20"/>
        </w:rPr>
        <w:t>10</w:t>
      </w:r>
      <w:r>
        <w:rPr>
          <w:rFonts w:cs="Georgia"/>
          <w:color w:val="000000"/>
          <w:szCs w:val="20"/>
        </w:rPr>
        <w:t xml:space="preserve"> omfattede afkast må ikke overstige 225 mg/Nm</w:t>
      </w:r>
      <w:r>
        <w:rPr>
          <w:rFonts w:cs="Georgia"/>
          <w:color w:val="000000"/>
          <w:szCs w:val="20"/>
          <w:vertAlign w:val="superscript"/>
        </w:rPr>
        <w:t>3</w:t>
      </w:r>
      <w:r>
        <w:rPr>
          <w:rFonts w:cs="Georgia"/>
          <w:color w:val="000000"/>
          <w:szCs w:val="20"/>
        </w:rPr>
        <w:t xml:space="preserve"> tør røggas ved referencetilstanden 3,0 % O</w:t>
      </w:r>
      <w:r>
        <w:rPr>
          <w:rFonts w:cs="Georgia"/>
          <w:color w:val="000000"/>
          <w:szCs w:val="20"/>
          <w:vertAlign w:val="subscript"/>
        </w:rPr>
        <w:t>2</w:t>
      </w:r>
      <w:r>
        <w:rPr>
          <w:rFonts w:cs="Georgia"/>
          <w:color w:val="000000"/>
          <w:szCs w:val="20"/>
        </w:rPr>
        <w:t>. Grænseværdien gælder som månedsgennemsnit.</w:t>
      </w:r>
    </w:p>
    <w:p w:rsidR="00330629" w:rsidRPr="00330629" w:rsidRDefault="00330629" w:rsidP="00330629">
      <w:pPr>
        <w:pStyle w:val="Listeafsnit"/>
        <w:rPr>
          <w:rFonts w:cs="Georgia"/>
          <w:color w:val="000000"/>
          <w:szCs w:val="20"/>
        </w:rPr>
      </w:pPr>
    </w:p>
    <w:p w:rsidR="00330629" w:rsidRPr="00330629" w:rsidRDefault="00330629" w:rsidP="007E5123">
      <w:pPr>
        <w:pStyle w:val="Listeafsnit"/>
        <w:numPr>
          <w:ilvl w:val="0"/>
          <w:numId w:val="12"/>
        </w:numPr>
        <w:suppressAutoHyphens w:val="0"/>
        <w:autoSpaceDE w:val="0"/>
        <w:autoSpaceDN w:val="0"/>
        <w:adjustRightInd w:val="0"/>
        <w:spacing w:line="240" w:lineRule="auto"/>
        <w:ind w:left="360"/>
        <w:rPr>
          <w:rFonts w:cs="Georgia"/>
          <w:color w:val="000000"/>
          <w:szCs w:val="20"/>
        </w:rPr>
      </w:pPr>
      <w:r>
        <w:rPr>
          <w:rFonts w:cs="Georgia"/>
          <w:color w:val="000000"/>
          <w:szCs w:val="20"/>
        </w:rPr>
        <w:t xml:space="preserve">Emissionen af støv fra andre end de af vilkår </w:t>
      </w:r>
      <w:r w:rsidR="00357C1C">
        <w:rPr>
          <w:rFonts w:cs="Georgia"/>
          <w:color w:val="000000"/>
          <w:szCs w:val="20"/>
        </w:rPr>
        <w:t xml:space="preserve">1 og </w:t>
      </w:r>
      <w:r w:rsidR="004A7D95">
        <w:rPr>
          <w:rFonts w:cs="Georgia"/>
          <w:color w:val="000000"/>
          <w:szCs w:val="20"/>
        </w:rPr>
        <w:t>10</w:t>
      </w:r>
      <w:r>
        <w:rPr>
          <w:rFonts w:cs="Georgia"/>
          <w:color w:val="000000"/>
          <w:szCs w:val="20"/>
        </w:rPr>
        <w:t xml:space="preserve"> omfattede afkast må ikke overstige 5 mg/Nm</w:t>
      </w:r>
      <w:r>
        <w:rPr>
          <w:rFonts w:cs="Georgia"/>
          <w:color w:val="000000"/>
          <w:szCs w:val="20"/>
          <w:vertAlign w:val="superscript"/>
        </w:rPr>
        <w:t>3</w:t>
      </w:r>
      <w:r>
        <w:rPr>
          <w:rFonts w:cs="Georgia"/>
          <w:color w:val="000000"/>
          <w:szCs w:val="20"/>
        </w:rPr>
        <w:t xml:space="preserve"> tør røggas ved referencetilstanden 3,0 % O</w:t>
      </w:r>
      <w:r>
        <w:rPr>
          <w:rFonts w:cs="Georgia"/>
          <w:color w:val="000000"/>
          <w:szCs w:val="20"/>
          <w:vertAlign w:val="subscript"/>
        </w:rPr>
        <w:t>2</w:t>
      </w:r>
      <w:r>
        <w:rPr>
          <w:rFonts w:cs="Georgia"/>
          <w:color w:val="000000"/>
          <w:szCs w:val="20"/>
        </w:rPr>
        <w:t>. Grænseværdien gælder som månedsgennemsnit.</w:t>
      </w:r>
    </w:p>
    <w:p w:rsidR="007E5123" w:rsidRPr="007E5123" w:rsidRDefault="007E5123" w:rsidP="007E5123">
      <w:pPr>
        <w:suppressAutoHyphens w:val="0"/>
        <w:autoSpaceDE w:val="0"/>
        <w:autoSpaceDN w:val="0"/>
        <w:adjustRightInd w:val="0"/>
        <w:spacing w:line="240" w:lineRule="auto"/>
        <w:rPr>
          <w:rFonts w:cs="Georgia"/>
          <w:color w:val="000000"/>
          <w:szCs w:val="20"/>
        </w:rPr>
      </w:pPr>
    </w:p>
    <w:p w:rsidR="007E5123" w:rsidRPr="007E5123" w:rsidRDefault="007E5123" w:rsidP="007E5123">
      <w:pPr>
        <w:suppressAutoHyphens w:val="0"/>
        <w:autoSpaceDE w:val="0"/>
        <w:autoSpaceDN w:val="0"/>
        <w:adjustRightInd w:val="0"/>
        <w:spacing w:line="240" w:lineRule="auto"/>
        <w:ind w:left="360"/>
        <w:rPr>
          <w:rFonts w:cs="Georgia"/>
          <w:color w:val="000000"/>
          <w:szCs w:val="20"/>
        </w:rPr>
      </w:pPr>
      <w:r w:rsidRPr="007E5123">
        <w:rPr>
          <w:rFonts w:cs="Georgia"/>
          <w:b/>
          <w:bCs/>
          <w:color w:val="000000"/>
          <w:szCs w:val="20"/>
        </w:rPr>
        <w:t xml:space="preserve">Kontrolregler for kontinuerlige målinger </w:t>
      </w:r>
    </w:p>
    <w:p w:rsidR="00AB41EF" w:rsidRPr="00AB41EF" w:rsidRDefault="00AB41EF" w:rsidP="00AB41EF">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Emissionsgrænseværdierne for SO2, NOx og støv i vilkår </w:t>
      </w:r>
      <w:r w:rsidR="004A7D95">
        <w:rPr>
          <w:rFonts w:cs="Georgia"/>
          <w:color w:val="000000"/>
          <w:szCs w:val="20"/>
        </w:rPr>
        <w:t>10</w:t>
      </w:r>
      <w:r w:rsidRPr="00AB41EF">
        <w:rPr>
          <w:rFonts w:cs="Georgia"/>
          <w:color w:val="000000"/>
          <w:szCs w:val="20"/>
        </w:rPr>
        <w:t xml:space="preserve"> anses for overholdt, hvis: </w:t>
      </w:r>
    </w:p>
    <w:p w:rsidR="00AB41EF" w:rsidRPr="00AB41EF" w:rsidRDefault="00AB41EF" w:rsidP="00AB41EF">
      <w:pPr>
        <w:suppressAutoHyphens w:val="0"/>
        <w:autoSpaceDE w:val="0"/>
        <w:autoSpaceDN w:val="0"/>
        <w:adjustRightInd w:val="0"/>
        <w:spacing w:line="240" w:lineRule="auto"/>
        <w:rPr>
          <w:rFonts w:cs="Georgia"/>
          <w:color w:val="000000"/>
          <w:szCs w:val="20"/>
        </w:rPr>
      </w:pPr>
    </w:p>
    <w:p w:rsidR="00AB41EF" w:rsidRPr="00AB41EF" w:rsidRDefault="00AB41EF" w:rsidP="00AB41EF">
      <w:pPr>
        <w:pStyle w:val="Listeafsnit"/>
        <w:numPr>
          <w:ilvl w:val="1"/>
          <w:numId w:val="13"/>
        </w:numPr>
        <w:suppressAutoHyphens w:val="0"/>
        <w:autoSpaceDE w:val="0"/>
        <w:autoSpaceDN w:val="0"/>
        <w:adjustRightInd w:val="0"/>
        <w:spacing w:line="240" w:lineRule="auto"/>
        <w:rPr>
          <w:rFonts w:cs="Georgia"/>
          <w:color w:val="000000"/>
          <w:szCs w:val="20"/>
        </w:rPr>
      </w:pPr>
      <w:r w:rsidRPr="00AB41EF">
        <w:rPr>
          <w:rFonts w:cs="Georgia"/>
          <w:color w:val="000000"/>
          <w:szCs w:val="20"/>
        </w:rPr>
        <w:t xml:space="preserve">De månedlige gennemsnitsværdier af emissionskoncentrationerne ikke overskrider emissionsgrænseværdien </w:t>
      </w:r>
    </w:p>
    <w:p w:rsidR="00AB41EF" w:rsidRPr="00AB41EF" w:rsidRDefault="00AB41EF" w:rsidP="00AB41EF">
      <w:pPr>
        <w:suppressAutoHyphens w:val="0"/>
        <w:autoSpaceDE w:val="0"/>
        <w:autoSpaceDN w:val="0"/>
        <w:adjustRightInd w:val="0"/>
        <w:spacing w:line="240" w:lineRule="auto"/>
        <w:rPr>
          <w:rFonts w:cs="Georgia"/>
          <w:color w:val="000000"/>
          <w:szCs w:val="20"/>
        </w:rPr>
      </w:pPr>
    </w:p>
    <w:p w:rsidR="00AB41EF" w:rsidRPr="00AB41EF" w:rsidRDefault="00AB41EF" w:rsidP="00AB41EF">
      <w:pPr>
        <w:pStyle w:val="Listeafsnit"/>
        <w:numPr>
          <w:ilvl w:val="1"/>
          <w:numId w:val="13"/>
        </w:numPr>
        <w:suppressAutoHyphens w:val="0"/>
        <w:autoSpaceDE w:val="0"/>
        <w:autoSpaceDN w:val="0"/>
        <w:adjustRightInd w:val="0"/>
        <w:spacing w:line="240" w:lineRule="auto"/>
        <w:rPr>
          <w:rFonts w:cs="Georgia"/>
          <w:color w:val="000000"/>
          <w:szCs w:val="20"/>
        </w:rPr>
      </w:pPr>
      <w:r w:rsidRPr="00AB41EF">
        <w:rPr>
          <w:rFonts w:cs="Georgia"/>
          <w:color w:val="000000"/>
          <w:szCs w:val="20"/>
        </w:rPr>
        <w:t xml:space="preserve">Døgnmiddelværdierne af emissionskoncentrationerne ikke overskrider 110 % af emissionsgrænseværdien </w:t>
      </w:r>
    </w:p>
    <w:p w:rsidR="00AB41EF" w:rsidRPr="00AB41EF" w:rsidRDefault="00AB41EF" w:rsidP="00AB41EF">
      <w:pPr>
        <w:suppressAutoHyphens w:val="0"/>
        <w:autoSpaceDE w:val="0"/>
        <w:autoSpaceDN w:val="0"/>
        <w:adjustRightInd w:val="0"/>
        <w:spacing w:line="240" w:lineRule="auto"/>
        <w:rPr>
          <w:rFonts w:cs="Georgia"/>
          <w:color w:val="000000"/>
          <w:szCs w:val="20"/>
        </w:rPr>
      </w:pPr>
    </w:p>
    <w:p w:rsidR="00AB41EF" w:rsidRPr="00AB41EF" w:rsidRDefault="00AB41EF" w:rsidP="00AB41EF">
      <w:pPr>
        <w:pStyle w:val="Listeafsnit"/>
        <w:numPr>
          <w:ilvl w:val="1"/>
          <w:numId w:val="13"/>
        </w:numPr>
        <w:suppressAutoHyphens w:val="0"/>
        <w:autoSpaceDE w:val="0"/>
        <w:autoSpaceDN w:val="0"/>
        <w:adjustRightInd w:val="0"/>
        <w:spacing w:line="240" w:lineRule="auto"/>
        <w:rPr>
          <w:rFonts w:cs="Georgia"/>
          <w:color w:val="000000"/>
          <w:szCs w:val="20"/>
        </w:rPr>
      </w:pPr>
      <w:r w:rsidRPr="00AB41EF">
        <w:rPr>
          <w:rFonts w:cs="Georgia"/>
          <w:color w:val="000000"/>
          <w:szCs w:val="20"/>
        </w:rPr>
        <w:t xml:space="preserve">Mindst 95 % af alle timegennemsnitsværdier af emissionskoncentrationerne i årets løb ikke overskrider 200 % af emissionsgrænseværdien. </w:t>
      </w:r>
    </w:p>
    <w:p w:rsidR="00AB41EF" w:rsidRPr="00AB41EF" w:rsidRDefault="00AB41EF" w:rsidP="00AB41EF">
      <w:pPr>
        <w:suppressAutoHyphens w:val="0"/>
        <w:autoSpaceDE w:val="0"/>
        <w:autoSpaceDN w:val="0"/>
        <w:adjustRightInd w:val="0"/>
        <w:spacing w:line="240" w:lineRule="auto"/>
        <w:rPr>
          <w:rFonts w:cs="Georgia"/>
          <w:color w:val="000000"/>
          <w:szCs w:val="20"/>
        </w:rPr>
      </w:pPr>
    </w:p>
    <w:p w:rsid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Hvis de respektive AMS målere har bestået kvalitetskravene i DS/EN14181, jf. </w:t>
      </w:r>
      <w:r w:rsidR="00B03FF9">
        <w:rPr>
          <w:rFonts w:cs="Georgia"/>
          <w:szCs w:val="20"/>
        </w:rPr>
        <w:t xml:space="preserve">vilkår </w:t>
      </w:r>
      <w:r w:rsidR="00AE14B6">
        <w:rPr>
          <w:rFonts w:cs="Georgia"/>
          <w:szCs w:val="20"/>
        </w:rPr>
        <w:t>6</w:t>
      </w:r>
      <w:r w:rsidRPr="00AB41EF">
        <w:rPr>
          <w:rFonts w:cs="Georgia"/>
          <w:color w:val="000000"/>
          <w:szCs w:val="20"/>
        </w:rPr>
        <w:t xml:space="preserve">, må konfidensintervallet/usikkerheden, jf. </w:t>
      </w:r>
      <w:r w:rsidR="00B03FF9">
        <w:rPr>
          <w:rFonts w:cs="Georgia"/>
          <w:color w:val="000000"/>
          <w:szCs w:val="20"/>
        </w:rPr>
        <w:t xml:space="preserve">vilkår </w:t>
      </w:r>
      <w:r w:rsidR="00AE14B6">
        <w:rPr>
          <w:rFonts w:cs="Georgia"/>
          <w:color w:val="000000"/>
          <w:szCs w:val="20"/>
        </w:rPr>
        <w:t>4</w:t>
      </w:r>
      <w:r w:rsidRPr="00AB41EF">
        <w:rPr>
          <w:rFonts w:cs="Georgia"/>
          <w:color w:val="000000"/>
          <w:szCs w:val="20"/>
        </w:rPr>
        <w:t xml:space="preserve"> trækkes fra de målte emissionsgrænseværdier. </w:t>
      </w: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p>
    <w:p w:rsid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Døgnmiddelværdier er ugyldige, når mere end tre timegennemsnits-værdier indenfor døgnet må kasseres som følge af manglende eller upålidelige målinger. </w:t>
      </w: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p>
    <w:p w:rsidR="00125A07"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Ved bestemmelse af emissionerne kan </w:t>
      </w:r>
      <w:r w:rsidR="00406260">
        <w:rPr>
          <w:rFonts w:cs="Georgia"/>
          <w:color w:val="000000"/>
          <w:szCs w:val="20"/>
        </w:rPr>
        <w:t>Statoil</w:t>
      </w:r>
      <w:r w:rsidRPr="00AB41EF">
        <w:rPr>
          <w:rFonts w:cs="Georgia"/>
          <w:color w:val="000000"/>
          <w:szCs w:val="20"/>
        </w:rPr>
        <w:t xml:space="preserve"> udelade måleresultater i opstarts</w:t>
      </w:r>
      <w:r w:rsidR="00885163">
        <w:rPr>
          <w:rFonts w:cs="Georgia"/>
          <w:color w:val="000000"/>
          <w:szCs w:val="20"/>
        </w:rPr>
        <w:t>- og nedluknings</w:t>
      </w:r>
      <w:r w:rsidR="00425E50">
        <w:rPr>
          <w:rFonts w:cs="Georgia"/>
          <w:color w:val="000000"/>
          <w:szCs w:val="20"/>
        </w:rPr>
        <w:t>perioder.</w:t>
      </w:r>
    </w:p>
    <w:p w:rsidR="00425E50" w:rsidRDefault="00425E50" w:rsidP="00AB41EF">
      <w:pPr>
        <w:suppressAutoHyphens w:val="0"/>
        <w:autoSpaceDE w:val="0"/>
        <w:autoSpaceDN w:val="0"/>
        <w:adjustRightInd w:val="0"/>
        <w:spacing w:line="240" w:lineRule="auto"/>
        <w:ind w:left="360"/>
        <w:rPr>
          <w:rFonts w:cs="Georgia"/>
          <w:color w:val="000000"/>
          <w:szCs w:val="20"/>
        </w:rPr>
      </w:pPr>
    </w:p>
    <w:p w:rsidR="00425E50" w:rsidRDefault="00425E50" w:rsidP="00425E50">
      <w:pPr>
        <w:pStyle w:val="Listeafsnit"/>
        <w:suppressAutoHyphens w:val="0"/>
        <w:autoSpaceDE w:val="0"/>
        <w:autoSpaceDN w:val="0"/>
        <w:adjustRightInd w:val="0"/>
        <w:spacing w:line="240" w:lineRule="auto"/>
        <w:ind w:left="360"/>
        <w:rPr>
          <w:iCs/>
          <w:szCs w:val="20"/>
        </w:rPr>
      </w:pPr>
      <w:r w:rsidRPr="00425E50">
        <w:rPr>
          <w:iCs/>
          <w:szCs w:val="20"/>
        </w:rPr>
        <w:t>I ovne og kedler er opstartsperioden fra start af forbrænding, indtil der er opnået stabil røggastemperatur ved den dellast der normalt startes op.</w:t>
      </w:r>
    </w:p>
    <w:p w:rsidR="00014958" w:rsidRPr="00425E50" w:rsidRDefault="00014958" w:rsidP="00425E50">
      <w:pPr>
        <w:pStyle w:val="Listeafsnit"/>
        <w:suppressAutoHyphens w:val="0"/>
        <w:autoSpaceDE w:val="0"/>
        <w:autoSpaceDN w:val="0"/>
        <w:adjustRightInd w:val="0"/>
        <w:spacing w:line="240" w:lineRule="auto"/>
        <w:ind w:left="360"/>
        <w:rPr>
          <w:iCs/>
          <w:szCs w:val="20"/>
        </w:rPr>
      </w:pPr>
    </w:p>
    <w:p w:rsidR="00425E50" w:rsidRPr="00425E50" w:rsidRDefault="00425E50" w:rsidP="00425E50">
      <w:pPr>
        <w:pStyle w:val="Listeafsnit"/>
        <w:suppressAutoHyphens w:val="0"/>
        <w:autoSpaceDE w:val="0"/>
        <w:autoSpaceDN w:val="0"/>
        <w:adjustRightInd w:val="0"/>
        <w:spacing w:line="240" w:lineRule="auto"/>
        <w:ind w:left="360"/>
        <w:rPr>
          <w:rFonts w:cs="Georgia"/>
          <w:color w:val="000000"/>
          <w:szCs w:val="20"/>
        </w:rPr>
      </w:pPr>
      <w:r w:rsidRPr="00425E50">
        <w:rPr>
          <w:iCs/>
          <w:szCs w:val="20"/>
        </w:rPr>
        <w:t>Der er ikke nogen nedlukningsperiode, idet forbrændingen ophører, når brændstoftilførslen stoppes.</w:t>
      </w:r>
    </w:p>
    <w:p w:rsidR="00125A07" w:rsidRDefault="00125A07" w:rsidP="00AB41EF">
      <w:pPr>
        <w:suppressAutoHyphens w:val="0"/>
        <w:autoSpaceDE w:val="0"/>
        <w:autoSpaceDN w:val="0"/>
        <w:adjustRightInd w:val="0"/>
        <w:spacing w:line="240" w:lineRule="auto"/>
        <w:ind w:left="360"/>
        <w:rPr>
          <w:rFonts w:cs="Georgia"/>
          <w:color w:val="000000"/>
          <w:szCs w:val="20"/>
        </w:rPr>
      </w:pP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r w:rsidRPr="00B03FF9">
        <w:rPr>
          <w:rFonts w:cs="Georgia"/>
          <w:b/>
          <w:bCs/>
          <w:color w:val="000000"/>
          <w:szCs w:val="20"/>
        </w:rPr>
        <w:t>Kontrolregler for præstationsmålinger</w:t>
      </w:r>
      <w:r w:rsidRPr="00AB41EF">
        <w:rPr>
          <w:rFonts w:cs="Georgia"/>
          <w:b/>
          <w:bCs/>
          <w:color w:val="000000"/>
          <w:szCs w:val="20"/>
        </w:rPr>
        <w:t xml:space="preserve"> </w:t>
      </w:r>
    </w:p>
    <w:p w:rsidR="0019527D" w:rsidRDefault="0019527D" w:rsidP="0019527D">
      <w:pPr>
        <w:pStyle w:val="Listeafsnit"/>
        <w:numPr>
          <w:ilvl w:val="0"/>
          <w:numId w:val="12"/>
        </w:numPr>
        <w:suppressAutoHyphens w:val="0"/>
        <w:autoSpaceDE w:val="0"/>
        <w:autoSpaceDN w:val="0"/>
        <w:adjustRightInd w:val="0"/>
        <w:spacing w:line="240" w:lineRule="auto"/>
        <w:ind w:left="360"/>
        <w:rPr>
          <w:rFonts w:cs="Georgia"/>
          <w:color w:val="000000"/>
          <w:szCs w:val="20"/>
        </w:rPr>
      </w:pPr>
      <w:bookmarkStart w:id="10" w:name="_Ref427841202"/>
      <w:bookmarkStart w:id="11" w:name="_Ref428780074"/>
      <w:r>
        <w:rPr>
          <w:rFonts w:cs="Georgia"/>
          <w:color w:val="000000"/>
          <w:szCs w:val="20"/>
        </w:rPr>
        <w:t>Der skal i afkast 4 samt afkast 5+6</w:t>
      </w:r>
      <w:r w:rsidRPr="00DB7737">
        <w:rPr>
          <w:rFonts w:cs="Georgia"/>
          <w:color w:val="000000"/>
          <w:szCs w:val="20"/>
        </w:rPr>
        <w:t xml:space="preserve"> </w:t>
      </w:r>
      <w:r>
        <w:rPr>
          <w:rFonts w:cs="Georgia"/>
          <w:color w:val="000000"/>
          <w:szCs w:val="20"/>
        </w:rPr>
        <w:t>mindst hver 6. måned ske måling af</w:t>
      </w:r>
      <w:r w:rsidR="00C63CC4">
        <w:rPr>
          <w:rFonts w:cs="Georgia"/>
          <w:color w:val="000000"/>
          <w:szCs w:val="20"/>
        </w:rPr>
        <w:t xml:space="preserve"> CO,</w:t>
      </w:r>
      <w:r>
        <w:rPr>
          <w:rFonts w:cs="Georgia"/>
          <w:color w:val="000000"/>
          <w:szCs w:val="20"/>
        </w:rPr>
        <w:t xml:space="preserve"> SO</w:t>
      </w:r>
      <w:r>
        <w:rPr>
          <w:rFonts w:cs="Georgia"/>
          <w:color w:val="000000"/>
          <w:szCs w:val="20"/>
          <w:vertAlign w:val="subscript"/>
        </w:rPr>
        <w:t>2</w:t>
      </w:r>
      <w:r>
        <w:rPr>
          <w:rFonts w:cs="Georgia"/>
          <w:color w:val="000000"/>
          <w:szCs w:val="20"/>
        </w:rPr>
        <w:t xml:space="preserve"> og støv. </w:t>
      </w:r>
    </w:p>
    <w:p w:rsidR="0019527D" w:rsidRPr="0019527D" w:rsidRDefault="0019527D" w:rsidP="0019527D">
      <w:pPr>
        <w:suppressAutoHyphens w:val="0"/>
        <w:autoSpaceDE w:val="0"/>
        <w:autoSpaceDN w:val="0"/>
        <w:adjustRightInd w:val="0"/>
        <w:spacing w:line="240" w:lineRule="auto"/>
        <w:ind w:left="360"/>
        <w:rPr>
          <w:rFonts w:cs="Georgia"/>
          <w:color w:val="000000"/>
          <w:szCs w:val="20"/>
        </w:rPr>
      </w:pPr>
    </w:p>
    <w:p w:rsidR="0019527D" w:rsidRPr="0019527D" w:rsidRDefault="008277B0" w:rsidP="0019527D">
      <w:pPr>
        <w:suppressAutoHyphens w:val="0"/>
        <w:autoSpaceDE w:val="0"/>
        <w:autoSpaceDN w:val="0"/>
        <w:adjustRightInd w:val="0"/>
        <w:spacing w:line="240" w:lineRule="auto"/>
        <w:ind w:left="360"/>
        <w:rPr>
          <w:rFonts w:cs="Georgia"/>
          <w:color w:val="000000"/>
          <w:szCs w:val="20"/>
        </w:rPr>
      </w:pPr>
      <w:r>
        <w:rPr>
          <w:rFonts w:cs="Georgia"/>
          <w:color w:val="000000"/>
          <w:szCs w:val="20"/>
        </w:rPr>
        <w:t>M</w:t>
      </w:r>
      <w:r w:rsidR="0019527D" w:rsidRPr="0019527D">
        <w:rPr>
          <w:rFonts w:cs="Georgia"/>
          <w:color w:val="000000"/>
          <w:szCs w:val="20"/>
        </w:rPr>
        <w:t>åli</w:t>
      </w:r>
      <w:r w:rsidR="0019527D">
        <w:rPr>
          <w:rFonts w:cs="Georgia"/>
          <w:color w:val="000000"/>
          <w:szCs w:val="20"/>
        </w:rPr>
        <w:t xml:space="preserve">ngen </w:t>
      </w:r>
      <w:r>
        <w:rPr>
          <w:rFonts w:cs="Georgia"/>
          <w:color w:val="000000"/>
          <w:szCs w:val="20"/>
        </w:rPr>
        <w:t xml:space="preserve">af </w:t>
      </w:r>
      <w:r w:rsidR="0019527D">
        <w:rPr>
          <w:rFonts w:cs="Georgia"/>
          <w:color w:val="000000"/>
          <w:szCs w:val="20"/>
        </w:rPr>
        <w:t>S</w:t>
      </w:r>
      <w:r w:rsidR="0019527D" w:rsidRPr="0019527D">
        <w:rPr>
          <w:rFonts w:cs="Georgia"/>
          <w:color w:val="000000"/>
          <w:szCs w:val="20"/>
        </w:rPr>
        <w:t>O</w:t>
      </w:r>
      <w:r w:rsidR="0019527D" w:rsidRPr="0019527D">
        <w:rPr>
          <w:rFonts w:cs="Georgia"/>
          <w:color w:val="000000"/>
          <w:szCs w:val="20"/>
          <w:vertAlign w:val="subscript"/>
        </w:rPr>
        <w:t>2</w:t>
      </w:r>
      <w:r w:rsidR="0019527D">
        <w:rPr>
          <w:rFonts w:cs="Georgia"/>
          <w:color w:val="000000"/>
          <w:szCs w:val="20"/>
        </w:rPr>
        <w:t xml:space="preserve"> </w:t>
      </w:r>
      <w:r>
        <w:rPr>
          <w:rFonts w:cs="Georgia"/>
          <w:color w:val="000000"/>
          <w:szCs w:val="20"/>
        </w:rPr>
        <w:t xml:space="preserve">kan </w:t>
      </w:r>
      <w:r w:rsidR="0019527D" w:rsidRPr="008277B0">
        <w:rPr>
          <w:rFonts w:cs="Georgia"/>
          <w:color w:val="000000"/>
          <w:szCs w:val="20"/>
        </w:rPr>
        <w:t>efter</w:t>
      </w:r>
      <w:r w:rsidR="0019527D">
        <w:rPr>
          <w:rFonts w:cs="Georgia"/>
          <w:color w:val="000000"/>
          <w:szCs w:val="20"/>
        </w:rPr>
        <w:t xml:space="preserve"> aftale med tilsynsmyndigheden erstattes med andre fremgangsmåder, der anvender relevante CEN-standarder eller, hvis der ikke foreligger CEN-standarder, ISO-standarder eller nationale eller andre internationale standarder, der sikrer data af tilsvarende videnskabelig kvalitet</w:t>
      </w:r>
      <w:r w:rsidR="0019527D" w:rsidRPr="0019527D">
        <w:rPr>
          <w:rFonts w:cs="Georgia"/>
          <w:color w:val="000000"/>
          <w:szCs w:val="20"/>
        </w:rPr>
        <w:t>.</w:t>
      </w:r>
    </w:p>
    <w:p w:rsidR="0019527D" w:rsidRPr="0019527D" w:rsidRDefault="0019527D" w:rsidP="0019527D">
      <w:pPr>
        <w:suppressAutoHyphens w:val="0"/>
        <w:autoSpaceDE w:val="0"/>
        <w:autoSpaceDN w:val="0"/>
        <w:adjustRightInd w:val="0"/>
        <w:spacing w:line="240" w:lineRule="auto"/>
        <w:ind w:left="-66"/>
        <w:rPr>
          <w:rFonts w:cs="Georgia"/>
          <w:color w:val="000000"/>
          <w:szCs w:val="20"/>
        </w:rPr>
      </w:pPr>
    </w:p>
    <w:p w:rsidR="002533CD" w:rsidRDefault="002533CD" w:rsidP="002533CD">
      <w:pPr>
        <w:pStyle w:val="Listeafsnit"/>
        <w:numPr>
          <w:ilvl w:val="0"/>
          <w:numId w:val="12"/>
        </w:numPr>
        <w:suppressAutoHyphens w:val="0"/>
        <w:autoSpaceDE w:val="0"/>
        <w:autoSpaceDN w:val="0"/>
        <w:adjustRightInd w:val="0"/>
        <w:spacing w:line="240" w:lineRule="auto"/>
        <w:ind w:left="360" w:hanging="426"/>
        <w:rPr>
          <w:rFonts w:cs="Georgia"/>
          <w:color w:val="000000"/>
          <w:szCs w:val="20"/>
        </w:rPr>
      </w:pPr>
      <w:r w:rsidRPr="00125A07">
        <w:rPr>
          <w:rFonts w:cs="Georgia"/>
          <w:color w:val="000000"/>
          <w:szCs w:val="20"/>
        </w:rPr>
        <w:t>Tilsynsmyndigheden kan bestemme, at virksomheden skal dokumentere, at grænseværdierne</w:t>
      </w:r>
      <w:r w:rsidR="004F4509">
        <w:rPr>
          <w:rFonts w:cs="Georgia"/>
          <w:color w:val="000000"/>
          <w:szCs w:val="20"/>
        </w:rPr>
        <w:t xml:space="preserve"> for maksimalt tilladeligt immissionskoncentrationsbidrag fra hele virksomheden</w:t>
      </w:r>
      <w:r w:rsidRPr="00125A07">
        <w:rPr>
          <w:rFonts w:cs="Georgia"/>
          <w:color w:val="000000"/>
          <w:szCs w:val="20"/>
        </w:rPr>
        <w:t xml:space="preserve"> i vilkår </w:t>
      </w:r>
      <w:r w:rsidR="004A7D95">
        <w:rPr>
          <w:rFonts w:cs="Georgia"/>
          <w:color w:val="000000"/>
          <w:szCs w:val="20"/>
        </w:rPr>
        <w:t>11, 12 og 13</w:t>
      </w:r>
      <w:r>
        <w:rPr>
          <w:rFonts w:cs="Georgia"/>
          <w:color w:val="000000"/>
          <w:szCs w:val="20"/>
        </w:rPr>
        <w:t xml:space="preserve"> er overholdt</w:t>
      </w:r>
      <w:r w:rsidRPr="00125A07">
        <w:rPr>
          <w:rFonts w:cs="Georgia"/>
          <w:color w:val="000000"/>
          <w:szCs w:val="20"/>
        </w:rPr>
        <w:t>.</w:t>
      </w:r>
    </w:p>
    <w:p w:rsidR="002533CD" w:rsidRDefault="002533CD" w:rsidP="002533CD">
      <w:pPr>
        <w:suppressAutoHyphens w:val="0"/>
        <w:autoSpaceDE w:val="0"/>
        <w:autoSpaceDN w:val="0"/>
        <w:adjustRightInd w:val="0"/>
        <w:spacing w:line="240" w:lineRule="auto"/>
        <w:ind w:left="360"/>
        <w:rPr>
          <w:rFonts w:cs="Georgia"/>
          <w:color w:val="000000"/>
          <w:szCs w:val="20"/>
        </w:rPr>
      </w:pPr>
    </w:p>
    <w:p w:rsidR="002533CD" w:rsidRDefault="002533CD" w:rsidP="002533CD">
      <w:pPr>
        <w:suppressAutoHyphens w:val="0"/>
        <w:autoSpaceDE w:val="0"/>
        <w:autoSpaceDN w:val="0"/>
        <w:adjustRightInd w:val="0"/>
        <w:spacing w:line="240" w:lineRule="auto"/>
        <w:ind w:left="360"/>
        <w:rPr>
          <w:rFonts w:cs="Georgia"/>
          <w:color w:val="000000"/>
          <w:szCs w:val="20"/>
        </w:rPr>
      </w:pPr>
      <w:r>
        <w:rPr>
          <w:rFonts w:cs="Georgia"/>
          <w:color w:val="000000"/>
          <w:szCs w:val="20"/>
        </w:rPr>
        <w:t xml:space="preserve">Dokumentationen skal senest </w:t>
      </w:r>
      <w:r w:rsidR="004F4509">
        <w:rPr>
          <w:rFonts w:cs="Georgia"/>
          <w:color w:val="000000"/>
          <w:szCs w:val="20"/>
        </w:rPr>
        <w:t>3</w:t>
      </w:r>
      <w:r>
        <w:rPr>
          <w:rFonts w:cs="Georgia"/>
          <w:color w:val="000000"/>
          <w:szCs w:val="20"/>
        </w:rPr>
        <w:t xml:space="preserve"> måneder efter, at kravet er fremsat, tilsendes tilsynsmyndigheden sammen med oplysninger om driftsforholdene under målingen. Dokumentationen skal efter forlangende fremsendes både i papirformat og digitalt.</w:t>
      </w:r>
    </w:p>
    <w:p w:rsidR="002533CD" w:rsidRDefault="002533CD" w:rsidP="002533CD">
      <w:pPr>
        <w:suppressAutoHyphens w:val="0"/>
        <w:autoSpaceDE w:val="0"/>
        <w:autoSpaceDN w:val="0"/>
        <w:adjustRightInd w:val="0"/>
        <w:spacing w:line="240" w:lineRule="auto"/>
        <w:ind w:left="360"/>
        <w:rPr>
          <w:rFonts w:cs="Georgia"/>
          <w:color w:val="000000"/>
          <w:szCs w:val="20"/>
        </w:rPr>
      </w:pPr>
    </w:p>
    <w:p w:rsidR="002533CD" w:rsidRDefault="002533CD" w:rsidP="002533CD">
      <w:pPr>
        <w:suppressAutoHyphens w:val="0"/>
        <w:autoSpaceDE w:val="0"/>
        <w:autoSpaceDN w:val="0"/>
        <w:adjustRightInd w:val="0"/>
        <w:spacing w:line="240" w:lineRule="auto"/>
        <w:ind w:left="360"/>
        <w:rPr>
          <w:rFonts w:cs="Georgia"/>
          <w:color w:val="000000"/>
          <w:szCs w:val="20"/>
        </w:rPr>
      </w:pPr>
      <w:r>
        <w:rPr>
          <w:rFonts w:cs="Georgia"/>
          <w:color w:val="000000"/>
          <w:szCs w:val="20"/>
        </w:rPr>
        <w:t>Målingerne skal foretages som præstationsmålinger. Der skal foretage 3 målinger af mindst 1 times varighed. Målingerne kan foretages samme dag.</w:t>
      </w:r>
    </w:p>
    <w:p w:rsidR="002533CD" w:rsidRDefault="002533CD" w:rsidP="002533CD">
      <w:pPr>
        <w:suppressAutoHyphens w:val="0"/>
        <w:autoSpaceDE w:val="0"/>
        <w:autoSpaceDN w:val="0"/>
        <w:adjustRightInd w:val="0"/>
        <w:spacing w:line="240" w:lineRule="auto"/>
        <w:ind w:left="360"/>
        <w:rPr>
          <w:rFonts w:cs="Georgia"/>
          <w:color w:val="000000"/>
          <w:szCs w:val="20"/>
        </w:rPr>
      </w:pPr>
    </w:p>
    <w:p w:rsidR="002533CD" w:rsidRDefault="002533CD" w:rsidP="002533CD">
      <w:pPr>
        <w:suppressAutoHyphens w:val="0"/>
        <w:autoSpaceDE w:val="0"/>
        <w:autoSpaceDN w:val="0"/>
        <w:adjustRightInd w:val="0"/>
        <w:spacing w:line="240" w:lineRule="auto"/>
        <w:ind w:left="360"/>
        <w:rPr>
          <w:rFonts w:cs="Georgia"/>
          <w:color w:val="000000"/>
          <w:szCs w:val="20"/>
        </w:rPr>
      </w:pPr>
      <w:r>
        <w:rPr>
          <w:rFonts w:cs="Georgia"/>
          <w:color w:val="000000"/>
          <w:szCs w:val="20"/>
        </w:rPr>
        <w:t>Emissionsgrænsen anses for overholdt, når det aritmetiske gennemsnit af de 3 målinger er mindre end eller lig med grænseværdien.</w:t>
      </w:r>
    </w:p>
    <w:p w:rsidR="002533CD" w:rsidRDefault="002533CD" w:rsidP="002533CD">
      <w:pPr>
        <w:suppressAutoHyphens w:val="0"/>
        <w:autoSpaceDE w:val="0"/>
        <w:autoSpaceDN w:val="0"/>
        <w:adjustRightInd w:val="0"/>
        <w:spacing w:line="240" w:lineRule="auto"/>
        <w:ind w:left="360"/>
        <w:rPr>
          <w:rFonts w:cs="Georgia"/>
          <w:color w:val="000000"/>
          <w:szCs w:val="20"/>
        </w:rPr>
      </w:pPr>
    </w:p>
    <w:bookmarkEnd w:id="10"/>
    <w:bookmarkEnd w:id="11"/>
    <w:p w:rsidR="000E6D67" w:rsidRPr="000E6D67" w:rsidRDefault="001B0C28" w:rsidP="000E6D67">
      <w:pPr>
        <w:pStyle w:val="Listeafsnit"/>
        <w:numPr>
          <w:ilvl w:val="0"/>
          <w:numId w:val="12"/>
        </w:numPr>
        <w:suppressAutoHyphens w:val="0"/>
        <w:autoSpaceDE w:val="0"/>
        <w:autoSpaceDN w:val="0"/>
        <w:adjustRightInd w:val="0"/>
        <w:spacing w:line="240" w:lineRule="auto"/>
        <w:ind w:left="360"/>
        <w:rPr>
          <w:rFonts w:cs="Georgia"/>
          <w:color w:val="000000"/>
          <w:szCs w:val="20"/>
        </w:rPr>
      </w:pPr>
      <w:r>
        <w:rPr>
          <w:iCs/>
          <w:szCs w:val="20"/>
        </w:rPr>
        <w:t>Virksomhedens luftforurening skal dokumenteres ved måling og b</w:t>
      </w:r>
      <w:r w:rsidR="000E6D67">
        <w:rPr>
          <w:iCs/>
          <w:szCs w:val="20"/>
        </w:rPr>
        <w:t>eregning</w:t>
      </w:r>
      <w:r>
        <w:rPr>
          <w:iCs/>
          <w:szCs w:val="20"/>
        </w:rPr>
        <w:t xml:space="preserve"> udført</w:t>
      </w:r>
      <w:r w:rsidR="000E6D67">
        <w:rPr>
          <w:iCs/>
          <w:szCs w:val="20"/>
        </w:rPr>
        <w:t xml:space="preserve"> i overensstemmelse med Luftvejledningen, Vejledning fra M</w:t>
      </w:r>
      <w:r w:rsidR="000E6D67" w:rsidRPr="00E209B8">
        <w:rPr>
          <w:iCs/>
          <w:szCs w:val="20"/>
        </w:rPr>
        <w:t xml:space="preserve">iljøstyrelsen Nr. 2 </w:t>
      </w:r>
      <w:r>
        <w:rPr>
          <w:iCs/>
          <w:szCs w:val="20"/>
        </w:rPr>
        <w:t>2001</w:t>
      </w:r>
      <w:r w:rsidR="000E6D67">
        <w:rPr>
          <w:iCs/>
          <w:szCs w:val="20"/>
        </w:rPr>
        <w:t>.</w:t>
      </w:r>
    </w:p>
    <w:p w:rsidR="00AB41EF" w:rsidRPr="00AB41EF" w:rsidRDefault="00AB41EF" w:rsidP="00AB41EF">
      <w:pPr>
        <w:suppressAutoHyphens w:val="0"/>
        <w:autoSpaceDE w:val="0"/>
        <w:autoSpaceDN w:val="0"/>
        <w:adjustRightInd w:val="0"/>
        <w:spacing w:line="240" w:lineRule="auto"/>
        <w:rPr>
          <w:rFonts w:cs="Georgia"/>
          <w:color w:val="000000"/>
          <w:szCs w:val="20"/>
        </w:rPr>
      </w:pP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b/>
          <w:bCs/>
          <w:color w:val="000000"/>
          <w:szCs w:val="20"/>
        </w:rPr>
        <w:t xml:space="preserve">Rapportering af måleresultater </w:t>
      </w:r>
    </w:p>
    <w:p w:rsidR="00AB41EF" w:rsidRPr="00AB41EF" w:rsidRDefault="00AB41EF" w:rsidP="00AB41EF">
      <w:pPr>
        <w:pStyle w:val="Listeafsnit"/>
        <w:numPr>
          <w:ilvl w:val="0"/>
          <w:numId w:val="12"/>
        </w:num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Resultater af præstationskontrol skal rapporteres til tilsynsmyndigheden senest 2 måneder efter, at kontrollen er udført. </w:t>
      </w:r>
    </w:p>
    <w:p w:rsidR="00AB41EF" w:rsidRPr="00AB41EF" w:rsidRDefault="00AB41EF" w:rsidP="00AB41EF">
      <w:pPr>
        <w:suppressAutoHyphens w:val="0"/>
        <w:autoSpaceDE w:val="0"/>
        <w:autoSpaceDN w:val="0"/>
        <w:adjustRightInd w:val="0"/>
        <w:spacing w:line="240" w:lineRule="auto"/>
        <w:rPr>
          <w:rFonts w:cs="Georgia"/>
          <w:color w:val="000000"/>
          <w:szCs w:val="20"/>
        </w:rPr>
      </w:pP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Resultater af kontinuerlige målinger</w:t>
      </w:r>
      <w:r w:rsidR="000E6D67">
        <w:rPr>
          <w:rFonts w:cs="Georgia"/>
          <w:color w:val="000000"/>
          <w:szCs w:val="20"/>
        </w:rPr>
        <w:t xml:space="preserve"> og </w:t>
      </w:r>
      <w:r w:rsidR="000E6D67" w:rsidRPr="00125A07">
        <w:rPr>
          <w:rFonts w:cs="Georgia"/>
          <w:color w:val="000000"/>
          <w:szCs w:val="20"/>
        </w:rPr>
        <w:t>beregninger</w:t>
      </w:r>
      <w:r w:rsidR="000E6D67">
        <w:rPr>
          <w:rFonts w:cs="Georgia"/>
          <w:color w:val="000000"/>
          <w:szCs w:val="20"/>
        </w:rPr>
        <w:t xml:space="preserve">  for </w:t>
      </w:r>
      <w:r w:rsidRPr="00AB41EF">
        <w:rPr>
          <w:rFonts w:cs="Georgia"/>
          <w:color w:val="000000"/>
          <w:szCs w:val="20"/>
        </w:rPr>
        <w:t xml:space="preserve">et kalenderår skal rapporteres til tilsynsmyndigheden senest den 1. februar det efterfølgende år. </w:t>
      </w: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p>
    <w:p w:rsid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I rapporterne skal måleresultaterne i deres endelige form umiddelbart kunne sammenholdes med emissionsgrænseværdierne. </w:t>
      </w: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p>
    <w:p w:rsid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color w:val="000000"/>
          <w:szCs w:val="20"/>
        </w:rPr>
        <w:t xml:space="preserve">Rapporterne skal ledsages af en erklæring fra </w:t>
      </w:r>
      <w:r w:rsidR="00A71C3A">
        <w:rPr>
          <w:rFonts w:cs="Georgia"/>
          <w:color w:val="000000"/>
          <w:szCs w:val="20"/>
        </w:rPr>
        <w:t>Statoil</w:t>
      </w:r>
      <w:r w:rsidRPr="00AB41EF">
        <w:rPr>
          <w:rFonts w:cs="Georgia"/>
          <w:color w:val="000000"/>
          <w:szCs w:val="20"/>
        </w:rPr>
        <w:t xml:space="preserve">, hvori det tydeligt fremgår om emissionsgrænserne er overholdt. </w:t>
      </w: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p>
    <w:p w:rsidR="00AB41EF" w:rsidRPr="00AB41EF" w:rsidRDefault="00AB41EF" w:rsidP="00AB41EF">
      <w:pPr>
        <w:suppressAutoHyphens w:val="0"/>
        <w:autoSpaceDE w:val="0"/>
        <w:autoSpaceDN w:val="0"/>
        <w:adjustRightInd w:val="0"/>
        <w:spacing w:line="240" w:lineRule="auto"/>
        <w:ind w:left="360"/>
        <w:rPr>
          <w:rFonts w:cs="Georgia"/>
          <w:color w:val="000000"/>
          <w:szCs w:val="20"/>
        </w:rPr>
      </w:pPr>
      <w:r w:rsidRPr="00AB41EF">
        <w:rPr>
          <w:rFonts w:cs="Georgia"/>
          <w:b/>
          <w:bCs/>
          <w:color w:val="000000"/>
          <w:szCs w:val="20"/>
        </w:rPr>
        <w:t xml:space="preserve">Årsindberetning </w:t>
      </w:r>
    </w:p>
    <w:p w:rsidR="00AB41EF" w:rsidRDefault="00A71C3A" w:rsidP="00AB41EF">
      <w:pPr>
        <w:pStyle w:val="Listeafsnit"/>
        <w:numPr>
          <w:ilvl w:val="0"/>
          <w:numId w:val="12"/>
        </w:numPr>
        <w:suppressAutoHyphens w:val="0"/>
        <w:autoSpaceDE w:val="0"/>
        <w:autoSpaceDN w:val="0"/>
        <w:adjustRightInd w:val="0"/>
        <w:spacing w:line="240" w:lineRule="auto"/>
        <w:ind w:left="360"/>
        <w:rPr>
          <w:rFonts w:cs="Georgia"/>
          <w:color w:val="000000"/>
          <w:szCs w:val="20"/>
        </w:rPr>
      </w:pPr>
      <w:r>
        <w:rPr>
          <w:rFonts w:cs="Georgia"/>
          <w:color w:val="000000"/>
          <w:szCs w:val="20"/>
        </w:rPr>
        <w:t>Statoil</w:t>
      </w:r>
      <w:r w:rsidR="00AB41EF" w:rsidRPr="00AB41EF">
        <w:rPr>
          <w:rFonts w:cs="Georgia"/>
          <w:color w:val="000000"/>
          <w:szCs w:val="20"/>
        </w:rPr>
        <w:t xml:space="preserve"> skal for kalenderåret inden 1. februar det følgende år sende tilsynsmyndigheden en opgørelse indeholdende: </w:t>
      </w:r>
    </w:p>
    <w:p w:rsidR="005464D1" w:rsidRPr="005464D1" w:rsidRDefault="005464D1" w:rsidP="005464D1">
      <w:pPr>
        <w:suppressAutoHyphens w:val="0"/>
        <w:autoSpaceDE w:val="0"/>
        <w:autoSpaceDN w:val="0"/>
        <w:adjustRightInd w:val="0"/>
        <w:spacing w:line="240" w:lineRule="auto"/>
        <w:rPr>
          <w:rFonts w:ascii="Symbol" w:hAnsi="Symbol" w:cs="Symbol"/>
          <w:color w:val="000000"/>
          <w:sz w:val="24"/>
        </w:rPr>
      </w:pPr>
    </w:p>
    <w:p w:rsidR="005464D1" w:rsidRPr="005464D1" w:rsidRDefault="005464D1" w:rsidP="005464D1">
      <w:pPr>
        <w:pStyle w:val="Listeafsnit"/>
        <w:numPr>
          <w:ilvl w:val="0"/>
          <w:numId w:val="14"/>
        </w:numPr>
        <w:suppressAutoHyphens w:val="0"/>
        <w:autoSpaceDE w:val="0"/>
        <w:autoSpaceDN w:val="0"/>
        <w:adjustRightInd w:val="0"/>
        <w:spacing w:after="33" w:line="240" w:lineRule="auto"/>
        <w:ind w:left="1080"/>
        <w:rPr>
          <w:rFonts w:cs="Georgia"/>
          <w:color w:val="000000"/>
          <w:szCs w:val="20"/>
        </w:rPr>
      </w:pPr>
      <w:r w:rsidRPr="005464D1">
        <w:rPr>
          <w:rFonts w:cs="Georgia"/>
          <w:color w:val="000000"/>
          <w:szCs w:val="20"/>
        </w:rPr>
        <w:t xml:space="preserve">De respektive fyringsanlægs samlede nominelle indfyrede termiske effekt (MW), med oplysning af fyringsanlæggets type og startdato for fyringsanlæggets drift </w:t>
      </w:r>
    </w:p>
    <w:p w:rsidR="005464D1" w:rsidRPr="005464D1" w:rsidRDefault="005464D1" w:rsidP="005464D1">
      <w:pPr>
        <w:pStyle w:val="Listeafsnit"/>
        <w:numPr>
          <w:ilvl w:val="0"/>
          <w:numId w:val="14"/>
        </w:numPr>
        <w:suppressAutoHyphens w:val="0"/>
        <w:autoSpaceDE w:val="0"/>
        <w:autoSpaceDN w:val="0"/>
        <w:adjustRightInd w:val="0"/>
        <w:spacing w:after="33" w:line="240" w:lineRule="auto"/>
        <w:ind w:left="1080"/>
        <w:rPr>
          <w:rFonts w:cs="Georgia"/>
          <w:color w:val="000000"/>
          <w:szCs w:val="20"/>
        </w:rPr>
      </w:pPr>
      <w:r w:rsidRPr="005464D1">
        <w:rPr>
          <w:rFonts w:cs="Georgia"/>
          <w:color w:val="000000"/>
          <w:szCs w:val="20"/>
        </w:rPr>
        <w:t xml:space="preserve">Emissionen (tons) af svovldioxid, nitrogenoxider og støv (som </w:t>
      </w:r>
      <w:r w:rsidR="00A71C3A" w:rsidRPr="005464D1">
        <w:rPr>
          <w:rFonts w:cs="Georgia"/>
          <w:color w:val="000000"/>
          <w:szCs w:val="20"/>
        </w:rPr>
        <w:t>totalt</w:t>
      </w:r>
      <w:r w:rsidRPr="005464D1">
        <w:rPr>
          <w:rFonts w:cs="Georgia"/>
          <w:color w:val="000000"/>
          <w:szCs w:val="20"/>
        </w:rPr>
        <w:t xml:space="preserve"> svævestøv) opgjort for hvert fyringsanlæg </w:t>
      </w:r>
    </w:p>
    <w:p w:rsidR="005464D1" w:rsidRPr="005464D1" w:rsidRDefault="005464D1" w:rsidP="005464D1">
      <w:pPr>
        <w:pStyle w:val="Listeafsnit"/>
        <w:numPr>
          <w:ilvl w:val="0"/>
          <w:numId w:val="14"/>
        </w:numPr>
        <w:suppressAutoHyphens w:val="0"/>
        <w:autoSpaceDE w:val="0"/>
        <w:autoSpaceDN w:val="0"/>
        <w:adjustRightInd w:val="0"/>
        <w:spacing w:after="33" w:line="240" w:lineRule="auto"/>
        <w:ind w:left="1080"/>
        <w:rPr>
          <w:rFonts w:cs="Georgia"/>
          <w:color w:val="000000"/>
          <w:szCs w:val="20"/>
        </w:rPr>
      </w:pPr>
      <w:r w:rsidRPr="005464D1">
        <w:rPr>
          <w:rFonts w:cs="Georgia"/>
          <w:color w:val="000000"/>
          <w:szCs w:val="20"/>
        </w:rPr>
        <w:t xml:space="preserve">Den samlede energieffekt i relation til netto brændværdi (TJ pr. år) opgjort for hvert fyringsanlæg </w:t>
      </w:r>
    </w:p>
    <w:p w:rsidR="005464D1" w:rsidRDefault="005464D1" w:rsidP="005464D1">
      <w:pPr>
        <w:pStyle w:val="Listeafsnit"/>
        <w:numPr>
          <w:ilvl w:val="0"/>
          <w:numId w:val="14"/>
        </w:numPr>
        <w:suppressAutoHyphens w:val="0"/>
        <w:autoSpaceDE w:val="0"/>
        <w:autoSpaceDN w:val="0"/>
        <w:adjustRightInd w:val="0"/>
        <w:spacing w:line="240" w:lineRule="auto"/>
        <w:ind w:left="1080"/>
        <w:rPr>
          <w:rFonts w:cs="Georgia"/>
          <w:color w:val="000000"/>
          <w:szCs w:val="20"/>
        </w:rPr>
      </w:pPr>
      <w:r w:rsidRPr="005464D1">
        <w:rPr>
          <w:rFonts w:cs="Georgia"/>
          <w:color w:val="000000"/>
          <w:szCs w:val="20"/>
        </w:rPr>
        <w:t xml:space="preserve">Antallet af driftstimer for hvert fyringsanlæg </w:t>
      </w:r>
    </w:p>
    <w:p w:rsidR="00CC2723" w:rsidRDefault="00CC2723" w:rsidP="00CC2723">
      <w:pPr>
        <w:suppressAutoHyphens w:val="0"/>
        <w:autoSpaceDE w:val="0"/>
        <w:autoSpaceDN w:val="0"/>
        <w:adjustRightInd w:val="0"/>
        <w:spacing w:line="240" w:lineRule="auto"/>
        <w:rPr>
          <w:rFonts w:cs="Georgia"/>
          <w:color w:val="000000"/>
          <w:szCs w:val="20"/>
        </w:rPr>
      </w:pPr>
    </w:p>
    <w:p w:rsidR="00CC2723" w:rsidRPr="00CC2723" w:rsidRDefault="00CC2723" w:rsidP="00CC2723">
      <w:pPr>
        <w:suppressAutoHyphens w:val="0"/>
        <w:autoSpaceDE w:val="0"/>
        <w:autoSpaceDN w:val="0"/>
        <w:adjustRightInd w:val="0"/>
        <w:spacing w:line="240" w:lineRule="auto"/>
        <w:ind w:left="426"/>
        <w:rPr>
          <w:rFonts w:cs="Georgia"/>
          <w:color w:val="000000"/>
          <w:szCs w:val="20"/>
        </w:rPr>
      </w:pPr>
      <w:r>
        <w:rPr>
          <w:rFonts w:cs="Georgia"/>
          <w:color w:val="000000"/>
          <w:szCs w:val="20"/>
        </w:rPr>
        <w:t>Opgørelsen skal sendes første gang februar 201</w:t>
      </w:r>
      <w:r w:rsidR="0019582B">
        <w:rPr>
          <w:rFonts w:cs="Georgia"/>
          <w:color w:val="000000"/>
          <w:szCs w:val="20"/>
        </w:rPr>
        <w:t>8</w:t>
      </w:r>
      <w:r>
        <w:rPr>
          <w:rFonts w:cs="Georgia"/>
          <w:color w:val="000000"/>
          <w:szCs w:val="20"/>
        </w:rPr>
        <w:t>.</w:t>
      </w:r>
    </w:p>
    <w:p w:rsidR="00A71C3A" w:rsidRDefault="00A71C3A" w:rsidP="00A71C3A">
      <w:pPr>
        <w:suppressAutoHyphens w:val="0"/>
        <w:autoSpaceDE w:val="0"/>
        <w:autoSpaceDN w:val="0"/>
        <w:adjustRightInd w:val="0"/>
        <w:spacing w:line="240" w:lineRule="auto"/>
        <w:rPr>
          <w:rFonts w:cs="Georgia"/>
          <w:color w:val="000000"/>
          <w:szCs w:val="20"/>
        </w:rPr>
      </w:pPr>
    </w:p>
    <w:p w:rsidR="001B0C28" w:rsidRDefault="001B0C28" w:rsidP="00A71C3A">
      <w:pPr>
        <w:suppressAutoHyphens w:val="0"/>
        <w:autoSpaceDE w:val="0"/>
        <w:autoSpaceDN w:val="0"/>
        <w:adjustRightInd w:val="0"/>
        <w:spacing w:line="240" w:lineRule="auto"/>
        <w:rPr>
          <w:rFonts w:cs="Georgia"/>
          <w:color w:val="000000"/>
          <w:szCs w:val="20"/>
        </w:rPr>
      </w:pPr>
    </w:p>
    <w:p w:rsidR="00A71C3A" w:rsidRPr="00C35CB2" w:rsidRDefault="00A71C3A" w:rsidP="00A71C3A">
      <w:pPr>
        <w:suppressAutoHyphens w:val="0"/>
        <w:autoSpaceDE w:val="0"/>
        <w:autoSpaceDN w:val="0"/>
        <w:adjustRightInd w:val="0"/>
        <w:spacing w:line="240" w:lineRule="auto"/>
        <w:rPr>
          <w:rFonts w:cs="Georgia"/>
          <w:color w:val="000000"/>
          <w:sz w:val="22"/>
          <w:szCs w:val="22"/>
        </w:rPr>
      </w:pPr>
      <w:r w:rsidRPr="00C35CB2">
        <w:rPr>
          <w:rFonts w:cs="Georgia"/>
          <w:b/>
          <w:bCs/>
          <w:color w:val="000000"/>
          <w:sz w:val="22"/>
          <w:szCs w:val="22"/>
        </w:rPr>
        <w:t xml:space="preserve">Miljøstyrelsens bemærkninger til afgørelsen </w:t>
      </w:r>
    </w:p>
    <w:p w:rsidR="00A71C3A" w:rsidRDefault="00A71C3A" w:rsidP="00A71C3A">
      <w:pPr>
        <w:suppressAutoHyphens w:val="0"/>
        <w:autoSpaceDE w:val="0"/>
        <w:autoSpaceDN w:val="0"/>
        <w:adjustRightInd w:val="0"/>
        <w:spacing w:line="240" w:lineRule="auto"/>
        <w:rPr>
          <w:rFonts w:cs="Georgia"/>
          <w:color w:val="000000"/>
          <w:szCs w:val="20"/>
        </w:rPr>
      </w:pPr>
      <w:r w:rsidRPr="00A71C3A">
        <w:rPr>
          <w:rFonts w:cs="Georgia"/>
          <w:color w:val="000000"/>
          <w:szCs w:val="20"/>
        </w:rPr>
        <w:t>Som nævnt i indledningen udstedes påbuddet på baggrund af bekendtgørelse</w:t>
      </w:r>
      <w:r>
        <w:rPr>
          <w:rFonts w:cs="Georgia"/>
          <w:color w:val="000000"/>
          <w:szCs w:val="20"/>
        </w:rPr>
        <w:t>n</w:t>
      </w:r>
      <w:r w:rsidRPr="00A71C3A">
        <w:rPr>
          <w:rFonts w:cs="Georgia"/>
          <w:color w:val="000000"/>
          <w:szCs w:val="20"/>
        </w:rPr>
        <w:t xml:space="preserve"> om store fyringsanlæg og det skyldes således ikke, at der er sket ændringer på </w:t>
      </w:r>
      <w:r>
        <w:rPr>
          <w:rFonts w:cs="Georgia"/>
          <w:color w:val="000000"/>
          <w:szCs w:val="20"/>
        </w:rPr>
        <w:t>Statoil</w:t>
      </w:r>
      <w:r w:rsidRPr="00A71C3A">
        <w:rPr>
          <w:rFonts w:cs="Georgia"/>
          <w:color w:val="000000"/>
          <w:szCs w:val="20"/>
        </w:rPr>
        <w:t xml:space="preserve">. </w:t>
      </w:r>
      <w:r w:rsidR="00101A8D">
        <w:rPr>
          <w:rFonts w:cs="Georgia"/>
          <w:color w:val="000000"/>
          <w:szCs w:val="20"/>
        </w:rPr>
        <w:t>De nye vilkår følger af og implementere</w:t>
      </w:r>
      <w:r w:rsidR="00DB08EA">
        <w:rPr>
          <w:rFonts w:cs="Georgia"/>
          <w:color w:val="000000"/>
          <w:szCs w:val="20"/>
        </w:rPr>
        <w:t>r</w:t>
      </w:r>
      <w:r w:rsidR="00101A8D">
        <w:rPr>
          <w:rFonts w:cs="Georgia"/>
          <w:color w:val="000000"/>
          <w:szCs w:val="20"/>
        </w:rPr>
        <w:t xml:space="preserve"> bekendtgørelsen.</w:t>
      </w:r>
    </w:p>
    <w:p w:rsidR="00A71C3A" w:rsidRPr="00A71C3A" w:rsidRDefault="00A71C3A" w:rsidP="00A71C3A">
      <w:pPr>
        <w:suppressAutoHyphens w:val="0"/>
        <w:autoSpaceDE w:val="0"/>
        <w:autoSpaceDN w:val="0"/>
        <w:adjustRightInd w:val="0"/>
        <w:spacing w:line="240" w:lineRule="auto"/>
        <w:rPr>
          <w:rFonts w:cs="Georgia"/>
          <w:color w:val="000000"/>
          <w:szCs w:val="20"/>
        </w:rPr>
      </w:pPr>
    </w:p>
    <w:p w:rsidR="00A71C3A" w:rsidRDefault="00A71C3A" w:rsidP="00E24779">
      <w:pPr>
        <w:suppressAutoHyphens w:val="0"/>
        <w:autoSpaceDE w:val="0"/>
        <w:autoSpaceDN w:val="0"/>
        <w:adjustRightInd w:val="0"/>
        <w:spacing w:line="240" w:lineRule="auto"/>
        <w:rPr>
          <w:rFonts w:cs="Georgia"/>
          <w:color w:val="000000"/>
          <w:szCs w:val="20"/>
        </w:rPr>
      </w:pPr>
      <w:r w:rsidRPr="0018660C">
        <w:rPr>
          <w:rFonts w:cs="Georgia"/>
          <w:color w:val="000000"/>
          <w:szCs w:val="20"/>
        </w:rPr>
        <w:t>Der er nye krav til måling af emissioner til luft</w:t>
      </w:r>
      <w:r w:rsidR="00FE4CE5">
        <w:rPr>
          <w:rFonts w:cs="Georgia"/>
          <w:color w:val="000000"/>
          <w:szCs w:val="20"/>
        </w:rPr>
        <w:t xml:space="preserve"> (vilkår 1 – </w:t>
      </w:r>
      <w:r w:rsidR="009D3275">
        <w:rPr>
          <w:rFonts w:cs="Georgia"/>
          <w:color w:val="000000"/>
          <w:szCs w:val="20"/>
        </w:rPr>
        <w:t>2</w:t>
      </w:r>
      <w:r w:rsidR="00FE4CE5">
        <w:rPr>
          <w:rFonts w:cs="Georgia"/>
          <w:color w:val="000000"/>
          <w:szCs w:val="20"/>
        </w:rPr>
        <w:t>)</w:t>
      </w:r>
      <w:r w:rsidRPr="0018660C">
        <w:rPr>
          <w:rFonts w:cs="Georgia"/>
          <w:color w:val="000000"/>
          <w:szCs w:val="20"/>
        </w:rPr>
        <w:t>. Det generelle krav er, at der skal udføres kontinuer</w:t>
      </w:r>
      <w:r w:rsidR="009D3275">
        <w:rPr>
          <w:rFonts w:cs="Georgia"/>
          <w:color w:val="000000"/>
          <w:szCs w:val="20"/>
        </w:rPr>
        <w:t>t</w:t>
      </w:r>
      <w:r w:rsidRPr="0018660C">
        <w:rPr>
          <w:rFonts w:cs="Georgia"/>
          <w:color w:val="000000"/>
          <w:szCs w:val="20"/>
        </w:rPr>
        <w:t xml:space="preserve"> måling af SO2,</w:t>
      </w:r>
      <w:r w:rsidR="00364469">
        <w:rPr>
          <w:rFonts w:cs="Georgia"/>
          <w:color w:val="000000"/>
          <w:szCs w:val="20"/>
        </w:rPr>
        <w:t xml:space="preserve"> CO,</w:t>
      </w:r>
      <w:r w:rsidRPr="0018660C">
        <w:rPr>
          <w:rFonts w:cs="Georgia"/>
          <w:color w:val="000000"/>
          <w:szCs w:val="20"/>
        </w:rPr>
        <w:t xml:space="preserve"> NOx og støv</w:t>
      </w:r>
      <w:r w:rsidR="001B0C28">
        <w:rPr>
          <w:rFonts w:cs="Georgia"/>
          <w:color w:val="000000"/>
          <w:szCs w:val="20"/>
        </w:rPr>
        <w:t xml:space="preserve"> </w:t>
      </w:r>
      <w:r w:rsidR="0018660C">
        <w:rPr>
          <w:rFonts w:cs="Georgia"/>
          <w:color w:val="000000"/>
          <w:szCs w:val="20"/>
        </w:rPr>
        <w:t>på anlæg på mere end 100 MW nominel indfyret effekt</w:t>
      </w:r>
      <w:r w:rsidRPr="0018660C">
        <w:rPr>
          <w:rFonts w:cs="Georgia"/>
          <w:color w:val="000000"/>
          <w:szCs w:val="20"/>
        </w:rPr>
        <w:t xml:space="preserve">. </w:t>
      </w:r>
    </w:p>
    <w:p w:rsidR="00E24779" w:rsidRPr="00A71C3A" w:rsidRDefault="00E24779" w:rsidP="00E24779">
      <w:pPr>
        <w:suppressAutoHyphens w:val="0"/>
        <w:autoSpaceDE w:val="0"/>
        <w:autoSpaceDN w:val="0"/>
        <w:adjustRightInd w:val="0"/>
        <w:spacing w:line="240" w:lineRule="auto"/>
        <w:rPr>
          <w:rFonts w:cs="Georgia"/>
          <w:color w:val="000000"/>
          <w:szCs w:val="20"/>
        </w:rPr>
      </w:pPr>
    </w:p>
    <w:p w:rsidR="00A71C3A" w:rsidRDefault="00A71C3A" w:rsidP="00A71C3A">
      <w:pPr>
        <w:suppressAutoHyphens w:val="0"/>
        <w:autoSpaceDE w:val="0"/>
        <w:autoSpaceDN w:val="0"/>
        <w:adjustRightInd w:val="0"/>
        <w:spacing w:line="240" w:lineRule="auto"/>
        <w:rPr>
          <w:rFonts w:cs="Georgia"/>
          <w:color w:val="000000"/>
          <w:szCs w:val="20"/>
        </w:rPr>
      </w:pPr>
      <w:r w:rsidRPr="001B0C28">
        <w:rPr>
          <w:rFonts w:cs="Georgia"/>
          <w:color w:val="000000"/>
          <w:szCs w:val="20"/>
        </w:rPr>
        <w:t xml:space="preserve">Krav til indretning af målesteder og </w:t>
      </w:r>
      <w:r w:rsidR="009D3275">
        <w:rPr>
          <w:rFonts w:cs="Georgia"/>
          <w:color w:val="000000"/>
          <w:szCs w:val="20"/>
        </w:rPr>
        <w:t xml:space="preserve">måleudstyr er fastsat i vilkår 3 - </w:t>
      </w:r>
      <w:r w:rsidR="004A7D95">
        <w:rPr>
          <w:rFonts w:cs="Georgia"/>
          <w:color w:val="000000"/>
          <w:szCs w:val="20"/>
        </w:rPr>
        <w:t>9</w:t>
      </w:r>
      <w:r w:rsidRPr="001B0C28">
        <w:rPr>
          <w:rFonts w:cs="Georgia"/>
          <w:color w:val="000000"/>
          <w:szCs w:val="20"/>
        </w:rPr>
        <w:t>.</w:t>
      </w:r>
    </w:p>
    <w:p w:rsidR="00646681" w:rsidRDefault="00646681" w:rsidP="00A71C3A">
      <w:pPr>
        <w:suppressAutoHyphens w:val="0"/>
        <w:autoSpaceDE w:val="0"/>
        <w:autoSpaceDN w:val="0"/>
        <w:adjustRightInd w:val="0"/>
        <w:spacing w:line="240" w:lineRule="auto"/>
        <w:rPr>
          <w:rFonts w:cs="Georgia"/>
          <w:color w:val="000000"/>
          <w:szCs w:val="20"/>
        </w:rPr>
      </w:pPr>
    </w:p>
    <w:p w:rsidR="00FE4CE5" w:rsidRDefault="00646681" w:rsidP="00A71C3A">
      <w:pPr>
        <w:suppressAutoHyphens w:val="0"/>
        <w:autoSpaceDE w:val="0"/>
        <w:autoSpaceDN w:val="0"/>
        <w:adjustRightInd w:val="0"/>
        <w:spacing w:line="240" w:lineRule="auto"/>
        <w:rPr>
          <w:rFonts w:cs="Georgia"/>
          <w:color w:val="000000"/>
          <w:szCs w:val="20"/>
        </w:rPr>
      </w:pPr>
      <w:r>
        <w:rPr>
          <w:rFonts w:cs="Georgia"/>
          <w:color w:val="000000"/>
          <w:szCs w:val="20"/>
        </w:rPr>
        <w:t>Krav til kontrol af kontinuerte målinger er fastsat i vilkår 1</w:t>
      </w:r>
      <w:r w:rsidR="004A7D95">
        <w:rPr>
          <w:rFonts w:cs="Georgia"/>
          <w:color w:val="000000"/>
          <w:szCs w:val="20"/>
        </w:rPr>
        <w:t>4</w:t>
      </w:r>
      <w:r w:rsidR="00FE4CE5">
        <w:rPr>
          <w:rFonts w:cs="Georgia"/>
          <w:color w:val="000000"/>
          <w:szCs w:val="20"/>
        </w:rPr>
        <w:t xml:space="preserve">. </w:t>
      </w:r>
    </w:p>
    <w:p w:rsidR="00FE4CE5" w:rsidRDefault="00FE4CE5" w:rsidP="00A71C3A">
      <w:pPr>
        <w:suppressAutoHyphens w:val="0"/>
        <w:autoSpaceDE w:val="0"/>
        <w:autoSpaceDN w:val="0"/>
        <w:adjustRightInd w:val="0"/>
        <w:spacing w:line="240" w:lineRule="auto"/>
        <w:rPr>
          <w:rFonts w:cs="Georgia"/>
          <w:color w:val="000000"/>
          <w:szCs w:val="20"/>
        </w:rPr>
      </w:pPr>
    </w:p>
    <w:p w:rsidR="00646681" w:rsidRDefault="00646681" w:rsidP="00A71C3A">
      <w:pPr>
        <w:suppressAutoHyphens w:val="0"/>
        <w:autoSpaceDE w:val="0"/>
        <w:autoSpaceDN w:val="0"/>
        <w:adjustRightInd w:val="0"/>
        <w:spacing w:line="240" w:lineRule="auto"/>
        <w:rPr>
          <w:rFonts w:cs="Georgia"/>
          <w:color w:val="000000"/>
          <w:szCs w:val="20"/>
        </w:rPr>
      </w:pPr>
      <w:r>
        <w:rPr>
          <w:rFonts w:cs="Georgia"/>
          <w:color w:val="000000"/>
          <w:szCs w:val="20"/>
        </w:rPr>
        <w:t xml:space="preserve">For præstationsmålinger er kravene til kontrol fastsat i vilkår </w:t>
      </w:r>
      <w:r w:rsidR="00FE4CE5">
        <w:rPr>
          <w:rFonts w:cs="Georgia"/>
          <w:color w:val="000000"/>
          <w:szCs w:val="20"/>
        </w:rPr>
        <w:t>1</w:t>
      </w:r>
      <w:r w:rsidR="004A7D95">
        <w:rPr>
          <w:rFonts w:cs="Georgia"/>
          <w:color w:val="000000"/>
          <w:szCs w:val="20"/>
        </w:rPr>
        <w:t>5</w:t>
      </w:r>
      <w:r w:rsidR="00FE4CE5">
        <w:rPr>
          <w:rFonts w:cs="Georgia"/>
          <w:color w:val="000000"/>
          <w:szCs w:val="20"/>
        </w:rPr>
        <w:t xml:space="preserve"> – </w:t>
      </w:r>
      <w:r w:rsidR="009D3275">
        <w:rPr>
          <w:rFonts w:cs="Georgia"/>
          <w:color w:val="000000"/>
          <w:szCs w:val="20"/>
        </w:rPr>
        <w:t>1</w:t>
      </w:r>
      <w:r w:rsidR="0019527D">
        <w:rPr>
          <w:rFonts w:cs="Georgia"/>
          <w:color w:val="000000"/>
          <w:szCs w:val="20"/>
        </w:rPr>
        <w:t>7</w:t>
      </w:r>
      <w:r w:rsidR="00FE4CE5">
        <w:rPr>
          <w:rFonts w:cs="Georgia"/>
          <w:color w:val="000000"/>
          <w:szCs w:val="20"/>
        </w:rPr>
        <w:t>.</w:t>
      </w:r>
      <w:r w:rsidR="0019527D">
        <w:rPr>
          <w:rFonts w:cs="Georgia"/>
          <w:color w:val="000000"/>
          <w:szCs w:val="20"/>
        </w:rPr>
        <w:t xml:space="preserve"> Vilkår 15 er fastsat med udgangspunkt i bilag 3 pkt. 3 og 5 i store fyr bekendtgørelsen.</w:t>
      </w:r>
      <w:r w:rsidR="0021169E">
        <w:rPr>
          <w:rFonts w:cs="Georgia"/>
          <w:color w:val="000000"/>
          <w:szCs w:val="20"/>
        </w:rPr>
        <w:t xml:space="preserve"> Det vil i forbindelse med den pågående revurdering som følge af, at der i efteråret 2014 </w:t>
      </w:r>
      <w:r w:rsidR="0021169E">
        <w:rPr>
          <w:rFonts w:cs="Georgia"/>
          <w:color w:val="000000"/>
          <w:szCs w:val="20"/>
        </w:rPr>
        <w:lastRenderedPageBreak/>
        <w:t>blev vedtaget BAT-konklusioner for raffinaderier, blive fastlagt en definition af opstartsperioden.</w:t>
      </w:r>
      <w:r w:rsidR="009D3275">
        <w:rPr>
          <w:rFonts w:cs="Georgia"/>
          <w:color w:val="000000"/>
          <w:szCs w:val="20"/>
        </w:rPr>
        <w:t xml:space="preserve"> Vilkår 1</w:t>
      </w:r>
      <w:r w:rsidR="0019527D">
        <w:rPr>
          <w:rFonts w:cs="Georgia"/>
          <w:color w:val="000000"/>
          <w:szCs w:val="20"/>
        </w:rPr>
        <w:t>6</w:t>
      </w:r>
      <w:r w:rsidR="009D3275">
        <w:rPr>
          <w:rFonts w:cs="Georgia"/>
          <w:color w:val="000000"/>
          <w:szCs w:val="20"/>
        </w:rPr>
        <w:t xml:space="preserve"> henviser til eksisterende vilkår i den gældende miljøgodkendelse fra december 2013. Vilkåret er med her, da det er tilpasset i forhold til de ophævede vilkår C2, C4 og C6.</w:t>
      </w:r>
    </w:p>
    <w:p w:rsidR="00FE4CE5" w:rsidRDefault="00FE4CE5" w:rsidP="00A71C3A">
      <w:pPr>
        <w:suppressAutoHyphens w:val="0"/>
        <w:autoSpaceDE w:val="0"/>
        <w:autoSpaceDN w:val="0"/>
        <w:adjustRightInd w:val="0"/>
        <w:spacing w:line="240" w:lineRule="auto"/>
        <w:rPr>
          <w:rFonts w:cs="Georgia"/>
          <w:color w:val="000000"/>
          <w:szCs w:val="20"/>
        </w:rPr>
      </w:pPr>
    </w:p>
    <w:p w:rsidR="00FE4CE5" w:rsidRDefault="00FE4CE5" w:rsidP="00A71C3A">
      <w:pPr>
        <w:suppressAutoHyphens w:val="0"/>
        <w:autoSpaceDE w:val="0"/>
        <w:autoSpaceDN w:val="0"/>
        <w:adjustRightInd w:val="0"/>
        <w:spacing w:line="240" w:lineRule="auto"/>
        <w:rPr>
          <w:rFonts w:cs="Georgia"/>
          <w:color w:val="000000"/>
          <w:szCs w:val="20"/>
        </w:rPr>
      </w:pPr>
      <w:r>
        <w:rPr>
          <w:rFonts w:cs="Georgia"/>
          <w:color w:val="000000"/>
          <w:szCs w:val="20"/>
        </w:rPr>
        <w:t xml:space="preserve">Vilkår </w:t>
      </w:r>
      <w:r w:rsidR="009D3275">
        <w:rPr>
          <w:rFonts w:cs="Georgia"/>
          <w:color w:val="000000"/>
          <w:szCs w:val="20"/>
        </w:rPr>
        <w:t>1</w:t>
      </w:r>
      <w:r w:rsidR="004A7D95">
        <w:rPr>
          <w:rFonts w:cs="Georgia"/>
          <w:color w:val="000000"/>
          <w:szCs w:val="20"/>
        </w:rPr>
        <w:t>7</w:t>
      </w:r>
      <w:r>
        <w:rPr>
          <w:rFonts w:cs="Georgia"/>
          <w:color w:val="000000"/>
          <w:szCs w:val="20"/>
        </w:rPr>
        <w:t xml:space="preserve"> stiller krav til rapportering af måleresultater og vilkår </w:t>
      </w:r>
      <w:r w:rsidR="004A7D95">
        <w:rPr>
          <w:rFonts w:cs="Georgia"/>
          <w:color w:val="000000"/>
          <w:szCs w:val="20"/>
        </w:rPr>
        <w:t>16</w:t>
      </w:r>
      <w:r>
        <w:rPr>
          <w:rFonts w:cs="Georgia"/>
          <w:color w:val="000000"/>
          <w:szCs w:val="20"/>
        </w:rPr>
        <w:t xml:space="preserve"> til årsindberetningen.</w:t>
      </w:r>
    </w:p>
    <w:p w:rsidR="00A71C3A" w:rsidRDefault="00A71C3A" w:rsidP="00A71C3A">
      <w:pPr>
        <w:suppressAutoHyphens w:val="0"/>
        <w:autoSpaceDE w:val="0"/>
        <w:autoSpaceDN w:val="0"/>
        <w:adjustRightInd w:val="0"/>
        <w:spacing w:line="240" w:lineRule="auto"/>
        <w:rPr>
          <w:rFonts w:cs="Georgia"/>
          <w:color w:val="000000"/>
          <w:szCs w:val="20"/>
        </w:rPr>
      </w:pPr>
    </w:p>
    <w:p w:rsidR="00A71C3A" w:rsidRPr="00A71C3A" w:rsidRDefault="00A71C3A" w:rsidP="00A71C3A">
      <w:pPr>
        <w:suppressAutoHyphens w:val="0"/>
        <w:autoSpaceDE w:val="0"/>
        <w:autoSpaceDN w:val="0"/>
        <w:adjustRightInd w:val="0"/>
        <w:spacing w:line="240" w:lineRule="auto"/>
        <w:rPr>
          <w:rFonts w:cs="Georgia"/>
          <w:color w:val="000000"/>
          <w:szCs w:val="20"/>
        </w:rPr>
      </w:pPr>
      <w:r w:rsidRPr="00A71C3A">
        <w:rPr>
          <w:rFonts w:cs="Georgia"/>
          <w:b/>
          <w:bCs/>
          <w:color w:val="000000"/>
          <w:szCs w:val="20"/>
        </w:rPr>
        <w:t>Sammenlægningsreglen</w:t>
      </w:r>
      <w:r w:rsidR="00966888">
        <w:rPr>
          <w:rFonts w:cs="Georgia"/>
          <w:b/>
          <w:bCs/>
          <w:color w:val="000000"/>
          <w:szCs w:val="20"/>
        </w:rPr>
        <w:t xml:space="preserve"> </w:t>
      </w:r>
      <w:r w:rsidRPr="00A71C3A">
        <w:rPr>
          <w:rFonts w:cs="Georgia"/>
          <w:b/>
          <w:bCs/>
          <w:color w:val="000000"/>
          <w:szCs w:val="20"/>
        </w:rPr>
        <w:t xml:space="preserve">på </w:t>
      </w:r>
      <w:r w:rsidRPr="00A71C3A">
        <w:rPr>
          <w:rFonts w:cs="Georgia"/>
          <w:b/>
          <w:color w:val="000000"/>
          <w:szCs w:val="20"/>
        </w:rPr>
        <w:t>H-201, H-202, H1051, H-1001 og H-601</w:t>
      </w:r>
    </w:p>
    <w:p w:rsidR="00A71C3A" w:rsidRPr="00A71C3A" w:rsidRDefault="00966888" w:rsidP="00A71C3A">
      <w:pPr>
        <w:suppressAutoHyphens w:val="0"/>
        <w:autoSpaceDE w:val="0"/>
        <w:autoSpaceDN w:val="0"/>
        <w:adjustRightInd w:val="0"/>
        <w:spacing w:line="240" w:lineRule="auto"/>
        <w:rPr>
          <w:rFonts w:cs="Georgia"/>
          <w:color w:val="000000"/>
          <w:szCs w:val="20"/>
        </w:rPr>
      </w:pPr>
      <w:r>
        <w:rPr>
          <w:rFonts w:cs="Georgia"/>
          <w:color w:val="000000"/>
          <w:szCs w:val="20"/>
        </w:rPr>
        <w:t>F</w:t>
      </w:r>
      <w:r w:rsidR="00B213F5">
        <w:rPr>
          <w:rFonts w:cs="Georgia"/>
          <w:color w:val="000000"/>
          <w:szCs w:val="20"/>
        </w:rPr>
        <w:t>em</w:t>
      </w:r>
      <w:r>
        <w:rPr>
          <w:rFonts w:cs="Georgia"/>
          <w:color w:val="000000"/>
          <w:szCs w:val="20"/>
        </w:rPr>
        <w:t xml:space="preserve"> af Statoils </w:t>
      </w:r>
      <w:r w:rsidR="00A71C3A" w:rsidRPr="00A71C3A">
        <w:rPr>
          <w:rFonts w:cs="Georgia"/>
          <w:color w:val="000000"/>
          <w:szCs w:val="20"/>
        </w:rPr>
        <w:t xml:space="preserve">fyringsanlæg </w:t>
      </w:r>
      <w:r>
        <w:rPr>
          <w:rFonts w:cs="Georgia"/>
          <w:color w:val="000000"/>
          <w:szCs w:val="20"/>
        </w:rPr>
        <w:t>H-201 (</w:t>
      </w:r>
      <w:r w:rsidR="00646681">
        <w:rPr>
          <w:rFonts w:cs="Georgia"/>
          <w:color w:val="000000"/>
          <w:szCs w:val="20"/>
        </w:rPr>
        <w:t>29</w:t>
      </w:r>
      <w:r>
        <w:rPr>
          <w:rFonts w:cs="Georgia"/>
          <w:color w:val="000000"/>
          <w:szCs w:val="20"/>
        </w:rPr>
        <w:t xml:space="preserve"> MW), H-202 (</w:t>
      </w:r>
      <w:r w:rsidR="00646681">
        <w:rPr>
          <w:rFonts w:cs="Georgia"/>
          <w:color w:val="000000"/>
          <w:szCs w:val="20"/>
        </w:rPr>
        <w:t>43</w:t>
      </w:r>
      <w:r>
        <w:rPr>
          <w:rFonts w:cs="Georgia"/>
          <w:color w:val="000000"/>
          <w:szCs w:val="20"/>
        </w:rPr>
        <w:t xml:space="preserve"> MW), H1051 (</w:t>
      </w:r>
      <w:r w:rsidR="00646681">
        <w:rPr>
          <w:rFonts w:cs="Georgia"/>
          <w:color w:val="000000"/>
          <w:szCs w:val="20"/>
        </w:rPr>
        <w:t>24</w:t>
      </w:r>
      <w:r>
        <w:rPr>
          <w:rFonts w:cs="Georgia"/>
          <w:color w:val="000000"/>
          <w:szCs w:val="20"/>
        </w:rPr>
        <w:t xml:space="preserve"> MW), H-1001 (</w:t>
      </w:r>
      <w:r w:rsidR="00646681">
        <w:rPr>
          <w:rFonts w:cs="Georgia"/>
          <w:color w:val="000000"/>
          <w:szCs w:val="20"/>
        </w:rPr>
        <w:t>24</w:t>
      </w:r>
      <w:r>
        <w:rPr>
          <w:rFonts w:cs="Georgia"/>
          <w:color w:val="000000"/>
          <w:szCs w:val="20"/>
        </w:rPr>
        <w:t xml:space="preserve"> MW) og H-601 (</w:t>
      </w:r>
      <w:r w:rsidR="00646681">
        <w:rPr>
          <w:rFonts w:cs="Georgia"/>
          <w:color w:val="000000"/>
          <w:szCs w:val="20"/>
        </w:rPr>
        <w:t>52,8</w:t>
      </w:r>
      <w:r>
        <w:rPr>
          <w:rFonts w:cs="Georgia"/>
          <w:color w:val="000000"/>
          <w:szCs w:val="20"/>
        </w:rPr>
        <w:t xml:space="preserve"> MW)</w:t>
      </w:r>
      <w:r w:rsidR="00A71C3A" w:rsidRPr="00A71C3A">
        <w:rPr>
          <w:rFonts w:cs="Georgia"/>
          <w:color w:val="000000"/>
          <w:szCs w:val="20"/>
        </w:rPr>
        <w:t xml:space="preserve"> udgør et samlet fyringsanlæg, fordi de </w:t>
      </w:r>
      <w:r>
        <w:rPr>
          <w:rFonts w:cs="Georgia"/>
          <w:color w:val="000000"/>
          <w:szCs w:val="20"/>
        </w:rPr>
        <w:t>fem</w:t>
      </w:r>
      <w:r w:rsidR="00A71C3A" w:rsidRPr="00A71C3A">
        <w:rPr>
          <w:rFonts w:cs="Georgia"/>
          <w:color w:val="000000"/>
          <w:szCs w:val="20"/>
        </w:rPr>
        <w:t xml:space="preserve"> særskilte fyringsanlæg har fælles skorsten. Det betyder, at emissionsgrænseværdierne skal fastsættes ud fra den samlede størrelse, og </w:t>
      </w:r>
      <w:r w:rsidR="00646681">
        <w:rPr>
          <w:rFonts w:cs="Georgia"/>
          <w:color w:val="000000"/>
          <w:szCs w:val="20"/>
        </w:rPr>
        <w:t xml:space="preserve">grænseværdierne er </w:t>
      </w:r>
      <w:r w:rsidR="00A71C3A" w:rsidRPr="00A71C3A">
        <w:rPr>
          <w:rFonts w:cs="Georgia"/>
          <w:color w:val="000000"/>
          <w:szCs w:val="20"/>
        </w:rPr>
        <w:t>gælde</w:t>
      </w:r>
      <w:r w:rsidR="00646681">
        <w:rPr>
          <w:rFonts w:cs="Georgia"/>
          <w:color w:val="000000"/>
          <w:szCs w:val="20"/>
        </w:rPr>
        <w:t>nde</w:t>
      </w:r>
      <w:r w:rsidR="00A71C3A" w:rsidRPr="00A71C3A">
        <w:rPr>
          <w:rFonts w:cs="Georgia"/>
          <w:color w:val="000000"/>
          <w:szCs w:val="20"/>
        </w:rPr>
        <w:t xml:space="preserve"> uanset</w:t>
      </w:r>
      <w:r w:rsidR="00646681">
        <w:rPr>
          <w:rFonts w:cs="Georgia"/>
          <w:color w:val="000000"/>
          <w:szCs w:val="20"/>
        </w:rPr>
        <w:t xml:space="preserve"> om</w:t>
      </w:r>
      <w:r w:rsidR="00A71C3A" w:rsidRPr="00A71C3A">
        <w:rPr>
          <w:rFonts w:cs="Georgia"/>
          <w:color w:val="000000"/>
          <w:szCs w:val="20"/>
        </w:rPr>
        <w:t xml:space="preserve"> </w:t>
      </w:r>
      <w:r>
        <w:rPr>
          <w:rFonts w:cs="Georgia"/>
          <w:color w:val="000000"/>
          <w:szCs w:val="20"/>
        </w:rPr>
        <w:t>alle fem fyringsanlæg eller kun nogen af dem</w:t>
      </w:r>
      <w:r w:rsidR="00A71C3A" w:rsidRPr="00A71C3A">
        <w:rPr>
          <w:rFonts w:cs="Georgia"/>
          <w:color w:val="000000"/>
          <w:szCs w:val="20"/>
        </w:rPr>
        <w:t xml:space="preserve"> er i drift. </w:t>
      </w:r>
    </w:p>
    <w:p w:rsidR="008769B9" w:rsidRDefault="008769B9" w:rsidP="00A71C3A">
      <w:pPr>
        <w:suppressAutoHyphens w:val="0"/>
        <w:autoSpaceDE w:val="0"/>
        <w:autoSpaceDN w:val="0"/>
        <w:adjustRightInd w:val="0"/>
        <w:spacing w:line="240" w:lineRule="auto"/>
        <w:rPr>
          <w:rFonts w:cs="Georgia"/>
          <w:color w:val="000000"/>
          <w:szCs w:val="20"/>
        </w:rPr>
      </w:pPr>
    </w:p>
    <w:p w:rsidR="00646681" w:rsidRPr="008769B9" w:rsidRDefault="008769B9" w:rsidP="00CC2723">
      <w:pPr>
        <w:pStyle w:val="Brdtekst"/>
        <w:ind w:left="0"/>
        <w:rPr>
          <w:rFonts w:ascii="Georgia" w:hAnsi="Georgia"/>
          <w:lang w:val="da-DK"/>
        </w:rPr>
      </w:pPr>
      <w:r w:rsidRPr="00646681">
        <w:rPr>
          <w:rFonts w:ascii="Georgia" w:hAnsi="Georgia"/>
          <w:spacing w:val="-1"/>
          <w:lang w:val="da-DK"/>
        </w:rPr>
        <w:t>Emissionsgrænseværdier for dette</w:t>
      </w:r>
      <w:r w:rsidRPr="00646681">
        <w:rPr>
          <w:rFonts w:ascii="Georgia" w:hAnsi="Georgia"/>
          <w:spacing w:val="-2"/>
          <w:lang w:val="da-DK"/>
        </w:rPr>
        <w:t xml:space="preserve"> </w:t>
      </w:r>
      <w:r w:rsidRPr="00646681">
        <w:rPr>
          <w:rFonts w:ascii="Georgia" w:hAnsi="Georgia"/>
          <w:spacing w:val="-1"/>
          <w:lang w:val="da-DK"/>
        </w:rPr>
        <w:t>samlede</w:t>
      </w:r>
      <w:r w:rsidRPr="00646681">
        <w:rPr>
          <w:rFonts w:ascii="Georgia" w:hAnsi="Georgia"/>
          <w:spacing w:val="-2"/>
          <w:lang w:val="da-DK"/>
        </w:rPr>
        <w:t xml:space="preserve"> fyringsanlæg (afkast 3)</w:t>
      </w:r>
      <w:r w:rsidR="00107A79">
        <w:rPr>
          <w:rFonts w:ascii="Georgia" w:hAnsi="Georgia"/>
          <w:spacing w:val="-2"/>
          <w:lang w:val="da-DK"/>
        </w:rPr>
        <w:t xml:space="preserve">, afkast 4 samt afkast 5+6 </w:t>
      </w:r>
      <w:r w:rsidRPr="00646681">
        <w:rPr>
          <w:rFonts w:ascii="Georgia" w:hAnsi="Georgia"/>
          <w:spacing w:val="-2"/>
          <w:lang w:val="da-DK"/>
        </w:rPr>
        <w:t>er</w:t>
      </w:r>
      <w:r w:rsidRPr="00646681">
        <w:rPr>
          <w:rFonts w:ascii="Georgia" w:hAnsi="Georgia"/>
          <w:spacing w:val="-1"/>
          <w:lang w:val="da-DK"/>
        </w:rPr>
        <w:t xml:space="preserve"> fastsat</w:t>
      </w:r>
      <w:r w:rsidRPr="00646681">
        <w:rPr>
          <w:rFonts w:ascii="Georgia" w:hAnsi="Georgia"/>
          <w:spacing w:val="2"/>
          <w:lang w:val="da-DK"/>
        </w:rPr>
        <w:t xml:space="preserve"> </w:t>
      </w:r>
      <w:r w:rsidRPr="00646681">
        <w:rPr>
          <w:rFonts w:ascii="Georgia" w:hAnsi="Georgia"/>
          <w:lang w:val="da-DK"/>
        </w:rPr>
        <w:t>i</w:t>
      </w:r>
      <w:r w:rsidRPr="00646681">
        <w:rPr>
          <w:rFonts w:ascii="Georgia" w:hAnsi="Georgia"/>
          <w:spacing w:val="-2"/>
          <w:lang w:val="da-DK"/>
        </w:rPr>
        <w:t xml:space="preserve"> </w:t>
      </w:r>
      <w:r w:rsidRPr="00646681">
        <w:rPr>
          <w:rFonts w:ascii="Georgia" w:hAnsi="Georgia"/>
          <w:spacing w:val="-1"/>
          <w:lang w:val="da-DK"/>
        </w:rPr>
        <w:t xml:space="preserve">vilkår </w:t>
      </w:r>
      <w:r w:rsidR="004A7D95">
        <w:rPr>
          <w:rFonts w:ascii="Georgia" w:hAnsi="Georgia"/>
          <w:spacing w:val="-1"/>
          <w:lang w:val="da-DK"/>
        </w:rPr>
        <w:t>10</w:t>
      </w:r>
      <w:r w:rsidRPr="00646681">
        <w:rPr>
          <w:rFonts w:ascii="Georgia" w:hAnsi="Georgia"/>
          <w:spacing w:val="-1"/>
          <w:lang w:val="da-DK"/>
        </w:rPr>
        <w:t>.</w:t>
      </w:r>
      <w:r w:rsidR="00FE4CE5">
        <w:rPr>
          <w:rFonts w:ascii="Georgia" w:hAnsi="Georgia"/>
          <w:spacing w:val="-1"/>
          <w:lang w:val="da-DK"/>
        </w:rPr>
        <w:t xml:space="preserve"> </w:t>
      </w:r>
      <w:r w:rsidR="00646681">
        <w:rPr>
          <w:rFonts w:ascii="Georgia" w:hAnsi="Georgia"/>
          <w:spacing w:val="-1"/>
          <w:lang w:val="da-DK"/>
        </w:rPr>
        <w:t>Øvrige emissionsgrænseværd</w:t>
      </w:r>
      <w:r w:rsidR="00DB02E0">
        <w:rPr>
          <w:rFonts w:ascii="Georgia" w:hAnsi="Georgia"/>
          <w:spacing w:val="-1"/>
          <w:lang w:val="da-DK"/>
        </w:rPr>
        <w:t>ier er fastsat i vilkår 1</w:t>
      </w:r>
      <w:r w:rsidR="004A7D95">
        <w:rPr>
          <w:rFonts w:ascii="Georgia" w:hAnsi="Georgia"/>
          <w:spacing w:val="-1"/>
          <w:lang w:val="da-DK"/>
        </w:rPr>
        <w:t>1</w:t>
      </w:r>
      <w:r w:rsidR="00DB02E0">
        <w:rPr>
          <w:rFonts w:ascii="Georgia" w:hAnsi="Georgia"/>
          <w:spacing w:val="-1"/>
          <w:lang w:val="da-DK"/>
        </w:rPr>
        <w:t xml:space="preserve"> – 1</w:t>
      </w:r>
      <w:r w:rsidR="004A7D95">
        <w:rPr>
          <w:rFonts w:ascii="Georgia" w:hAnsi="Georgia"/>
          <w:spacing w:val="-1"/>
          <w:lang w:val="da-DK"/>
        </w:rPr>
        <w:t>3</w:t>
      </w:r>
      <w:r w:rsidR="00DB02E0">
        <w:rPr>
          <w:rFonts w:ascii="Georgia" w:hAnsi="Georgia"/>
          <w:spacing w:val="-1"/>
          <w:lang w:val="da-DK"/>
        </w:rPr>
        <w:t xml:space="preserve"> og er en </w:t>
      </w:r>
      <w:r w:rsidR="00101A8D">
        <w:rPr>
          <w:rFonts w:ascii="Georgia" w:hAnsi="Georgia"/>
          <w:spacing w:val="-1"/>
          <w:lang w:val="da-DK"/>
        </w:rPr>
        <w:t>fastholdelse af</w:t>
      </w:r>
      <w:r w:rsidR="00DB02E0">
        <w:rPr>
          <w:rFonts w:ascii="Georgia" w:hAnsi="Georgia"/>
          <w:spacing w:val="-1"/>
          <w:lang w:val="da-DK"/>
        </w:rPr>
        <w:t xml:space="preserve"> gældende vilkår i miljøgodkendelsen fra december 2013.</w:t>
      </w:r>
    </w:p>
    <w:p w:rsidR="008769B9" w:rsidRPr="008769B9" w:rsidRDefault="008769B9" w:rsidP="00CC2723">
      <w:pPr>
        <w:spacing w:before="7"/>
        <w:rPr>
          <w:rFonts w:eastAsia="Georgia" w:cs="Georgia"/>
          <w:szCs w:val="20"/>
        </w:rPr>
      </w:pPr>
    </w:p>
    <w:p w:rsidR="008769B9" w:rsidRPr="008769B9" w:rsidRDefault="008769B9" w:rsidP="00FE4CE5">
      <w:pPr>
        <w:pStyle w:val="Brdtekst"/>
        <w:ind w:left="0" w:right="85"/>
        <w:rPr>
          <w:rFonts w:ascii="Georgia" w:hAnsi="Georgia"/>
          <w:lang w:val="da-DK"/>
        </w:rPr>
      </w:pPr>
      <w:r w:rsidRPr="008769B9">
        <w:rPr>
          <w:rFonts w:ascii="Georgia" w:hAnsi="Georgia"/>
          <w:spacing w:val="-1"/>
          <w:lang w:val="da-DK"/>
        </w:rPr>
        <w:t xml:space="preserve">Nedenfor </w:t>
      </w:r>
      <w:r w:rsidRPr="008769B9">
        <w:rPr>
          <w:rFonts w:ascii="Georgia" w:hAnsi="Georgia"/>
          <w:spacing w:val="-2"/>
          <w:lang w:val="da-DK"/>
        </w:rPr>
        <w:t>sammenholdes</w:t>
      </w:r>
      <w:r w:rsidRPr="008769B9">
        <w:rPr>
          <w:rFonts w:ascii="Georgia" w:hAnsi="Georgia"/>
          <w:spacing w:val="1"/>
          <w:lang w:val="da-DK"/>
        </w:rPr>
        <w:t xml:space="preserve"> </w:t>
      </w:r>
      <w:r w:rsidRPr="008769B9">
        <w:rPr>
          <w:rFonts w:ascii="Georgia" w:hAnsi="Georgia"/>
          <w:spacing w:val="-1"/>
          <w:lang w:val="da-DK"/>
        </w:rPr>
        <w:t>de</w:t>
      </w:r>
      <w:r w:rsidRPr="008769B9">
        <w:rPr>
          <w:rFonts w:ascii="Georgia" w:hAnsi="Georgia"/>
          <w:spacing w:val="-7"/>
          <w:lang w:val="da-DK"/>
        </w:rPr>
        <w:t xml:space="preserve"> </w:t>
      </w:r>
      <w:r w:rsidRPr="008769B9">
        <w:rPr>
          <w:rFonts w:ascii="Georgia" w:hAnsi="Georgia"/>
          <w:spacing w:val="-1"/>
          <w:lang w:val="da-DK"/>
        </w:rPr>
        <w:t xml:space="preserve">hidtil </w:t>
      </w:r>
      <w:r w:rsidRPr="008769B9">
        <w:rPr>
          <w:rFonts w:ascii="Georgia" w:hAnsi="Georgia"/>
          <w:spacing w:val="-2"/>
          <w:lang w:val="da-DK"/>
        </w:rPr>
        <w:t>gældende emissionsgrænseværdier</w:t>
      </w:r>
      <w:r w:rsidRPr="008769B9">
        <w:rPr>
          <w:rFonts w:ascii="Georgia" w:hAnsi="Georgia"/>
          <w:spacing w:val="-1"/>
          <w:lang w:val="da-DK"/>
        </w:rPr>
        <w:t xml:space="preserve"> med de</w:t>
      </w:r>
      <w:r w:rsidRPr="008769B9">
        <w:rPr>
          <w:rFonts w:ascii="Georgia" w:hAnsi="Georgia"/>
          <w:spacing w:val="-2"/>
          <w:lang w:val="da-DK"/>
        </w:rPr>
        <w:t xml:space="preserve"> </w:t>
      </w:r>
      <w:r w:rsidRPr="008769B9">
        <w:rPr>
          <w:rFonts w:ascii="Georgia" w:hAnsi="Georgia"/>
          <w:spacing w:val="-1"/>
          <w:lang w:val="da-DK"/>
        </w:rPr>
        <w:t>nye.</w:t>
      </w:r>
      <w:r w:rsidRPr="008769B9">
        <w:rPr>
          <w:rFonts w:ascii="Georgia" w:hAnsi="Georgia"/>
          <w:spacing w:val="93"/>
          <w:lang w:val="da-DK"/>
        </w:rPr>
        <w:t xml:space="preserve"> </w:t>
      </w:r>
      <w:r w:rsidRPr="008769B9">
        <w:rPr>
          <w:rFonts w:ascii="Georgia" w:hAnsi="Georgia"/>
          <w:spacing w:val="-2"/>
          <w:lang w:val="da-DK"/>
        </w:rPr>
        <w:t>De</w:t>
      </w:r>
      <w:r w:rsidR="00535405">
        <w:rPr>
          <w:rFonts w:ascii="Georgia" w:hAnsi="Georgia"/>
          <w:spacing w:val="-2"/>
          <w:lang w:val="da-DK"/>
        </w:rPr>
        <w:t>r er i dag ikke grænseværdier for SO</w:t>
      </w:r>
      <w:r w:rsidR="00535405">
        <w:rPr>
          <w:rFonts w:ascii="Georgia" w:hAnsi="Georgia"/>
          <w:spacing w:val="-2"/>
          <w:vertAlign w:val="subscript"/>
          <w:lang w:val="da-DK"/>
        </w:rPr>
        <w:t>2</w:t>
      </w:r>
      <w:r w:rsidR="00535405">
        <w:rPr>
          <w:rFonts w:ascii="Georgia" w:hAnsi="Georgia"/>
          <w:spacing w:val="-2"/>
          <w:lang w:val="da-DK"/>
        </w:rPr>
        <w:t xml:space="preserve">, men det skal der være fremover. </w:t>
      </w:r>
      <w:r w:rsidRPr="008769B9">
        <w:rPr>
          <w:rFonts w:ascii="Georgia" w:hAnsi="Georgia"/>
          <w:spacing w:val="2"/>
          <w:lang w:val="da-DK"/>
        </w:rPr>
        <w:t xml:space="preserve"> </w:t>
      </w:r>
      <w:r w:rsidR="00535405">
        <w:rPr>
          <w:rFonts w:ascii="Georgia" w:hAnsi="Georgia"/>
          <w:spacing w:val="2"/>
          <w:lang w:val="da-DK"/>
        </w:rPr>
        <w:t xml:space="preserve">For </w:t>
      </w:r>
      <w:r w:rsidR="00B213F5">
        <w:rPr>
          <w:rFonts w:ascii="Georgia" w:hAnsi="Georgia"/>
          <w:spacing w:val="2"/>
          <w:lang w:val="da-DK"/>
        </w:rPr>
        <w:t xml:space="preserve">det samlede fyringsanlæg bestående </w:t>
      </w:r>
      <w:r w:rsidR="00B213F5" w:rsidRPr="00B213F5">
        <w:rPr>
          <w:rFonts w:ascii="Georgia" w:hAnsi="Georgia"/>
          <w:spacing w:val="2"/>
          <w:lang w:val="da-DK"/>
        </w:rPr>
        <w:t xml:space="preserve">af </w:t>
      </w:r>
      <w:r w:rsidR="00B213F5" w:rsidRPr="00B213F5">
        <w:rPr>
          <w:rFonts w:ascii="Georgia" w:hAnsi="Georgia" w:cs="Georgia"/>
          <w:color w:val="000000"/>
          <w:lang w:val="da-DK"/>
        </w:rPr>
        <w:t>H-201</w:t>
      </w:r>
      <w:r w:rsidR="00B213F5">
        <w:rPr>
          <w:rFonts w:ascii="Georgia" w:hAnsi="Georgia" w:cs="Georgia"/>
          <w:color w:val="000000"/>
          <w:lang w:val="da-DK"/>
        </w:rPr>
        <w:t>,</w:t>
      </w:r>
      <w:r w:rsidR="00B213F5" w:rsidRPr="00B213F5">
        <w:rPr>
          <w:rFonts w:ascii="Georgia" w:hAnsi="Georgia" w:cs="Georgia"/>
          <w:color w:val="000000"/>
          <w:lang w:val="da-DK"/>
        </w:rPr>
        <w:t xml:space="preserve"> H-202, H1051, H-1001 og H-601</w:t>
      </w:r>
      <w:r w:rsidR="00B213F5">
        <w:rPr>
          <w:rFonts w:ascii="Georgia" w:hAnsi="Georgia" w:cs="Georgia"/>
          <w:color w:val="000000"/>
          <w:lang w:val="da-DK"/>
        </w:rPr>
        <w:t xml:space="preserve"> sker der en stramning af grænseværdien for NO</w:t>
      </w:r>
      <w:r w:rsidR="00B213F5">
        <w:rPr>
          <w:rFonts w:ascii="Georgia" w:hAnsi="Georgia" w:cs="Georgia"/>
          <w:color w:val="000000"/>
          <w:vertAlign w:val="subscript"/>
          <w:lang w:val="da-DK"/>
        </w:rPr>
        <w:t>x</w:t>
      </w:r>
      <w:r w:rsidR="00B213F5">
        <w:rPr>
          <w:rFonts w:ascii="Georgia" w:hAnsi="Georgia" w:cs="Georgia"/>
          <w:color w:val="000000"/>
          <w:lang w:val="da-DK"/>
        </w:rPr>
        <w:t>. For H-4201 og H-4401 fastholdes den eksisterende grænseværdi for NO</w:t>
      </w:r>
      <w:r w:rsidR="00B213F5">
        <w:rPr>
          <w:rFonts w:ascii="Georgia" w:hAnsi="Georgia" w:cs="Georgia"/>
          <w:color w:val="000000"/>
          <w:vertAlign w:val="subscript"/>
          <w:lang w:val="da-DK"/>
        </w:rPr>
        <w:t>x</w:t>
      </w:r>
      <w:r w:rsidR="00CC2723">
        <w:rPr>
          <w:rFonts w:ascii="Georgia" w:hAnsi="Georgia" w:cs="Georgia"/>
          <w:color w:val="000000"/>
          <w:lang w:val="da-DK"/>
        </w:rPr>
        <w:t>, da den er lavere end hvad bekendtgørelsen for store fyringsanlæg lægger op til. Da Statoil ikke har haft problemer med at overholdende den nuværende grænseværdi er der ikke grund til at lempe grænseværdien.</w:t>
      </w:r>
    </w:p>
    <w:p w:rsidR="008769B9" w:rsidRPr="008769B9" w:rsidRDefault="008769B9" w:rsidP="00CC2723">
      <w:pPr>
        <w:spacing w:before="2"/>
        <w:rPr>
          <w:rFonts w:eastAsia="Georgia" w:cs="Georgia"/>
          <w:szCs w:val="20"/>
        </w:rPr>
      </w:pPr>
    </w:p>
    <w:tbl>
      <w:tblPr>
        <w:tblStyle w:val="TableNormal"/>
        <w:tblW w:w="0" w:type="auto"/>
        <w:tblInd w:w="254" w:type="dxa"/>
        <w:tblLayout w:type="fixed"/>
        <w:tblLook w:val="01E0" w:firstRow="1" w:lastRow="1" w:firstColumn="1" w:lastColumn="1" w:noHBand="0" w:noVBand="0"/>
      </w:tblPr>
      <w:tblGrid>
        <w:gridCol w:w="2127"/>
        <w:gridCol w:w="850"/>
        <w:gridCol w:w="1277"/>
        <w:gridCol w:w="1556"/>
      </w:tblGrid>
      <w:tr w:rsidR="008769B9" w:rsidRPr="008769B9" w:rsidTr="00002D4B">
        <w:trPr>
          <w:trHeight w:hRule="exact" w:val="792"/>
        </w:trPr>
        <w:tc>
          <w:tcPr>
            <w:tcW w:w="2127"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rPr>
                <w:sz w:val="20"/>
                <w:szCs w:val="20"/>
                <w:lang w:val="da-DK"/>
              </w:rPr>
            </w:pPr>
          </w:p>
        </w:tc>
        <w:tc>
          <w:tcPr>
            <w:tcW w:w="850"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pStyle w:val="TableParagraph"/>
              <w:spacing w:before="31"/>
              <w:rPr>
                <w:rFonts w:ascii="Georgia" w:eastAsia="Georgia" w:hAnsi="Georgia" w:cs="Georgia"/>
                <w:sz w:val="20"/>
                <w:szCs w:val="20"/>
              </w:rPr>
            </w:pPr>
            <w:r w:rsidRPr="008769B9">
              <w:rPr>
                <w:rFonts w:ascii="Georgia" w:hAnsi="Georgia"/>
                <w:b/>
                <w:spacing w:val="-2"/>
                <w:sz w:val="20"/>
                <w:szCs w:val="20"/>
              </w:rPr>
              <w:t>Stof</w:t>
            </w:r>
          </w:p>
        </w:tc>
        <w:tc>
          <w:tcPr>
            <w:tcW w:w="1277"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pStyle w:val="TableParagraph"/>
              <w:spacing w:before="31"/>
              <w:ind w:right="8"/>
              <w:jc w:val="center"/>
              <w:rPr>
                <w:rFonts w:ascii="Georgia" w:eastAsia="Georgia" w:hAnsi="Georgia" w:cs="Georgia"/>
                <w:sz w:val="20"/>
                <w:szCs w:val="20"/>
                <w:lang w:val="da-DK"/>
              </w:rPr>
            </w:pPr>
            <w:r w:rsidRPr="008769B9">
              <w:rPr>
                <w:rFonts w:ascii="Georgia" w:hAnsi="Georgia"/>
                <w:b/>
                <w:spacing w:val="-2"/>
                <w:sz w:val="20"/>
                <w:szCs w:val="20"/>
                <w:lang w:val="da-DK"/>
              </w:rPr>
              <w:t>Gældende</w:t>
            </w:r>
          </w:p>
          <w:p w:rsidR="008769B9" w:rsidRPr="008769B9" w:rsidRDefault="008769B9" w:rsidP="00CC2723">
            <w:pPr>
              <w:pStyle w:val="TableParagraph"/>
              <w:spacing w:before="32"/>
              <w:ind w:right="7"/>
              <w:jc w:val="center"/>
              <w:rPr>
                <w:rFonts w:ascii="Georgia" w:eastAsia="Georgia" w:hAnsi="Georgia" w:cs="Georgia"/>
                <w:sz w:val="20"/>
                <w:szCs w:val="20"/>
                <w:lang w:val="da-DK"/>
              </w:rPr>
            </w:pPr>
            <w:r w:rsidRPr="008769B9">
              <w:rPr>
                <w:rFonts w:ascii="Georgia" w:hAnsi="Georgia"/>
                <w:spacing w:val="-1"/>
                <w:sz w:val="20"/>
                <w:szCs w:val="20"/>
                <w:lang w:val="da-DK"/>
              </w:rPr>
              <w:t>mg/Nm</w:t>
            </w:r>
            <w:r w:rsidRPr="008769B9">
              <w:rPr>
                <w:rFonts w:ascii="Georgia" w:hAnsi="Georgia"/>
                <w:spacing w:val="-1"/>
                <w:position w:val="5"/>
                <w:sz w:val="20"/>
                <w:szCs w:val="20"/>
                <w:lang w:val="da-DK"/>
              </w:rPr>
              <w:t>3</w:t>
            </w:r>
          </w:p>
          <w:p w:rsidR="008769B9" w:rsidRPr="008769B9" w:rsidRDefault="008769B9" w:rsidP="00CC2723">
            <w:pPr>
              <w:pStyle w:val="TableParagraph"/>
              <w:spacing w:before="31" w:line="231" w:lineRule="exact"/>
              <w:rPr>
                <w:rFonts w:ascii="Georgia" w:eastAsia="Georgia" w:hAnsi="Georgia" w:cs="Georgia"/>
                <w:sz w:val="20"/>
                <w:szCs w:val="20"/>
                <w:lang w:val="da-DK"/>
              </w:rPr>
            </w:pPr>
            <w:r w:rsidRPr="008769B9">
              <w:rPr>
                <w:rFonts w:ascii="Georgia" w:hAnsi="Georgia"/>
                <w:spacing w:val="-1"/>
                <w:position w:val="2"/>
                <w:sz w:val="20"/>
                <w:szCs w:val="20"/>
                <w:lang w:val="da-DK"/>
              </w:rPr>
              <w:t>ved</w:t>
            </w:r>
            <w:r w:rsidRPr="008769B9">
              <w:rPr>
                <w:rFonts w:ascii="Georgia" w:hAnsi="Georgia"/>
                <w:spacing w:val="-2"/>
                <w:position w:val="2"/>
                <w:sz w:val="20"/>
                <w:szCs w:val="20"/>
                <w:lang w:val="da-DK"/>
              </w:rPr>
              <w:t xml:space="preserve"> </w:t>
            </w:r>
            <w:r w:rsidRPr="008769B9">
              <w:rPr>
                <w:rFonts w:ascii="Georgia" w:hAnsi="Georgia"/>
                <w:position w:val="2"/>
                <w:sz w:val="20"/>
                <w:szCs w:val="20"/>
                <w:lang w:val="da-DK"/>
              </w:rPr>
              <w:t>3</w:t>
            </w:r>
            <w:r w:rsidRPr="008769B9">
              <w:rPr>
                <w:rFonts w:ascii="Georgia" w:hAnsi="Georgia"/>
                <w:spacing w:val="-2"/>
                <w:position w:val="2"/>
                <w:sz w:val="20"/>
                <w:szCs w:val="20"/>
                <w:lang w:val="da-DK"/>
              </w:rPr>
              <w:t xml:space="preserve"> </w:t>
            </w:r>
            <w:r w:rsidRPr="008769B9">
              <w:rPr>
                <w:rFonts w:ascii="Georgia" w:hAnsi="Georgia"/>
                <w:position w:val="2"/>
                <w:sz w:val="20"/>
                <w:szCs w:val="20"/>
                <w:lang w:val="da-DK"/>
              </w:rPr>
              <w:t>%</w:t>
            </w:r>
            <w:r w:rsidRPr="008769B9">
              <w:rPr>
                <w:rFonts w:ascii="Georgia" w:hAnsi="Georgia"/>
                <w:spacing w:val="-2"/>
                <w:position w:val="2"/>
                <w:sz w:val="20"/>
                <w:szCs w:val="20"/>
                <w:lang w:val="da-DK"/>
              </w:rPr>
              <w:t xml:space="preserve"> </w:t>
            </w:r>
            <w:r w:rsidRPr="008769B9">
              <w:rPr>
                <w:rFonts w:ascii="Georgia" w:hAnsi="Georgia"/>
                <w:spacing w:val="-1"/>
                <w:position w:val="2"/>
                <w:sz w:val="20"/>
                <w:szCs w:val="20"/>
                <w:lang w:val="da-DK"/>
              </w:rPr>
              <w:t>O</w:t>
            </w:r>
            <w:r w:rsidRPr="008769B9">
              <w:rPr>
                <w:rFonts w:ascii="Georgia" w:hAnsi="Georgia"/>
                <w:spacing w:val="-1"/>
                <w:sz w:val="20"/>
                <w:szCs w:val="20"/>
                <w:lang w:val="da-DK"/>
              </w:rPr>
              <w:t>2</w:t>
            </w:r>
          </w:p>
        </w:tc>
        <w:tc>
          <w:tcPr>
            <w:tcW w:w="1556"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pStyle w:val="TableParagraph"/>
              <w:spacing w:before="31"/>
              <w:jc w:val="center"/>
              <w:rPr>
                <w:rFonts w:ascii="Georgia" w:eastAsia="Georgia" w:hAnsi="Georgia" w:cs="Georgia"/>
                <w:sz w:val="20"/>
                <w:szCs w:val="20"/>
                <w:lang w:val="da-DK"/>
              </w:rPr>
            </w:pPr>
            <w:r w:rsidRPr="008769B9">
              <w:rPr>
                <w:rFonts w:ascii="Georgia" w:hAnsi="Georgia"/>
                <w:b/>
                <w:spacing w:val="-1"/>
                <w:sz w:val="20"/>
                <w:szCs w:val="20"/>
                <w:lang w:val="da-DK"/>
              </w:rPr>
              <w:t>Fra</w:t>
            </w:r>
            <w:r w:rsidRPr="008769B9">
              <w:rPr>
                <w:rFonts w:ascii="Georgia" w:hAnsi="Georgia"/>
                <w:b/>
                <w:spacing w:val="-3"/>
                <w:sz w:val="20"/>
                <w:szCs w:val="20"/>
                <w:lang w:val="da-DK"/>
              </w:rPr>
              <w:t xml:space="preserve"> </w:t>
            </w:r>
            <w:r w:rsidRPr="008769B9">
              <w:rPr>
                <w:rFonts w:ascii="Georgia" w:hAnsi="Georgia"/>
                <w:b/>
                <w:spacing w:val="-1"/>
                <w:sz w:val="20"/>
                <w:szCs w:val="20"/>
                <w:lang w:val="da-DK"/>
              </w:rPr>
              <w:t>1.1.2016</w:t>
            </w:r>
          </w:p>
          <w:p w:rsidR="008769B9" w:rsidRPr="008769B9" w:rsidRDefault="008769B9" w:rsidP="00CC2723">
            <w:pPr>
              <w:pStyle w:val="TableParagraph"/>
              <w:spacing w:before="32"/>
              <w:jc w:val="center"/>
              <w:rPr>
                <w:rFonts w:ascii="Georgia" w:eastAsia="Georgia" w:hAnsi="Georgia" w:cs="Georgia"/>
                <w:sz w:val="20"/>
                <w:szCs w:val="20"/>
                <w:lang w:val="da-DK"/>
              </w:rPr>
            </w:pPr>
            <w:r w:rsidRPr="008769B9">
              <w:rPr>
                <w:rFonts w:ascii="Georgia" w:hAnsi="Georgia"/>
                <w:spacing w:val="-1"/>
                <w:sz w:val="20"/>
                <w:szCs w:val="20"/>
                <w:lang w:val="da-DK"/>
              </w:rPr>
              <w:t>mg/Nm</w:t>
            </w:r>
            <w:r w:rsidRPr="008769B9">
              <w:rPr>
                <w:rFonts w:ascii="Georgia" w:hAnsi="Georgia"/>
                <w:spacing w:val="-1"/>
                <w:position w:val="5"/>
                <w:sz w:val="20"/>
                <w:szCs w:val="20"/>
                <w:lang w:val="da-DK"/>
              </w:rPr>
              <w:t>3</w:t>
            </w:r>
          </w:p>
          <w:p w:rsidR="008769B9" w:rsidRPr="008769B9" w:rsidRDefault="008769B9" w:rsidP="00CC2723">
            <w:pPr>
              <w:pStyle w:val="TableParagraph"/>
              <w:spacing w:before="31" w:line="231" w:lineRule="exact"/>
              <w:jc w:val="center"/>
              <w:rPr>
                <w:rFonts w:ascii="Georgia" w:eastAsia="Georgia" w:hAnsi="Georgia" w:cs="Georgia"/>
                <w:sz w:val="20"/>
                <w:szCs w:val="20"/>
                <w:lang w:val="da-DK"/>
              </w:rPr>
            </w:pPr>
            <w:r w:rsidRPr="008769B9">
              <w:rPr>
                <w:rFonts w:ascii="Georgia" w:hAnsi="Georgia"/>
                <w:spacing w:val="-1"/>
                <w:position w:val="2"/>
                <w:sz w:val="20"/>
                <w:szCs w:val="20"/>
                <w:lang w:val="da-DK"/>
              </w:rPr>
              <w:t>ved</w:t>
            </w:r>
            <w:r w:rsidRPr="008769B9">
              <w:rPr>
                <w:rFonts w:ascii="Georgia" w:hAnsi="Georgia"/>
                <w:spacing w:val="-2"/>
                <w:position w:val="2"/>
                <w:sz w:val="20"/>
                <w:szCs w:val="20"/>
                <w:lang w:val="da-DK"/>
              </w:rPr>
              <w:t xml:space="preserve"> </w:t>
            </w:r>
            <w:r w:rsidRPr="008769B9">
              <w:rPr>
                <w:rFonts w:ascii="Georgia" w:hAnsi="Georgia"/>
                <w:position w:val="2"/>
                <w:sz w:val="20"/>
                <w:szCs w:val="20"/>
                <w:lang w:val="da-DK"/>
              </w:rPr>
              <w:t>3</w:t>
            </w:r>
            <w:r w:rsidRPr="008769B9">
              <w:rPr>
                <w:rFonts w:ascii="Georgia" w:hAnsi="Georgia"/>
                <w:spacing w:val="-2"/>
                <w:position w:val="2"/>
                <w:sz w:val="20"/>
                <w:szCs w:val="20"/>
                <w:lang w:val="da-DK"/>
              </w:rPr>
              <w:t xml:space="preserve"> </w:t>
            </w:r>
            <w:r w:rsidRPr="008769B9">
              <w:rPr>
                <w:rFonts w:ascii="Georgia" w:hAnsi="Georgia"/>
                <w:position w:val="2"/>
                <w:sz w:val="20"/>
                <w:szCs w:val="20"/>
                <w:lang w:val="da-DK"/>
              </w:rPr>
              <w:t>%</w:t>
            </w:r>
            <w:r w:rsidRPr="008769B9">
              <w:rPr>
                <w:rFonts w:ascii="Georgia" w:hAnsi="Georgia"/>
                <w:spacing w:val="-2"/>
                <w:position w:val="2"/>
                <w:sz w:val="20"/>
                <w:szCs w:val="20"/>
                <w:lang w:val="da-DK"/>
              </w:rPr>
              <w:t xml:space="preserve"> </w:t>
            </w:r>
            <w:r w:rsidRPr="008769B9">
              <w:rPr>
                <w:rFonts w:ascii="Georgia" w:hAnsi="Georgia"/>
                <w:spacing w:val="-1"/>
                <w:position w:val="2"/>
                <w:sz w:val="20"/>
                <w:szCs w:val="20"/>
                <w:lang w:val="da-DK"/>
              </w:rPr>
              <w:t>O</w:t>
            </w:r>
            <w:r w:rsidRPr="008769B9">
              <w:rPr>
                <w:rFonts w:ascii="Georgia" w:hAnsi="Georgia"/>
                <w:spacing w:val="-1"/>
                <w:sz w:val="20"/>
                <w:szCs w:val="20"/>
                <w:lang w:val="da-DK"/>
              </w:rPr>
              <w:t>2</w:t>
            </w:r>
          </w:p>
        </w:tc>
      </w:tr>
      <w:tr w:rsidR="008769B9" w:rsidRPr="008769B9" w:rsidTr="00002D4B">
        <w:trPr>
          <w:trHeight w:hRule="exact" w:val="269"/>
        </w:trPr>
        <w:tc>
          <w:tcPr>
            <w:tcW w:w="2127" w:type="dxa"/>
            <w:tcBorders>
              <w:top w:val="single" w:sz="5" w:space="0" w:color="000000"/>
              <w:left w:val="single" w:sz="5" w:space="0" w:color="000000"/>
              <w:bottom w:val="nil"/>
              <w:right w:val="single" w:sz="5" w:space="0" w:color="000000"/>
            </w:tcBorders>
          </w:tcPr>
          <w:p w:rsidR="00002D4B" w:rsidRPr="009E24C0" w:rsidRDefault="00002D4B" w:rsidP="00CC2723">
            <w:pPr>
              <w:pStyle w:val="TableParagraph"/>
              <w:spacing w:before="31"/>
              <w:rPr>
                <w:rFonts w:ascii="Georgia" w:hAnsi="Georgia" w:cs="Georgia"/>
                <w:b/>
                <w:color w:val="000000"/>
                <w:lang w:val="da-DK"/>
              </w:rPr>
            </w:pPr>
            <w:r w:rsidRPr="009E24C0">
              <w:rPr>
                <w:rFonts w:ascii="Georgia" w:hAnsi="Georgia" w:cs="Georgia"/>
                <w:b/>
                <w:color w:val="000000"/>
                <w:lang w:val="da-DK"/>
              </w:rPr>
              <w:t>H-201, H-202,</w:t>
            </w:r>
          </w:p>
          <w:p w:rsidR="00002D4B" w:rsidRPr="009E24C0" w:rsidRDefault="00002D4B" w:rsidP="00CC2723">
            <w:pPr>
              <w:pStyle w:val="TableParagraph"/>
              <w:spacing w:before="31"/>
              <w:rPr>
                <w:rFonts w:ascii="Georgia" w:hAnsi="Georgia" w:cs="Georgia"/>
                <w:b/>
                <w:color w:val="000000"/>
                <w:lang w:val="da-DK"/>
              </w:rPr>
            </w:pPr>
          </w:p>
          <w:p w:rsidR="00002D4B" w:rsidRPr="009E24C0" w:rsidRDefault="00002D4B" w:rsidP="00CC2723">
            <w:pPr>
              <w:pStyle w:val="TableParagraph"/>
              <w:spacing w:before="31"/>
              <w:rPr>
                <w:rFonts w:ascii="Georgia" w:hAnsi="Georgia" w:cs="Georgia"/>
                <w:b/>
                <w:color w:val="000000"/>
                <w:lang w:val="da-DK"/>
              </w:rPr>
            </w:pPr>
            <w:r w:rsidRPr="009E24C0">
              <w:rPr>
                <w:rFonts w:ascii="Georgia" w:hAnsi="Georgia" w:cs="Georgia"/>
                <w:b/>
                <w:color w:val="000000"/>
                <w:lang w:val="da-DK"/>
              </w:rPr>
              <w:t>H-201, H-202, HH1051,</w:t>
            </w:r>
          </w:p>
          <w:p w:rsidR="00002D4B" w:rsidRPr="009E24C0" w:rsidRDefault="00002D4B" w:rsidP="00CC2723">
            <w:pPr>
              <w:pStyle w:val="TableParagraph"/>
              <w:spacing w:before="31"/>
              <w:rPr>
                <w:rFonts w:ascii="Georgia" w:hAnsi="Georgia" w:cs="Georgia"/>
                <w:b/>
                <w:color w:val="000000"/>
                <w:lang w:val="da-DK"/>
              </w:rPr>
            </w:pPr>
          </w:p>
          <w:p w:rsidR="008769B9" w:rsidRPr="009E24C0" w:rsidRDefault="00002D4B" w:rsidP="00CC2723">
            <w:pPr>
              <w:pStyle w:val="TableParagraph"/>
              <w:spacing w:before="31"/>
              <w:rPr>
                <w:rFonts w:ascii="Georgia" w:eastAsia="Georgia" w:hAnsi="Georgia" w:cs="Georgia"/>
                <w:lang w:val="da-DK"/>
              </w:rPr>
            </w:pPr>
            <w:r w:rsidRPr="009E24C0">
              <w:rPr>
                <w:rFonts w:ascii="Georgia" w:hAnsi="Georgia" w:cs="Georgia"/>
                <w:b/>
                <w:color w:val="000000"/>
                <w:lang w:val="da-DK"/>
              </w:rPr>
              <w:t xml:space="preserve"> H-1001 og H-601</w:t>
            </w:r>
          </w:p>
        </w:tc>
        <w:tc>
          <w:tcPr>
            <w:tcW w:w="850"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pStyle w:val="TableParagraph"/>
              <w:spacing w:before="31" w:line="226" w:lineRule="exact"/>
              <w:rPr>
                <w:rFonts w:ascii="Georgia" w:eastAsia="Georgia" w:hAnsi="Georgia" w:cs="Georgia"/>
                <w:sz w:val="20"/>
                <w:szCs w:val="20"/>
              </w:rPr>
            </w:pPr>
            <w:r w:rsidRPr="008769B9">
              <w:rPr>
                <w:rFonts w:ascii="Georgia" w:hAnsi="Georgia"/>
                <w:spacing w:val="-1"/>
                <w:sz w:val="20"/>
                <w:szCs w:val="20"/>
              </w:rPr>
              <w:t>SO2</w:t>
            </w:r>
          </w:p>
        </w:tc>
        <w:tc>
          <w:tcPr>
            <w:tcW w:w="1277" w:type="dxa"/>
            <w:tcBorders>
              <w:top w:val="single" w:sz="5" w:space="0" w:color="000000"/>
              <w:left w:val="single" w:sz="5" w:space="0" w:color="000000"/>
              <w:bottom w:val="single" w:sz="5" w:space="0" w:color="000000"/>
              <w:right w:val="single" w:sz="5" w:space="0" w:color="000000"/>
            </w:tcBorders>
          </w:tcPr>
          <w:p w:rsidR="008769B9" w:rsidRPr="008769B9" w:rsidRDefault="00002D4B"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w:t>
            </w:r>
          </w:p>
        </w:tc>
        <w:tc>
          <w:tcPr>
            <w:tcW w:w="1556" w:type="dxa"/>
            <w:tcBorders>
              <w:top w:val="single" w:sz="5" w:space="0" w:color="000000"/>
              <w:left w:val="single" w:sz="5" w:space="0" w:color="000000"/>
              <w:bottom w:val="single" w:sz="5" w:space="0" w:color="000000"/>
              <w:right w:val="single" w:sz="5" w:space="0" w:color="000000"/>
            </w:tcBorders>
          </w:tcPr>
          <w:p w:rsidR="008769B9" w:rsidRPr="008769B9" w:rsidRDefault="009A2133"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35</w:t>
            </w:r>
          </w:p>
        </w:tc>
      </w:tr>
      <w:tr w:rsidR="008769B9" w:rsidRPr="008769B9" w:rsidTr="00002D4B">
        <w:trPr>
          <w:trHeight w:hRule="exact" w:val="269"/>
        </w:trPr>
        <w:tc>
          <w:tcPr>
            <w:tcW w:w="2127" w:type="dxa"/>
            <w:tcBorders>
              <w:top w:val="nil"/>
              <w:left w:val="single" w:sz="5" w:space="0" w:color="000000"/>
              <w:bottom w:val="nil"/>
              <w:right w:val="single" w:sz="5" w:space="0" w:color="000000"/>
            </w:tcBorders>
          </w:tcPr>
          <w:p w:rsidR="008769B9" w:rsidRPr="00002D4B" w:rsidRDefault="00002D4B" w:rsidP="00CC2723">
            <w:pPr>
              <w:rPr>
                <w:szCs w:val="22"/>
              </w:rPr>
            </w:pPr>
            <w:r w:rsidRPr="00002D4B">
              <w:rPr>
                <w:rFonts w:cs="Georgia"/>
                <w:b/>
                <w:color w:val="000000"/>
                <w:szCs w:val="22"/>
              </w:rPr>
              <w:t>H1051, H-1001</w:t>
            </w:r>
          </w:p>
        </w:tc>
        <w:tc>
          <w:tcPr>
            <w:tcW w:w="850"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pStyle w:val="TableParagraph"/>
              <w:spacing w:before="31" w:line="226" w:lineRule="exact"/>
              <w:rPr>
                <w:rFonts w:ascii="Georgia" w:eastAsia="Georgia" w:hAnsi="Georgia" w:cs="Georgia"/>
                <w:sz w:val="20"/>
                <w:szCs w:val="20"/>
              </w:rPr>
            </w:pPr>
            <w:r w:rsidRPr="008769B9">
              <w:rPr>
                <w:rFonts w:ascii="Georgia" w:hAnsi="Georgia"/>
                <w:spacing w:val="-2"/>
                <w:sz w:val="20"/>
                <w:szCs w:val="20"/>
              </w:rPr>
              <w:t>NOx</w:t>
            </w:r>
          </w:p>
        </w:tc>
        <w:tc>
          <w:tcPr>
            <w:tcW w:w="1277" w:type="dxa"/>
            <w:tcBorders>
              <w:top w:val="single" w:sz="5" w:space="0" w:color="000000"/>
              <w:left w:val="single" w:sz="5" w:space="0" w:color="000000"/>
              <w:bottom w:val="single" w:sz="5" w:space="0" w:color="000000"/>
              <w:right w:val="single" w:sz="5" w:space="0" w:color="000000"/>
            </w:tcBorders>
          </w:tcPr>
          <w:p w:rsidR="008769B9" w:rsidRPr="008769B9" w:rsidRDefault="00002D4B"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350</w:t>
            </w:r>
          </w:p>
        </w:tc>
        <w:tc>
          <w:tcPr>
            <w:tcW w:w="1556" w:type="dxa"/>
            <w:tcBorders>
              <w:top w:val="single" w:sz="5" w:space="0" w:color="000000"/>
              <w:left w:val="single" w:sz="5" w:space="0" w:color="000000"/>
              <w:bottom w:val="single" w:sz="5" w:space="0" w:color="000000"/>
              <w:right w:val="single" w:sz="5" w:space="0" w:color="000000"/>
            </w:tcBorders>
          </w:tcPr>
          <w:p w:rsidR="008769B9" w:rsidRPr="008769B9" w:rsidRDefault="00002D4B"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3</w:t>
            </w:r>
            <w:r w:rsidR="008769B9" w:rsidRPr="008769B9">
              <w:rPr>
                <w:rFonts w:ascii="Georgia" w:hAnsi="Georgia"/>
                <w:sz w:val="20"/>
                <w:szCs w:val="20"/>
              </w:rPr>
              <w:t>00</w:t>
            </w:r>
          </w:p>
        </w:tc>
      </w:tr>
      <w:tr w:rsidR="008769B9" w:rsidRPr="008769B9" w:rsidTr="00002D4B">
        <w:trPr>
          <w:trHeight w:hRule="exact" w:val="269"/>
        </w:trPr>
        <w:tc>
          <w:tcPr>
            <w:tcW w:w="2127" w:type="dxa"/>
            <w:tcBorders>
              <w:top w:val="nil"/>
              <w:left w:val="single" w:sz="5" w:space="0" w:color="000000"/>
              <w:bottom w:val="single" w:sz="5" w:space="0" w:color="000000"/>
              <w:right w:val="single" w:sz="5" w:space="0" w:color="000000"/>
            </w:tcBorders>
          </w:tcPr>
          <w:p w:rsidR="008769B9" w:rsidRPr="00002D4B" w:rsidRDefault="00002D4B" w:rsidP="00CC2723">
            <w:pPr>
              <w:rPr>
                <w:szCs w:val="22"/>
              </w:rPr>
            </w:pPr>
            <w:r w:rsidRPr="00002D4B">
              <w:rPr>
                <w:rFonts w:cs="Georgia"/>
                <w:b/>
                <w:color w:val="000000"/>
                <w:szCs w:val="22"/>
              </w:rPr>
              <w:t>og H-601</w:t>
            </w:r>
            <w:r w:rsidR="00B213F5">
              <w:rPr>
                <w:rFonts w:cs="Georgia"/>
                <w:b/>
                <w:color w:val="000000"/>
                <w:szCs w:val="22"/>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8769B9" w:rsidRPr="008769B9" w:rsidRDefault="008769B9" w:rsidP="00CC2723">
            <w:pPr>
              <w:pStyle w:val="TableParagraph"/>
              <w:spacing w:before="31" w:line="226" w:lineRule="exact"/>
              <w:rPr>
                <w:rFonts w:ascii="Georgia" w:eastAsia="Georgia" w:hAnsi="Georgia" w:cs="Georgia"/>
                <w:sz w:val="20"/>
                <w:szCs w:val="20"/>
              </w:rPr>
            </w:pPr>
            <w:r w:rsidRPr="008769B9">
              <w:rPr>
                <w:rFonts w:ascii="Georgia" w:hAnsi="Georgia"/>
                <w:spacing w:val="-1"/>
                <w:sz w:val="20"/>
                <w:szCs w:val="20"/>
              </w:rPr>
              <w:t>Støv</w:t>
            </w:r>
          </w:p>
        </w:tc>
        <w:tc>
          <w:tcPr>
            <w:tcW w:w="1277" w:type="dxa"/>
            <w:tcBorders>
              <w:top w:val="single" w:sz="5" w:space="0" w:color="000000"/>
              <w:left w:val="single" w:sz="5" w:space="0" w:color="000000"/>
              <w:bottom w:val="single" w:sz="5" w:space="0" w:color="000000"/>
              <w:right w:val="single" w:sz="5" w:space="0" w:color="000000"/>
            </w:tcBorders>
          </w:tcPr>
          <w:p w:rsidR="008769B9" w:rsidRPr="008769B9" w:rsidRDefault="00002D4B" w:rsidP="00CC2723">
            <w:pPr>
              <w:pStyle w:val="TableParagraph"/>
              <w:spacing w:before="31" w:line="226" w:lineRule="exact"/>
              <w:ind w:right="9"/>
              <w:jc w:val="center"/>
              <w:rPr>
                <w:rFonts w:ascii="Georgia" w:eastAsia="Georgia" w:hAnsi="Georgia" w:cs="Georgia"/>
                <w:sz w:val="20"/>
                <w:szCs w:val="20"/>
              </w:rPr>
            </w:pPr>
            <w:r>
              <w:rPr>
                <w:rFonts w:ascii="Georgia" w:hAnsi="Georgia"/>
                <w:spacing w:val="-1"/>
                <w:sz w:val="20"/>
                <w:szCs w:val="20"/>
              </w:rPr>
              <w:t>5</w:t>
            </w:r>
          </w:p>
        </w:tc>
        <w:tc>
          <w:tcPr>
            <w:tcW w:w="1556" w:type="dxa"/>
            <w:tcBorders>
              <w:top w:val="single" w:sz="5" w:space="0" w:color="000000"/>
              <w:left w:val="single" w:sz="5" w:space="0" w:color="000000"/>
              <w:bottom w:val="single" w:sz="5" w:space="0" w:color="000000"/>
              <w:right w:val="single" w:sz="5" w:space="0" w:color="000000"/>
            </w:tcBorders>
          </w:tcPr>
          <w:p w:rsidR="008769B9" w:rsidRPr="008769B9" w:rsidRDefault="00002D4B" w:rsidP="00CC2723">
            <w:pPr>
              <w:pStyle w:val="TableParagraph"/>
              <w:spacing w:before="31" w:line="226" w:lineRule="exact"/>
              <w:ind w:right="6"/>
              <w:jc w:val="center"/>
              <w:rPr>
                <w:rFonts w:ascii="Georgia" w:eastAsia="Georgia" w:hAnsi="Georgia" w:cs="Georgia"/>
                <w:sz w:val="20"/>
                <w:szCs w:val="20"/>
              </w:rPr>
            </w:pPr>
            <w:r>
              <w:rPr>
                <w:rFonts w:ascii="Georgia" w:hAnsi="Georgia"/>
                <w:spacing w:val="-3"/>
                <w:sz w:val="20"/>
                <w:szCs w:val="20"/>
              </w:rPr>
              <w:t>5</w:t>
            </w:r>
          </w:p>
        </w:tc>
      </w:tr>
      <w:tr w:rsidR="00535405" w:rsidRPr="008769B9" w:rsidTr="00002D4B">
        <w:trPr>
          <w:trHeight w:hRule="exact" w:val="274"/>
        </w:trPr>
        <w:tc>
          <w:tcPr>
            <w:tcW w:w="2127" w:type="dxa"/>
            <w:tcBorders>
              <w:top w:val="single" w:sz="5" w:space="0" w:color="000000"/>
              <w:left w:val="single" w:sz="5" w:space="0" w:color="000000"/>
              <w:bottom w:val="nil"/>
              <w:right w:val="single" w:sz="5" w:space="0" w:color="000000"/>
            </w:tcBorders>
          </w:tcPr>
          <w:p w:rsidR="00535405" w:rsidRPr="008769B9" w:rsidRDefault="00535405" w:rsidP="00CC2723">
            <w:pPr>
              <w:pStyle w:val="TableParagraph"/>
              <w:spacing w:before="31"/>
              <w:rPr>
                <w:rFonts w:ascii="Georgia" w:eastAsia="Georgia" w:hAnsi="Georgia" w:cs="Georgia"/>
                <w:sz w:val="20"/>
                <w:szCs w:val="20"/>
              </w:rPr>
            </w:pPr>
          </w:p>
        </w:tc>
        <w:tc>
          <w:tcPr>
            <w:tcW w:w="850" w:type="dxa"/>
            <w:tcBorders>
              <w:top w:val="single" w:sz="5" w:space="0" w:color="000000"/>
              <w:left w:val="single" w:sz="5" w:space="0" w:color="000000"/>
              <w:bottom w:val="single" w:sz="5" w:space="0" w:color="000000"/>
              <w:right w:val="single" w:sz="5" w:space="0" w:color="000000"/>
            </w:tcBorders>
          </w:tcPr>
          <w:p w:rsidR="00535405" w:rsidRPr="008769B9" w:rsidRDefault="00535405" w:rsidP="00CC2723">
            <w:pPr>
              <w:pStyle w:val="TableParagraph"/>
              <w:spacing w:before="31"/>
              <w:rPr>
                <w:rFonts w:ascii="Georgia" w:eastAsia="Georgia" w:hAnsi="Georgia" w:cs="Georgia"/>
                <w:sz w:val="20"/>
                <w:szCs w:val="20"/>
              </w:rPr>
            </w:pPr>
            <w:r w:rsidRPr="008769B9">
              <w:rPr>
                <w:rFonts w:ascii="Georgia" w:hAnsi="Georgia"/>
                <w:spacing w:val="-1"/>
                <w:sz w:val="20"/>
                <w:szCs w:val="20"/>
              </w:rPr>
              <w:t>SO2</w:t>
            </w:r>
          </w:p>
        </w:tc>
        <w:tc>
          <w:tcPr>
            <w:tcW w:w="1277" w:type="dxa"/>
            <w:tcBorders>
              <w:top w:val="single" w:sz="5" w:space="0" w:color="000000"/>
              <w:left w:val="single" w:sz="5" w:space="0" w:color="000000"/>
              <w:bottom w:val="single" w:sz="5" w:space="0" w:color="000000"/>
              <w:right w:val="single" w:sz="5" w:space="0" w:color="000000"/>
            </w:tcBorders>
          </w:tcPr>
          <w:p w:rsidR="00535405" w:rsidRPr="008769B9" w:rsidRDefault="00535405" w:rsidP="00CC2723">
            <w:pPr>
              <w:pStyle w:val="TableParagraph"/>
              <w:spacing w:before="31"/>
              <w:ind w:right="9"/>
              <w:jc w:val="center"/>
              <w:rPr>
                <w:rFonts w:ascii="Georgia" w:eastAsia="Georgia" w:hAnsi="Georgia" w:cs="Georgia"/>
                <w:sz w:val="20"/>
                <w:szCs w:val="20"/>
              </w:rPr>
            </w:pPr>
            <w:r w:rsidRPr="008769B9">
              <w:rPr>
                <w:rFonts w:ascii="Georgia" w:hAnsi="Georgia"/>
                <w:sz w:val="20"/>
                <w:szCs w:val="20"/>
              </w:rPr>
              <w:t>-</w:t>
            </w:r>
          </w:p>
        </w:tc>
        <w:tc>
          <w:tcPr>
            <w:tcW w:w="1556" w:type="dxa"/>
            <w:tcBorders>
              <w:top w:val="single" w:sz="5" w:space="0" w:color="000000"/>
              <w:left w:val="single" w:sz="5" w:space="0" w:color="000000"/>
              <w:bottom w:val="single" w:sz="5" w:space="0" w:color="000000"/>
              <w:right w:val="single" w:sz="5" w:space="0" w:color="000000"/>
            </w:tcBorders>
          </w:tcPr>
          <w:p w:rsidR="00535405" w:rsidRPr="008769B9" w:rsidRDefault="009A2133"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35</w:t>
            </w:r>
          </w:p>
        </w:tc>
      </w:tr>
      <w:tr w:rsidR="00535405" w:rsidRPr="008769B9" w:rsidTr="00002D4B">
        <w:trPr>
          <w:trHeight w:hRule="exact" w:val="269"/>
        </w:trPr>
        <w:tc>
          <w:tcPr>
            <w:tcW w:w="2127" w:type="dxa"/>
            <w:tcBorders>
              <w:top w:val="nil"/>
              <w:left w:val="single" w:sz="5" w:space="0" w:color="000000"/>
              <w:bottom w:val="nil"/>
              <w:right w:val="single" w:sz="5" w:space="0" w:color="000000"/>
            </w:tcBorders>
          </w:tcPr>
          <w:p w:rsidR="00535405" w:rsidRPr="00CC2723" w:rsidRDefault="00535405" w:rsidP="00CC2723">
            <w:pPr>
              <w:rPr>
                <w:b/>
                <w:szCs w:val="22"/>
              </w:rPr>
            </w:pPr>
            <w:r w:rsidRPr="00CC2723">
              <w:rPr>
                <w:b/>
                <w:szCs w:val="22"/>
              </w:rPr>
              <w:t>H-4201</w:t>
            </w:r>
          </w:p>
        </w:tc>
        <w:tc>
          <w:tcPr>
            <w:tcW w:w="850" w:type="dxa"/>
            <w:tcBorders>
              <w:top w:val="single" w:sz="5" w:space="0" w:color="000000"/>
              <w:left w:val="single" w:sz="5" w:space="0" w:color="000000"/>
              <w:bottom w:val="single" w:sz="5" w:space="0" w:color="000000"/>
              <w:right w:val="single" w:sz="5" w:space="0" w:color="000000"/>
            </w:tcBorders>
          </w:tcPr>
          <w:p w:rsidR="00535405" w:rsidRPr="00CC2723" w:rsidRDefault="00535405" w:rsidP="00CC2723">
            <w:pPr>
              <w:pStyle w:val="TableParagraph"/>
              <w:spacing w:before="31" w:line="226" w:lineRule="exact"/>
              <w:rPr>
                <w:rFonts w:ascii="Georgia" w:eastAsia="Georgia" w:hAnsi="Georgia" w:cs="Georgia"/>
                <w:sz w:val="20"/>
                <w:szCs w:val="20"/>
              </w:rPr>
            </w:pPr>
            <w:r w:rsidRPr="00CC2723">
              <w:rPr>
                <w:rFonts w:ascii="Georgia" w:hAnsi="Georgia"/>
                <w:spacing w:val="-2"/>
                <w:sz w:val="20"/>
                <w:szCs w:val="20"/>
              </w:rPr>
              <w:t>NOx</w:t>
            </w:r>
          </w:p>
        </w:tc>
        <w:tc>
          <w:tcPr>
            <w:tcW w:w="1277" w:type="dxa"/>
            <w:tcBorders>
              <w:top w:val="single" w:sz="5" w:space="0" w:color="000000"/>
              <w:left w:val="single" w:sz="5" w:space="0" w:color="000000"/>
              <w:bottom w:val="single" w:sz="5" w:space="0" w:color="000000"/>
              <w:right w:val="single" w:sz="5" w:space="0" w:color="000000"/>
            </w:tcBorders>
          </w:tcPr>
          <w:p w:rsidR="00535405" w:rsidRPr="00CC2723" w:rsidRDefault="00535405" w:rsidP="00CC2723">
            <w:pPr>
              <w:pStyle w:val="TableParagraph"/>
              <w:spacing w:before="31" w:line="226" w:lineRule="exact"/>
              <w:jc w:val="center"/>
              <w:rPr>
                <w:rFonts w:ascii="Georgia" w:eastAsia="Georgia" w:hAnsi="Georgia" w:cs="Georgia"/>
                <w:sz w:val="20"/>
                <w:szCs w:val="20"/>
              </w:rPr>
            </w:pPr>
            <w:r w:rsidRPr="00CC2723">
              <w:rPr>
                <w:rFonts w:ascii="Georgia" w:hAnsi="Georgia"/>
                <w:sz w:val="20"/>
                <w:szCs w:val="20"/>
              </w:rPr>
              <w:t>225</w:t>
            </w:r>
          </w:p>
        </w:tc>
        <w:tc>
          <w:tcPr>
            <w:tcW w:w="1556" w:type="dxa"/>
            <w:tcBorders>
              <w:top w:val="single" w:sz="5" w:space="0" w:color="000000"/>
              <w:left w:val="single" w:sz="5" w:space="0" w:color="000000"/>
              <w:bottom w:val="single" w:sz="5" w:space="0" w:color="000000"/>
              <w:right w:val="single" w:sz="5" w:space="0" w:color="000000"/>
            </w:tcBorders>
          </w:tcPr>
          <w:p w:rsidR="00535405" w:rsidRPr="00CC2723" w:rsidRDefault="00CC2723"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225</w:t>
            </w:r>
          </w:p>
        </w:tc>
      </w:tr>
      <w:tr w:rsidR="00535405" w:rsidRPr="008769B9" w:rsidTr="00002D4B">
        <w:trPr>
          <w:trHeight w:hRule="exact" w:val="269"/>
        </w:trPr>
        <w:tc>
          <w:tcPr>
            <w:tcW w:w="2127" w:type="dxa"/>
            <w:tcBorders>
              <w:top w:val="nil"/>
              <w:left w:val="single" w:sz="5" w:space="0" w:color="000000"/>
              <w:bottom w:val="single" w:sz="4" w:space="0" w:color="auto"/>
              <w:right w:val="single" w:sz="5" w:space="0" w:color="000000"/>
            </w:tcBorders>
          </w:tcPr>
          <w:p w:rsidR="00535405" w:rsidRPr="008769B9" w:rsidRDefault="00535405" w:rsidP="00CC2723">
            <w:pPr>
              <w:rPr>
                <w:sz w:val="20"/>
                <w:szCs w:val="20"/>
              </w:rPr>
            </w:pPr>
          </w:p>
        </w:tc>
        <w:tc>
          <w:tcPr>
            <w:tcW w:w="850" w:type="dxa"/>
            <w:tcBorders>
              <w:top w:val="single" w:sz="5" w:space="0" w:color="000000"/>
              <w:left w:val="single" w:sz="5" w:space="0" w:color="000000"/>
              <w:bottom w:val="single" w:sz="4" w:space="0" w:color="auto"/>
              <w:right w:val="single" w:sz="5" w:space="0" w:color="000000"/>
            </w:tcBorders>
          </w:tcPr>
          <w:p w:rsidR="00535405" w:rsidRPr="008769B9" w:rsidRDefault="00535405" w:rsidP="00CC2723">
            <w:pPr>
              <w:pStyle w:val="TableParagraph"/>
              <w:spacing w:before="31" w:line="226" w:lineRule="exact"/>
              <w:rPr>
                <w:rFonts w:ascii="Georgia" w:eastAsia="Georgia" w:hAnsi="Georgia" w:cs="Georgia"/>
                <w:sz w:val="20"/>
                <w:szCs w:val="20"/>
              </w:rPr>
            </w:pPr>
            <w:r w:rsidRPr="008769B9">
              <w:rPr>
                <w:rFonts w:ascii="Georgia" w:hAnsi="Georgia"/>
                <w:spacing w:val="-1"/>
                <w:sz w:val="20"/>
                <w:szCs w:val="20"/>
              </w:rPr>
              <w:t>Støv</w:t>
            </w:r>
          </w:p>
        </w:tc>
        <w:tc>
          <w:tcPr>
            <w:tcW w:w="1277" w:type="dxa"/>
            <w:tcBorders>
              <w:top w:val="single" w:sz="5" w:space="0" w:color="000000"/>
              <w:left w:val="single" w:sz="5" w:space="0" w:color="000000"/>
              <w:bottom w:val="single" w:sz="4" w:space="0" w:color="auto"/>
              <w:right w:val="single" w:sz="5" w:space="0" w:color="000000"/>
            </w:tcBorders>
          </w:tcPr>
          <w:p w:rsidR="00535405" w:rsidRPr="008769B9" w:rsidRDefault="00535405" w:rsidP="00CC2723">
            <w:pPr>
              <w:pStyle w:val="TableParagraph"/>
              <w:spacing w:before="31" w:line="226" w:lineRule="exact"/>
              <w:jc w:val="center"/>
              <w:rPr>
                <w:rFonts w:ascii="Georgia" w:eastAsia="Georgia" w:hAnsi="Georgia" w:cs="Georgia"/>
                <w:sz w:val="20"/>
                <w:szCs w:val="20"/>
              </w:rPr>
            </w:pPr>
            <w:r>
              <w:rPr>
                <w:rFonts w:ascii="Georgia" w:hAnsi="Georgia"/>
                <w:spacing w:val="1"/>
                <w:sz w:val="20"/>
                <w:szCs w:val="20"/>
              </w:rPr>
              <w:t>5</w:t>
            </w:r>
          </w:p>
        </w:tc>
        <w:tc>
          <w:tcPr>
            <w:tcW w:w="1556" w:type="dxa"/>
            <w:tcBorders>
              <w:top w:val="single" w:sz="5" w:space="0" w:color="000000"/>
              <w:left w:val="single" w:sz="5" w:space="0" w:color="000000"/>
              <w:bottom w:val="single" w:sz="4" w:space="0" w:color="auto"/>
              <w:right w:val="single" w:sz="5" w:space="0" w:color="000000"/>
            </w:tcBorders>
          </w:tcPr>
          <w:p w:rsidR="00535405" w:rsidRPr="008769B9" w:rsidRDefault="00535405" w:rsidP="00CC2723">
            <w:pPr>
              <w:pStyle w:val="TableParagraph"/>
              <w:spacing w:before="31" w:line="226" w:lineRule="exact"/>
              <w:ind w:right="6"/>
              <w:jc w:val="center"/>
              <w:rPr>
                <w:rFonts w:ascii="Georgia" w:eastAsia="Georgia" w:hAnsi="Georgia" w:cs="Georgia"/>
                <w:sz w:val="20"/>
                <w:szCs w:val="20"/>
              </w:rPr>
            </w:pPr>
            <w:r>
              <w:rPr>
                <w:rFonts w:ascii="Georgia" w:hAnsi="Georgia"/>
                <w:spacing w:val="-3"/>
                <w:sz w:val="20"/>
                <w:szCs w:val="20"/>
              </w:rPr>
              <w:t>5</w:t>
            </w:r>
          </w:p>
        </w:tc>
      </w:tr>
      <w:tr w:rsidR="00535405" w:rsidRPr="008769B9" w:rsidTr="001B0C28">
        <w:tblPrEx>
          <w:tblLook w:val="04A0" w:firstRow="1" w:lastRow="0" w:firstColumn="1" w:lastColumn="0" w:noHBand="0" w:noVBand="1"/>
        </w:tblPrEx>
        <w:trPr>
          <w:trHeight w:hRule="exact" w:val="274"/>
        </w:trPr>
        <w:tc>
          <w:tcPr>
            <w:tcW w:w="2127" w:type="dxa"/>
            <w:vMerge w:val="restart"/>
            <w:tcBorders>
              <w:top w:val="single" w:sz="4" w:space="0" w:color="auto"/>
              <w:left w:val="single" w:sz="4" w:space="0" w:color="auto"/>
              <w:right w:val="single" w:sz="4" w:space="0" w:color="auto"/>
            </w:tcBorders>
          </w:tcPr>
          <w:p w:rsidR="00535405" w:rsidRDefault="00535405" w:rsidP="00CC2723">
            <w:pPr>
              <w:pStyle w:val="TableParagraph"/>
              <w:spacing w:before="31"/>
              <w:rPr>
                <w:rFonts w:ascii="Georgia" w:eastAsia="Georgia" w:hAnsi="Georgia" w:cs="Georgia"/>
                <w:sz w:val="20"/>
                <w:szCs w:val="20"/>
              </w:rPr>
            </w:pPr>
          </w:p>
          <w:p w:rsidR="00535405" w:rsidRPr="00002D4B" w:rsidRDefault="00535405" w:rsidP="00CC2723">
            <w:pPr>
              <w:pStyle w:val="TableParagraph"/>
              <w:spacing w:before="31"/>
              <w:rPr>
                <w:rFonts w:ascii="Georgia" w:eastAsia="Georgia" w:hAnsi="Georgia" w:cs="Georgia"/>
                <w:b/>
              </w:rPr>
            </w:pPr>
            <w:r w:rsidRPr="00002D4B">
              <w:rPr>
                <w:rFonts w:ascii="Georgia" w:eastAsia="Georgia" w:hAnsi="Georgia" w:cs="Georgia"/>
                <w:b/>
              </w:rPr>
              <w:t>H-4401</w:t>
            </w:r>
          </w:p>
        </w:tc>
        <w:tc>
          <w:tcPr>
            <w:tcW w:w="850" w:type="dxa"/>
            <w:tcBorders>
              <w:top w:val="single" w:sz="4" w:space="0" w:color="auto"/>
              <w:left w:val="single" w:sz="4" w:space="0" w:color="auto"/>
              <w:bottom w:val="single" w:sz="4" w:space="0" w:color="auto"/>
              <w:right w:val="single" w:sz="4" w:space="0" w:color="auto"/>
            </w:tcBorders>
          </w:tcPr>
          <w:p w:rsidR="00535405" w:rsidRPr="008769B9" w:rsidRDefault="00535405" w:rsidP="00CC2723">
            <w:pPr>
              <w:pStyle w:val="TableParagraph"/>
              <w:spacing w:before="31"/>
              <w:rPr>
                <w:rFonts w:ascii="Georgia" w:eastAsia="Georgia" w:hAnsi="Georgia" w:cs="Georgia"/>
                <w:sz w:val="20"/>
                <w:szCs w:val="20"/>
              </w:rPr>
            </w:pPr>
            <w:r w:rsidRPr="008769B9">
              <w:rPr>
                <w:rFonts w:ascii="Georgia" w:hAnsi="Georgia"/>
                <w:spacing w:val="-1"/>
                <w:sz w:val="20"/>
                <w:szCs w:val="20"/>
              </w:rPr>
              <w:t>SO2</w:t>
            </w:r>
          </w:p>
        </w:tc>
        <w:tc>
          <w:tcPr>
            <w:tcW w:w="1277" w:type="dxa"/>
            <w:tcBorders>
              <w:top w:val="single" w:sz="4" w:space="0" w:color="auto"/>
              <w:left w:val="single" w:sz="4" w:space="0" w:color="auto"/>
              <w:bottom w:val="single" w:sz="4" w:space="0" w:color="auto"/>
              <w:right w:val="single" w:sz="4" w:space="0" w:color="auto"/>
            </w:tcBorders>
          </w:tcPr>
          <w:p w:rsidR="00535405" w:rsidRPr="008769B9" w:rsidRDefault="00535405" w:rsidP="00CC2723">
            <w:pPr>
              <w:pStyle w:val="TableParagraph"/>
              <w:spacing w:before="31"/>
              <w:ind w:right="9"/>
              <w:jc w:val="center"/>
              <w:rPr>
                <w:rFonts w:ascii="Georgia" w:eastAsia="Georgia" w:hAnsi="Georgia" w:cs="Georgia"/>
                <w:sz w:val="20"/>
                <w:szCs w:val="20"/>
              </w:rPr>
            </w:pPr>
            <w:r w:rsidRPr="008769B9">
              <w:rPr>
                <w:rFonts w:ascii="Georgia" w:hAnsi="Georgia"/>
                <w:sz w:val="20"/>
                <w:szCs w:val="20"/>
              </w:rPr>
              <w:t>-</w:t>
            </w:r>
          </w:p>
        </w:tc>
        <w:tc>
          <w:tcPr>
            <w:tcW w:w="1556" w:type="dxa"/>
            <w:tcBorders>
              <w:top w:val="single" w:sz="4" w:space="0" w:color="auto"/>
              <w:left w:val="single" w:sz="4" w:space="0" w:color="auto"/>
              <w:bottom w:val="single" w:sz="4" w:space="0" w:color="auto"/>
              <w:right w:val="single" w:sz="4" w:space="0" w:color="auto"/>
            </w:tcBorders>
          </w:tcPr>
          <w:p w:rsidR="00535405" w:rsidRPr="008769B9" w:rsidRDefault="009A2133"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35</w:t>
            </w:r>
          </w:p>
        </w:tc>
      </w:tr>
      <w:tr w:rsidR="00535405" w:rsidRPr="00002D4B" w:rsidTr="001B0C28">
        <w:tblPrEx>
          <w:tblLook w:val="04A0" w:firstRow="1" w:lastRow="0" w:firstColumn="1" w:lastColumn="0" w:noHBand="0" w:noVBand="1"/>
        </w:tblPrEx>
        <w:trPr>
          <w:trHeight w:hRule="exact" w:val="269"/>
        </w:trPr>
        <w:tc>
          <w:tcPr>
            <w:tcW w:w="2127" w:type="dxa"/>
            <w:vMerge/>
            <w:tcBorders>
              <w:left w:val="single" w:sz="4" w:space="0" w:color="auto"/>
              <w:right w:val="single" w:sz="4" w:space="0" w:color="auto"/>
            </w:tcBorders>
          </w:tcPr>
          <w:p w:rsidR="00535405" w:rsidRPr="00002D4B" w:rsidRDefault="00535405" w:rsidP="00CC2723">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535405" w:rsidRPr="00CC2723" w:rsidRDefault="00535405" w:rsidP="00CC2723">
            <w:pPr>
              <w:pStyle w:val="TableParagraph"/>
              <w:spacing w:before="31" w:line="226" w:lineRule="exact"/>
              <w:rPr>
                <w:rFonts w:ascii="Georgia" w:eastAsia="Georgia" w:hAnsi="Georgia" w:cs="Georgia"/>
                <w:sz w:val="20"/>
                <w:szCs w:val="20"/>
              </w:rPr>
            </w:pPr>
            <w:r w:rsidRPr="00CC2723">
              <w:rPr>
                <w:rFonts w:ascii="Georgia" w:hAnsi="Georgia"/>
                <w:spacing w:val="-2"/>
                <w:sz w:val="20"/>
                <w:szCs w:val="20"/>
              </w:rPr>
              <w:t>NOx</w:t>
            </w:r>
          </w:p>
        </w:tc>
        <w:tc>
          <w:tcPr>
            <w:tcW w:w="1277" w:type="dxa"/>
            <w:tcBorders>
              <w:top w:val="single" w:sz="4" w:space="0" w:color="auto"/>
              <w:left w:val="single" w:sz="4" w:space="0" w:color="auto"/>
              <w:bottom w:val="single" w:sz="4" w:space="0" w:color="auto"/>
              <w:right w:val="single" w:sz="4" w:space="0" w:color="auto"/>
            </w:tcBorders>
          </w:tcPr>
          <w:p w:rsidR="00535405" w:rsidRPr="00CC2723" w:rsidRDefault="00535405" w:rsidP="00CC2723">
            <w:pPr>
              <w:pStyle w:val="TableParagraph"/>
              <w:spacing w:before="31" w:line="226" w:lineRule="exact"/>
              <w:jc w:val="center"/>
              <w:rPr>
                <w:rFonts w:ascii="Georgia" w:eastAsia="Georgia" w:hAnsi="Georgia" w:cs="Georgia"/>
                <w:sz w:val="20"/>
                <w:szCs w:val="20"/>
              </w:rPr>
            </w:pPr>
            <w:r w:rsidRPr="00CC2723">
              <w:rPr>
                <w:rFonts w:ascii="Georgia" w:hAnsi="Georgia"/>
                <w:sz w:val="20"/>
                <w:szCs w:val="20"/>
              </w:rPr>
              <w:t>225</w:t>
            </w:r>
          </w:p>
        </w:tc>
        <w:tc>
          <w:tcPr>
            <w:tcW w:w="1556" w:type="dxa"/>
            <w:tcBorders>
              <w:top w:val="single" w:sz="4" w:space="0" w:color="auto"/>
              <w:left w:val="single" w:sz="4" w:space="0" w:color="auto"/>
              <w:bottom w:val="single" w:sz="4" w:space="0" w:color="auto"/>
              <w:right w:val="single" w:sz="4" w:space="0" w:color="auto"/>
            </w:tcBorders>
          </w:tcPr>
          <w:p w:rsidR="00535405" w:rsidRPr="00CC2723" w:rsidRDefault="00CC2723" w:rsidP="00CC2723">
            <w:pPr>
              <w:pStyle w:val="TableParagraph"/>
              <w:spacing w:before="31" w:line="226" w:lineRule="exact"/>
              <w:ind w:right="1"/>
              <w:jc w:val="center"/>
              <w:rPr>
                <w:rFonts w:ascii="Georgia" w:eastAsia="Georgia" w:hAnsi="Georgia" w:cs="Georgia"/>
                <w:sz w:val="20"/>
                <w:szCs w:val="20"/>
              </w:rPr>
            </w:pPr>
            <w:r>
              <w:rPr>
                <w:rFonts w:ascii="Georgia" w:hAnsi="Georgia"/>
                <w:sz w:val="20"/>
                <w:szCs w:val="20"/>
              </w:rPr>
              <w:t>225</w:t>
            </w:r>
          </w:p>
        </w:tc>
      </w:tr>
      <w:tr w:rsidR="00535405" w:rsidRPr="008769B9" w:rsidTr="001B0C28">
        <w:tblPrEx>
          <w:tblLook w:val="04A0" w:firstRow="1" w:lastRow="0" w:firstColumn="1" w:lastColumn="0" w:noHBand="0" w:noVBand="1"/>
        </w:tblPrEx>
        <w:trPr>
          <w:trHeight w:hRule="exact" w:val="269"/>
        </w:trPr>
        <w:tc>
          <w:tcPr>
            <w:tcW w:w="2127" w:type="dxa"/>
            <w:vMerge/>
            <w:tcBorders>
              <w:left w:val="single" w:sz="4" w:space="0" w:color="auto"/>
              <w:bottom w:val="single" w:sz="4" w:space="0" w:color="auto"/>
              <w:right w:val="single" w:sz="4" w:space="0" w:color="auto"/>
            </w:tcBorders>
          </w:tcPr>
          <w:p w:rsidR="00535405" w:rsidRPr="008769B9" w:rsidRDefault="00535405" w:rsidP="00CC2723">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35405" w:rsidRPr="00CC2723" w:rsidRDefault="00535405" w:rsidP="00CC2723">
            <w:pPr>
              <w:pStyle w:val="TableParagraph"/>
              <w:spacing w:before="31" w:line="226" w:lineRule="exact"/>
              <w:rPr>
                <w:rFonts w:ascii="Georgia" w:eastAsia="Georgia" w:hAnsi="Georgia" w:cs="Georgia"/>
                <w:sz w:val="20"/>
                <w:szCs w:val="20"/>
              </w:rPr>
            </w:pPr>
            <w:r w:rsidRPr="00CC2723">
              <w:rPr>
                <w:rFonts w:ascii="Georgia" w:hAnsi="Georgia"/>
                <w:spacing w:val="-1"/>
                <w:sz w:val="20"/>
                <w:szCs w:val="20"/>
              </w:rPr>
              <w:t>Støv</w:t>
            </w:r>
          </w:p>
        </w:tc>
        <w:tc>
          <w:tcPr>
            <w:tcW w:w="1277" w:type="dxa"/>
            <w:tcBorders>
              <w:top w:val="single" w:sz="4" w:space="0" w:color="auto"/>
              <w:left w:val="single" w:sz="4" w:space="0" w:color="auto"/>
              <w:bottom w:val="single" w:sz="4" w:space="0" w:color="auto"/>
              <w:right w:val="single" w:sz="4" w:space="0" w:color="auto"/>
            </w:tcBorders>
          </w:tcPr>
          <w:p w:rsidR="00535405" w:rsidRPr="00CC2723" w:rsidRDefault="00535405" w:rsidP="00CC2723">
            <w:pPr>
              <w:pStyle w:val="TableParagraph"/>
              <w:spacing w:before="31" w:line="226" w:lineRule="exact"/>
              <w:jc w:val="center"/>
              <w:rPr>
                <w:rFonts w:ascii="Georgia" w:eastAsia="Georgia" w:hAnsi="Georgia" w:cs="Georgia"/>
                <w:sz w:val="20"/>
                <w:szCs w:val="20"/>
              </w:rPr>
            </w:pPr>
            <w:r w:rsidRPr="00CC2723">
              <w:rPr>
                <w:rFonts w:ascii="Georgia" w:hAnsi="Georgia"/>
                <w:spacing w:val="1"/>
                <w:sz w:val="20"/>
                <w:szCs w:val="20"/>
              </w:rPr>
              <w:t>5</w:t>
            </w:r>
          </w:p>
        </w:tc>
        <w:tc>
          <w:tcPr>
            <w:tcW w:w="1556" w:type="dxa"/>
            <w:tcBorders>
              <w:top w:val="single" w:sz="4" w:space="0" w:color="auto"/>
              <w:left w:val="single" w:sz="4" w:space="0" w:color="auto"/>
              <w:bottom w:val="single" w:sz="4" w:space="0" w:color="auto"/>
              <w:right w:val="single" w:sz="4" w:space="0" w:color="auto"/>
            </w:tcBorders>
          </w:tcPr>
          <w:p w:rsidR="00535405" w:rsidRPr="00CC2723" w:rsidRDefault="00535405" w:rsidP="00CC2723">
            <w:pPr>
              <w:pStyle w:val="TableParagraph"/>
              <w:spacing w:before="31" w:line="226" w:lineRule="exact"/>
              <w:ind w:right="6"/>
              <w:jc w:val="center"/>
              <w:rPr>
                <w:rFonts w:ascii="Georgia" w:eastAsia="Georgia" w:hAnsi="Georgia" w:cs="Georgia"/>
                <w:sz w:val="20"/>
                <w:szCs w:val="20"/>
              </w:rPr>
            </w:pPr>
            <w:r w:rsidRPr="00CC2723">
              <w:rPr>
                <w:rFonts w:ascii="Georgia" w:hAnsi="Georgia"/>
                <w:spacing w:val="-3"/>
                <w:sz w:val="20"/>
                <w:szCs w:val="20"/>
              </w:rPr>
              <w:t>5</w:t>
            </w:r>
          </w:p>
        </w:tc>
      </w:tr>
    </w:tbl>
    <w:p w:rsidR="008769B9" w:rsidRPr="008769B9" w:rsidRDefault="008769B9" w:rsidP="00CC2723">
      <w:pPr>
        <w:spacing w:before="1"/>
        <w:rPr>
          <w:rFonts w:eastAsia="Georgia" w:cs="Georgia"/>
          <w:szCs w:val="20"/>
        </w:rPr>
      </w:pPr>
    </w:p>
    <w:p w:rsidR="00015DFF" w:rsidRPr="00C6202B" w:rsidRDefault="008769B9" w:rsidP="00646681">
      <w:pPr>
        <w:pStyle w:val="Brdtekst"/>
        <w:spacing w:line="274" w:lineRule="auto"/>
        <w:ind w:left="0" w:right="84"/>
        <w:rPr>
          <w:rFonts w:ascii="Georgia" w:hAnsi="Georgia"/>
          <w:spacing w:val="-2"/>
          <w:lang w:val="da-DK"/>
        </w:rPr>
      </w:pPr>
      <w:r w:rsidRPr="008769B9">
        <w:rPr>
          <w:rFonts w:ascii="Georgia" w:hAnsi="Georgia"/>
          <w:spacing w:val="-2"/>
          <w:lang w:val="da-DK"/>
        </w:rPr>
        <w:t>Miljøstyrelsen</w:t>
      </w:r>
      <w:r w:rsidRPr="008769B9">
        <w:rPr>
          <w:rFonts w:ascii="Georgia" w:hAnsi="Georgia"/>
          <w:spacing w:val="1"/>
          <w:lang w:val="da-DK"/>
        </w:rPr>
        <w:t xml:space="preserve"> </w:t>
      </w:r>
      <w:r w:rsidRPr="008769B9">
        <w:rPr>
          <w:rFonts w:ascii="Georgia" w:hAnsi="Georgia"/>
          <w:spacing w:val="-2"/>
          <w:lang w:val="da-DK"/>
        </w:rPr>
        <w:t>vurderer</w:t>
      </w:r>
      <w:r w:rsidRPr="008769B9">
        <w:rPr>
          <w:rFonts w:ascii="Georgia" w:hAnsi="Georgia"/>
          <w:spacing w:val="-1"/>
          <w:lang w:val="da-DK"/>
        </w:rPr>
        <w:t xml:space="preserve"> på </w:t>
      </w:r>
      <w:r w:rsidRPr="008769B9">
        <w:rPr>
          <w:rFonts w:ascii="Georgia" w:hAnsi="Georgia"/>
          <w:spacing w:val="-2"/>
          <w:lang w:val="da-DK"/>
        </w:rPr>
        <w:t xml:space="preserve">grundlag </w:t>
      </w:r>
      <w:r w:rsidRPr="008769B9">
        <w:rPr>
          <w:rFonts w:ascii="Georgia" w:hAnsi="Georgia"/>
          <w:spacing w:val="-1"/>
          <w:lang w:val="da-DK"/>
        </w:rPr>
        <w:t>af</w:t>
      </w:r>
      <w:r w:rsidRPr="008769B9">
        <w:rPr>
          <w:rFonts w:ascii="Georgia" w:hAnsi="Georgia"/>
          <w:spacing w:val="-4"/>
          <w:lang w:val="da-DK"/>
        </w:rPr>
        <w:t xml:space="preserve"> </w:t>
      </w:r>
      <w:r w:rsidRPr="008769B9">
        <w:rPr>
          <w:rFonts w:ascii="Georgia" w:hAnsi="Georgia"/>
          <w:spacing w:val="-2"/>
          <w:lang w:val="da-DK"/>
        </w:rPr>
        <w:t xml:space="preserve">hidtidige </w:t>
      </w:r>
      <w:r w:rsidRPr="008769B9">
        <w:rPr>
          <w:rFonts w:ascii="Georgia" w:hAnsi="Georgia"/>
          <w:spacing w:val="-1"/>
          <w:lang w:val="da-DK"/>
        </w:rPr>
        <w:t>måleresultater,</w:t>
      </w:r>
      <w:r w:rsidRPr="008769B9">
        <w:rPr>
          <w:rFonts w:ascii="Georgia" w:hAnsi="Georgia"/>
          <w:spacing w:val="-2"/>
          <w:lang w:val="da-DK"/>
        </w:rPr>
        <w:t xml:space="preserve"> </w:t>
      </w:r>
      <w:r w:rsidRPr="008769B9">
        <w:rPr>
          <w:rFonts w:ascii="Georgia" w:hAnsi="Georgia"/>
          <w:spacing w:val="-4"/>
          <w:lang w:val="da-DK"/>
        </w:rPr>
        <w:t>at</w:t>
      </w:r>
      <w:r w:rsidRPr="008769B9">
        <w:rPr>
          <w:rFonts w:ascii="Georgia" w:hAnsi="Georgia"/>
          <w:spacing w:val="2"/>
          <w:lang w:val="da-DK"/>
        </w:rPr>
        <w:t xml:space="preserve"> </w:t>
      </w:r>
      <w:r w:rsidRPr="008769B9">
        <w:rPr>
          <w:rFonts w:ascii="Georgia" w:hAnsi="Georgia"/>
          <w:spacing w:val="-1"/>
          <w:lang w:val="da-DK"/>
        </w:rPr>
        <w:t>de</w:t>
      </w:r>
      <w:r w:rsidRPr="008769B9">
        <w:rPr>
          <w:rFonts w:ascii="Georgia" w:hAnsi="Georgia"/>
          <w:spacing w:val="-2"/>
          <w:lang w:val="da-DK"/>
        </w:rPr>
        <w:t xml:space="preserve"> </w:t>
      </w:r>
      <w:r w:rsidRPr="008769B9">
        <w:rPr>
          <w:rFonts w:ascii="Georgia" w:hAnsi="Georgia"/>
          <w:lang w:val="da-DK"/>
        </w:rPr>
        <w:t>nye</w:t>
      </w:r>
      <w:r w:rsidRPr="008769B9">
        <w:rPr>
          <w:rFonts w:ascii="Georgia" w:hAnsi="Georgia"/>
          <w:spacing w:val="-7"/>
          <w:lang w:val="da-DK"/>
        </w:rPr>
        <w:t xml:space="preserve"> </w:t>
      </w:r>
      <w:r w:rsidRPr="008769B9">
        <w:rPr>
          <w:rFonts w:ascii="Georgia" w:hAnsi="Georgia"/>
          <w:lang w:val="da-DK"/>
        </w:rPr>
        <w:t>krav</w:t>
      </w:r>
      <w:r w:rsidRPr="008769B9">
        <w:rPr>
          <w:rFonts w:ascii="Georgia" w:hAnsi="Georgia"/>
          <w:spacing w:val="81"/>
          <w:lang w:val="da-DK"/>
        </w:rPr>
        <w:t xml:space="preserve"> </w:t>
      </w:r>
      <w:r w:rsidRPr="008769B9">
        <w:rPr>
          <w:rFonts w:ascii="Georgia" w:hAnsi="Georgia"/>
          <w:spacing w:val="-1"/>
          <w:lang w:val="da-DK"/>
        </w:rPr>
        <w:t>fortsat</w:t>
      </w:r>
      <w:r w:rsidRPr="008769B9">
        <w:rPr>
          <w:rFonts w:ascii="Georgia" w:hAnsi="Georgia"/>
          <w:spacing w:val="2"/>
          <w:lang w:val="da-DK"/>
        </w:rPr>
        <w:t xml:space="preserve"> </w:t>
      </w:r>
      <w:r w:rsidRPr="008769B9">
        <w:rPr>
          <w:rFonts w:ascii="Georgia" w:hAnsi="Georgia"/>
          <w:spacing w:val="-1"/>
          <w:lang w:val="da-DK"/>
        </w:rPr>
        <w:t>vil</w:t>
      </w:r>
      <w:r w:rsidRPr="008769B9">
        <w:rPr>
          <w:rFonts w:ascii="Georgia" w:hAnsi="Georgia"/>
          <w:spacing w:val="-6"/>
          <w:lang w:val="da-DK"/>
        </w:rPr>
        <w:t xml:space="preserve"> </w:t>
      </w:r>
      <w:r w:rsidRPr="008769B9">
        <w:rPr>
          <w:rFonts w:ascii="Georgia" w:hAnsi="Georgia"/>
          <w:spacing w:val="-1"/>
          <w:lang w:val="da-DK"/>
        </w:rPr>
        <w:t>kunne</w:t>
      </w:r>
      <w:r w:rsidRPr="008769B9">
        <w:rPr>
          <w:rFonts w:ascii="Georgia" w:hAnsi="Georgia"/>
          <w:spacing w:val="-2"/>
          <w:lang w:val="da-DK"/>
        </w:rPr>
        <w:t xml:space="preserve"> overholdes</w:t>
      </w:r>
      <w:r w:rsidRPr="008769B9">
        <w:rPr>
          <w:rFonts w:ascii="Georgia" w:hAnsi="Georgia"/>
          <w:spacing w:val="-6"/>
          <w:lang w:val="da-DK"/>
        </w:rPr>
        <w:t xml:space="preserve"> </w:t>
      </w:r>
      <w:r w:rsidR="00B213F5">
        <w:rPr>
          <w:rFonts w:ascii="Georgia" w:hAnsi="Georgia"/>
          <w:spacing w:val="-6"/>
          <w:lang w:val="da-DK"/>
        </w:rPr>
        <w:t>for NO</w:t>
      </w:r>
      <w:r w:rsidR="00B213F5">
        <w:rPr>
          <w:rFonts w:ascii="Georgia" w:hAnsi="Georgia"/>
          <w:spacing w:val="-6"/>
          <w:vertAlign w:val="subscript"/>
          <w:lang w:val="da-DK"/>
        </w:rPr>
        <w:t>x</w:t>
      </w:r>
      <w:r w:rsidR="00B213F5">
        <w:rPr>
          <w:rFonts w:ascii="Georgia" w:hAnsi="Georgia"/>
          <w:spacing w:val="-6"/>
          <w:lang w:val="da-DK"/>
        </w:rPr>
        <w:t xml:space="preserve"> og støv </w:t>
      </w:r>
      <w:r w:rsidRPr="008769B9">
        <w:rPr>
          <w:rFonts w:ascii="Georgia" w:hAnsi="Georgia"/>
          <w:lang w:val="da-DK"/>
        </w:rPr>
        <w:t>uden</w:t>
      </w:r>
      <w:r w:rsidRPr="008769B9">
        <w:rPr>
          <w:rFonts w:ascii="Georgia" w:hAnsi="Georgia"/>
          <w:spacing w:val="1"/>
          <w:lang w:val="da-DK"/>
        </w:rPr>
        <w:t xml:space="preserve"> </w:t>
      </w:r>
      <w:r w:rsidRPr="008769B9">
        <w:rPr>
          <w:rFonts w:ascii="Georgia" w:hAnsi="Georgia"/>
          <w:spacing w:val="-2"/>
          <w:lang w:val="da-DK"/>
        </w:rPr>
        <w:t>røggasrensning.</w:t>
      </w:r>
      <w:r w:rsidR="00B213F5">
        <w:rPr>
          <w:rFonts w:ascii="Georgia" w:hAnsi="Georgia"/>
          <w:spacing w:val="-2"/>
          <w:lang w:val="da-DK"/>
        </w:rPr>
        <w:t xml:space="preserve"> </w:t>
      </w:r>
      <w:r w:rsidR="00015DFF">
        <w:rPr>
          <w:rFonts w:ascii="Georgia" w:hAnsi="Georgia"/>
          <w:spacing w:val="-2"/>
          <w:lang w:val="da-DK"/>
        </w:rPr>
        <w:t>Med hensyn til overholdelse af den nye grænseværdig for SO</w:t>
      </w:r>
      <w:r w:rsidR="00015DFF">
        <w:rPr>
          <w:rFonts w:ascii="Georgia" w:hAnsi="Georgia"/>
          <w:spacing w:val="-2"/>
          <w:vertAlign w:val="subscript"/>
          <w:lang w:val="da-DK"/>
        </w:rPr>
        <w:t>2</w:t>
      </w:r>
      <w:r w:rsidR="00C6202B">
        <w:rPr>
          <w:rFonts w:ascii="Georgia" w:hAnsi="Georgia"/>
          <w:spacing w:val="-2"/>
          <w:lang w:val="da-DK"/>
        </w:rPr>
        <w:t xml:space="preserve"> (som i øvrigt er identisk med BAT-konklusion 36),</w:t>
      </w:r>
      <w:r w:rsidR="00015DFF">
        <w:rPr>
          <w:rFonts w:ascii="Georgia" w:hAnsi="Georgia"/>
          <w:spacing w:val="-2"/>
          <w:lang w:val="da-DK"/>
        </w:rPr>
        <w:t xml:space="preserve"> så vurderer Statoil selv, at det vil kunne </w:t>
      </w:r>
      <w:r w:rsidR="00C6202B">
        <w:rPr>
          <w:rFonts w:ascii="Georgia" w:hAnsi="Georgia"/>
          <w:spacing w:val="-2"/>
          <w:lang w:val="da-DK"/>
        </w:rPr>
        <w:t>blive</w:t>
      </w:r>
      <w:r w:rsidR="00015DFF">
        <w:rPr>
          <w:rFonts w:ascii="Georgia" w:hAnsi="Georgia"/>
          <w:spacing w:val="-2"/>
          <w:lang w:val="da-DK"/>
        </w:rPr>
        <w:t xml:space="preserve"> nødvendigt med en større investering for at kunne overholde grænseværdien. </w:t>
      </w:r>
    </w:p>
    <w:p w:rsidR="009A29D0" w:rsidRDefault="009A29D0" w:rsidP="00B213F5">
      <w:pPr>
        <w:pStyle w:val="Brdtekst"/>
        <w:spacing w:line="274" w:lineRule="auto"/>
        <w:ind w:right="1949"/>
        <w:rPr>
          <w:rFonts w:ascii="Georgia" w:hAnsi="Georgia"/>
          <w:spacing w:val="-2"/>
          <w:lang w:val="da-DK"/>
        </w:rPr>
      </w:pPr>
    </w:p>
    <w:p w:rsidR="009A29D0" w:rsidRPr="009A29D0" w:rsidRDefault="009A29D0" w:rsidP="009A29D0">
      <w:pPr>
        <w:suppressAutoHyphens w:val="0"/>
        <w:autoSpaceDE w:val="0"/>
        <w:autoSpaceDN w:val="0"/>
        <w:adjustRightInd w:val="0"/>
        <w:spacing w:line="240" w:lineRule="auto"/>
        <w:rPr>
          <w:rFonts w:cs="Georgia"/>
          <w:color w:val="000000"/>
          <w:szCs w:val="20"/>
        </w:rPr>
      </w:pPr>
      <w:r w:rsidRPr="009A29D0">
        <w:rPr>
          <w:rFonts w:cs="Georgia"/>
          <w:b/>
          <w:bCs/>
          <w:color w:val="000000"/>
          <w:szCs w:val="20"/>
        </w:rPr>
        <w:t xml:space="preserve">Revurdering af </w:t>
      </w:r>
      <w:r w:rsidR="00BF585E">
        <w:rPr>
          <w:rFonts w:cs="Georgia"/>
          <w:b/>
          <w:bCs/>
          <w:color w:val="000000"/>
          <w:szCs w:val="20"/>
        </w:rPr>
        <w:t>Statoils</w:t>
      </w:r>
      <w:r w:rsidRPr="009A29D0">
        <w:rPr>
          <w:rFonts w:cs="Georgia"/>
          <w:b/>
          <w:bCs/>
          <w:color w:val="000000"/>
          <w:szCs w:val="20"/>
        </w:rPr>
        <w:t xml:space="preserve"> miljøgodkendelse </w:t>
      </w:r>
    </w:p>
    <w:p w:rsidR="00246437" w:rsidRDefault="009A29D0" w:rsidP="00FE4CE5">
      <w:pPr>
        <w:pStyle w:val="Brdtekst"/>
        <w:ind w:left="0" w:right="85"/>
        <w:rPr>
          <w:rFonts w:ascii="Georgia" w:eastAsia="Times New Roman" w:hAnsi="Georgia" w:cs="Georgia"/>
          <w:color w:val="000000"/>
          <w:lang w:val="da-DK" w:eastAsia="da-DK"/>
        </w:rPr>
      </w:pPr>
      <w:r w:rsidRPr="009A29D0">
        <w:rPr>
          <w:rFonts w:ascii="Georgia" w:eastAsia="Times New Roman" w:hAnsi="Georgia" w:cs="Georgia"/>
          <w:color w:val="000000"/>
          <w:lang w:val="da-DK" w:eastAsia="da-DK"/>
        </w:rPr>
        <w:t xml:space="preserve">I 2013 traf Miljøstyrelsen afgørelse om revurdering af miljøgodkendelser for </w:t>
      </w:r>
      <w:r w:rsidR="00246437">
        <w:rPr>
          <w:rFonts w:ascii="Georgia" w:eastAsia="Times New Roman" w:hAnsi="Georgia" w:cs="Georgia"/>
          <w:color w:val="000000"/>
          <w:lang w:val="da-DK" w:eastAsia="da-DK"/>
        </w:rPr>
        <w:t>Statoil. Revurderingen fokuserede udelukkende på støj, da der var nye BAT-konklusioner for raffinaderier på vej. De blev offentliggjort i oktober 2014, hvorfor Miljøstyrelsen er i gang med at revurdere den samlede miljøgodkendelse.</w:t>
      </w:r>
    </w:p>
    <w:p w:rsidR="00246437" w:rsidRDefault="00246437" w:rsidP="00246437">
      <w:pPr>
        <w:pStyle w:val="Brdtekst"/>
        <w:spacing w:line="274" w:lineRule="auto"/>
        <w:ind w:left="0" w:right="1949"/>
        <w:rPr>
          <w:rFonts w:ascii="Georgia" w:eastAsia="Times New Roman" w:hAnsi="Georgia" w:cs="Georgia"/>
          <w:color w:val="000000"/>
          <w:lang w:val="da-DK" w:eastAsia="da-DK"/>
        </w:rPr>
      </w:pPr>
    </w:p>
    <w:p w:rsidR="00BF585E" w:rsidRPr="00BF585E" w:rsidRDefault="00BF585E" w:rsidP="00BF585E">
      <w:pPr>
        <w:suppressAutoHyphens w:val="0"/>
        <w:autoSpaceDE w:val="0"/>
        <w:autoSpaceDN w:val="0"/>
        <w:adjustRightInd w:val="0"/>
        <w:spacing w:line="240" w:lineRule="auto"/>
        <w:rPr>
          <w:rFonts w:cs="Georgia"/>
          <w:color w:val="000000"/>
          <w:szCs w:val="20"/>
        </w:rPr>
      </w:pPr>
      <w:r w:rsidRPr="00BF585E">
        <w:rPr>
          <w:rFonts w:cs="Georgia"/>
          <w:b/>
          <w:bCs/>
          <w:color w:val="000000"/>
          <w:szCs w:val="20"/>
        </w:rPr>
        <w:t xml:space="preserve">Rapportering og indberetning </w:t>
      </w:r>
    </w:p>
    <w:p w:rsidR="00BF585E" w:rsidRDefault="00BF585E" w:rsidP="00FE4CE5">
      <w:pPr>
        <w:suppressAutoHyphens w:val="0"/>
        <w:autoSpaceDE w:val="0"/>
        <w:autoSpaceDN w:val="0"/>
        <w:adjustRightInd w:val="0"/>
        <w:spacing w:line="240" w:lineRule="auto"/>
        <w:rPr>
          <w:rFonts w:cs="Georgia"/>
          <w:color w:val="000000"/>
          <w:szCs w:val="20"/>
        </w:rPr>
      </w:pPr>
      <w:r w:rsidRPr="00BF585E">
        <w:rPr>
          <w:rFonts w:cs="Georgia"/>
          <w:color w:val="000000"/>
          <w:szCs w:val="20"/>
        </w:rPr>
        <w:t xml:space="preserve">Miljøstyrelsen har fastsat krav om, at resultatet </w:t>
      </w:r>
      <w:r>
        <w:rPr>
          <w:rFonts w:cs="Georgia"/>
          <w:color w:val="000000"/>
          <w:szCs w:val="20"/>
        </w:rPr>
        <w:t xml:space="preserve">af </w:t>
      </w:r>
      <w:r w:rsidRPr="00BF585E">
        <w:rPr>
          <w:rFonts w:cs="Georgia"/>
          <w:color w:val="000000"/>
          <w:szCs w:val="20"/>
        </w:rPr>
        <w:t>præstationsmålinger skal rapporteres til tilsynsmyndigheden sen</w:t>
      </w:r>
      <w:r>
        <w:rPr>
          <w:rFonts w:cs="Georgia"/>
          <w:color w:val="000000"/>
          <w:szCs w:val="20"/>
        </w:rPr>
        <w:t>est 2 måneder efter udførelsen og r</w:t>
      </w:r>
      <w:r w:rsidRPr="00BF585E">
        <w:rPr>
          <w:rFonts w:cs="Georgia"/>
          <w:color w:val="000000"/>
          <w:szCs w:val="20"/>
        </w:rPr>
        <w:t xml:space="preserve">esultatet </w:t>
      </w:r>
      <w:r w:rsidRPr="00BF585E">
        <w:rPr>
          <w:rFonts w:cs="Georgia"/>
          <w:color w:val="000000"/>
          <w:szCs w:val="20"/>
        </w:rPr>
        <w:lastRenderedPageBreak/>
        <w:t>af kontinuerlige målinger skal indsendes en gang årligt (</w:t>
      </w:r>
      <w:r w:rsidR="00FE4CE5">
        <w:rPr>
          <w:rFonts w:cs="Georgia"/>
          <w:color w:val="000000"/>
          <w:szCs w:val="20"/>
        </w:rPr>
        <w:t xml:space="preserve">vilkår </w:t>
      </w:r>
      <w:r w:rsidR="00555EAE">
        <w:rPr>
          <w:rFonts w:cs="Georgia"/>
          <w:color w:val="000000"/>
          <w:szCs w:val="20"/>
        </w:rPr>
        <w:t>1</w:t>
      </w:r>
      <w:r w:rsidR="004A7D95">
        <w:rPr>
          <w:rFonts w:cs="Georgia"/>
          <w:color w:val="000000"/>
          <w:szCs w:val="20"/>
        </w:rPr>
        <w:t>7</w:t>
      </w:r>
      <w:r w:rsidRPr="00BF585E">
        <w:rPr>
          <w:rFonts w:cs="Georgia"/>
          <w:color w:val="000000"/>
          <w:szCs w:val="20"/>
        </w:rPr>
        <w:t xml:space="preserve">). Det skal ses i lyset af, at </w:t>
      </w:r>
      <w:r>
        <w:rPr>
          <w:rFonts w:cs="Georgia"/>
          <w:color w:val="000000"/>
          <w:szCs w:val="20"/>
        </w:rPr>
        <w:t>Statoil</w:t>
      </w:r>
      <w:r w:rsidRPr="00BF585E">
        <w:rPr>
          <w:rFonts w:cs="Georgia"/>
          <w:color w:val="000000"/>
          <w:szCs w:val="20"/>
        </w:rPr>
        <w:t xml:space="preserve"> straks skal indberette eventuelle vilkårsoverskridelser</w:t>
      </w:r>
      <w:r w:rsidR="00555EAE">
        <w:rPr>
          <w:rFonts w:cs="Georgia"/>
          <w:color w:val="000000"/>
          <w:szCs w:val="20"/>
        </w:rPr>
        <w:t>, jf. vilkår A3 i den gældende miljøgodkendelse (revurdering fra dec. 2013)</w:t>
      </w:r>
      <w:r w:rsidRPr="00BF585E">
        <w:rPr>
          <w:rFonts w:cs="Georgia"/>
          <w:color w:val="000000"/>
          <w:szCs w:val="20"/>
        </w:rPr>
        <w:t xml:space="preserve"> og at </w:t>
      </w:r>
      <w:r>
        <w:rPr>
          <w:rFonts w:cs="Georgia"/>
          <w:color w:val="000000"/>
          <w:szCs w:val="20"/>
        </w:rPr>
        <w:t>Statoil</w:t>
      </w:r>
      <w:r w:rsidRPr="00BF585E">
        <w:rPr>
          <w:rFonts w:cs="Georgia"/>
          <w:color w:val="000000"/>
          <w:szCs w:val="20"/>
        </w:rPr>
        <w:t xml:space="preserve"> derfor løbende </w:t>
      </w:r>
      <w:r w:rsidR="00555EAE">
        <w:rPr>
          <w:rFonts w:cs="Georgia"/>
          <w:color w:val="000000"/>
          <w:szCs w:val="20"/>
        </w:rPr>
        <w:t>skal</w:t>
      </w:r>
      <w:r w:rsidRPr="00BF585E">
        <w:rPr>
          <w:rFonts w:cs="Georgia"/>
          <w:color w:val="000000"/>
          <w:szCs w:val="20"/>
        </w:rPr>
        <w:t xml:space="preserve"> holde øje med måleresultaterne. </w:t>
      </w:r>
    </w:p>
    <w:p w:rsidR="00BF585E" w:rsidRPr="00BF585E" w:rsidRDefault="00BF585E" w:rsidP="00FE4CE5">
      <w:pPr>
        <w:suppressAutoHyphens w:val="0"/>
        <w:autoSpaceDE w:val="0"/>
        <w:autoSpaceDN w:val="0"/>
        <w:adjustRightInd w:val="0"/>
        <w:spacing w:line="240" w:lineRule="auto"/>
        <w:rPr>
          <w:rFonts w:cs="Georgia"/>
          <w:color w:val="000000"/>
          <w:szCs w:val="20"/>
        </w:rPr>
      </w:pPr>
    </w:p>
    <w:p w:rsidR="00BF585E" w:rsidRDefault="00BF585E" w:rsidP="00FE4CE5">
      <w:pPr>
        <w:pStyle w:val="Brdtekst"/>
        <w:ind w:left="0" w:right="84"/>
        <w:rPr>
          <w:rFonts w:ascii="Georgia" w:eastAsia="Times New Roman" w:hAnsi="Georgia" w:cs="Georgia"/>
          <w:color w:val="000000"/>
          <w:lang w:val="da-DK" w:eastAsia="da-DK"/>
        </w:rPr>
      </w:pPr>
      <w:r w:rsidRPr="00BF585E">
        <w:rPr>
          <w:rFonts w:ascii="Georgia" w:eastAsia="Times New Roman" w:hAnsi="Georgia" w:cs="Georgia"/>
          <w:color w:val="000000"/>
          <w:lang w:val="da-DK" w:eastAsia="da-DK"/>
        </w:rPr>
        <w:t>Kravet om årsindberetning (</w:t>
      </w:r>
      <w:r w:rsidR="00FE4CE5">
        <w:rPr>
          <w:rFonts w:ascii="Georgia" w:eastAsia="Times New Roman" w:hAnsi="Georgia" w:cs="Georgia"/>
          <w:color w:val="000000"/>
          <w:lang w:val="da-DK" w:eastAsia="da-DK"/>
        </w:rPr>
        <w:t xml:space="preserve">vilkår </w:t>
      </w:r>
      <w:r w:rsidR="00555EAE">
        <w:rPr>
          <w:rFonts w:ascii="Georgia" w:eastAsia="Times New Roman" w:hAnsi="Georgia" w:cs="Georgia"/>
          <w:color w:val="000000"/>
          <w:lang w:val="da-DK" w:eastAsia="da-DK"/>
        </w:rPr>
        <w:t>1</w:t>
      </w:r>
      <w:r w:rsidR="004A7D95">
        <w:rPr>
          <w:rFonts w:ascii="Georgia" w:eastAsia="Times New Roman" w:hAnsi="Georgia" w:cs="Georgia"/>
          <w:color w:val="000000"/>
          <w:lang w:val="da-DK" w:eastAsia="da-DK"/>
        </w:rPr>
        <w:t>8</w:t>
      </w:r>
      <w:r w:rsidRPr="00BF585E">
        <w:rPr>
          <w:rFonts w:ascii="Georgia" w:eastAsia="Times New Roman" w:hAnsi="Georgia" w:cs="Georgia"/>
          <w:color w:val="000000"/>
          <w:lang w:val="da-DK" w:eastAsia="da-DK"/>
        </w:rPr>
        <w:t>) er en direkte følge af bekendtgørelsen om store fyringsanlæg, bilag 5.</w:t>
      </w:r>
    </w:p>
    <w:p w:rsidR="00FA4839" w:rsidRDefault="00FA4839" w:rsidP="00FE4CE5">
      <w:pPr>
        <w:pStyle w:val="Brdtekst"/>
        <w:ind w:left="0" w:right="84"/>
        <w:rPr>
          <w:rFonts w:ascii="Georgia" w:eastAsia="Times New Roman" w:hAnsi="Georgia" w:cs="Georgia"/>
          <w:color w:val="000000"/>
          <w:lang w:val="da-DK" w:eastAsia="da-DK"/>
        </w:rPr>
      </w:pPr>
    </w:p>
    <w:p w:rsidR="00FA4839" w:rsidRPr="00C35CB2" w:rsidRDefault="00FA4839" w:rsidP="00FA4839">
      <w:pPr>
        <w:spacing w:line="240" w:lineRule="auto"/>
        <w:rPr>
          <w:b/>
          <w:sz w:val="24"/>
        </w:rPr>
      </w:pPr>
      <w:r w:rsidRPr="00C35CB2">
        <w:rPr>
          <w:b/>
          <w:sz w:val="24"/>
        </w:rPr>
        <w:t>Baggrund for påbuddet</w:t>
      </w:r>
    </w:p>
    <w:p w:rsidR="00FA4839" w:rsidRPr="000E3A48" w:rsidRDefault="00FA4839" w:rsidP="00FA4839">
      <w:pPr>
        <w:suppressAutoHyphens w:val="0"/>
        <w:autoSpaceDE w:val="0"/>
        <w:autoSpaceDN w:val="0"/>
        <w:adjustRightInd w:val="0"/>
        <w:spacing w:line="240" w:lineRule="auto"/>
        <w:rPr>
          <w:rFonts w:cs="Georgia"/>
          <w:color w:val="000000"/>
          <w:sz w:val="24"/>
        </w:rPr>
      </w:pPr>
    </w:p>
    <w:p w:rsidR="00FA4839" w:rsidRDefault="00FA4839" w:rsidP="00FA4839">
      <w:pPr>
        <w:suppressAutoHyphens w:val="0"/>
        <w:autoSpaceDE w:val="0"/>
        <w:autoSpaceDN w:val="0"/>
        <w:adjustRightInd w:val="0"/>
        <w:spacing w:line="240" w:lineRule="auto"/>
        <w:rPr>
          <w:rFonts w:cs="Georgia"/>
          <w:color w:val="000000"/>
          <w:szCs w:val="20"/>
        </w:rPr>
      </w:pPr>
      <w:r w:rsidRPr="000E3A48">
        <w:rPr>
          <w:rFonts w:cs="Georgia"/>
          <w:color w:val="000000"/>
          <w:szCs w:val="20"/>
        </w:rPr>
        <w:t>Den 7. januar 2013 trådte en ny bekendtgørelse om begrænsning af visse luftforurenende emissioner fra store fyringsanlæg i kraft</w:t>
      </w:r>
      <w:r>
        <w:rPr>
          <w:rStyle w:val="Fodnotehenvisning"/>
          <w:rFonts w:cs="Georgia"/>
          <w:color w:val="000000"/>
          <w:szCs w:val="20"/>
        </w:rPr>
        <w:footnoteReference w:id="4"/>
      </w:r>
      <w:r w:rsidRPr="000E3A48">
        <w:rPr>
          <w:rFonts w:cs="Georgia"/>
          <w:color w:val="000000"/>
          <w:sz w:val="13"/>
          <w:szCs w:val="13"/>
        </w:rPr>
        <w:t xml:space="preserve"> </w:t>
      </w:r>
      <w:r w:rsidRPr="000E3A48">
        <w:rPr>
          <w:rFonts w:cs="Georgia"/>
          <w:color w:val="000000"/>
          <w:szCs w:val="20"/>
        </w:rPr>
        <w:t>(herefter betegnet bekendtgørelsen om store fyringsanlæg) med ændrede emissionsgrænseværdier for SO</w:t>
      </w:r>
      <w:r w:rsidRPr="000E3A48">
        <w:rPr>
          <w:rFonts w:cs="Georgia"/>
          <w:color w:val="000000"/>
          <w:sz w:val="13"/>
          <w:szCs w:val="13"/>
        </w:rPr>
        <w:t>2</w:t>
      </w:r>
      <w:r w:rsidRPr="000E3A48">
        <w:rPr>
          <w:rFonts w:cs="Georgia"/>
          <w:color w:val="000000"/>
          <w:szCs w:val="20"/>
        </w:rPr>
        <w:t>, NO</w:t>
      </w:r>
      <w:r w:rsidRPr="000E3A48">
        <w:rPr>
          <w:rFonts w:cs="Georgia"/>
          <w:color w:val="000000"/>
          <w:sz w:val="13"/>
          <w:szCs w:val="13"/>
        </w:rPr>
        <w:t xml:space="preserve">x </w:t>
      </w:r>
      <w:r w:rsidRPr="000E3A48">
        <w:rPr>
          <w:rFonts w:cs="Georgia"/>
          <w:color w:val="000000"/>
          <w:szCs w:val="20"/>
        </w:rPr>
        <w:t xml:space="preserve">og støv, nye krav om egenkontrol og rapportering. Bekendtgørelsen har ophæng i direktiv 2010/75/EU (Europa-Parlamentets og Rådets direktiv om industrielle emissioner). </w:t>
      </w:r>
      <w:r>
        <w:rPr>
          <w:rFonts w:cs="Georgia"/>
          <w:color w:val="000000"/>
          <w:szCs w:val="20"/>
        </w:rPr>
        <w:t>Bekendtgørelsen er senest ændret i</w:t>
      </w:r>
      <w:r w:rsidR="0013642D">
        <w:rPr>
          <w:rFonts w:cs="Georgia"/>
          <w:color w:val="000000"/>
          <w:szCs w:val="20"/>
        </w:rPr>
        <w:t xml:space="preserve"> maj</w:t>
      </w:r>
      <w:r>
        <w:rPr>
          <w:rFonts w:cs="Georgia"/>
          <w:color w:val="000000"/>
          <w:szCs w:val="20"/>
        </w:rPr>
        <w:t xml:space="preserve"> 201</w:t>
      </w:r>
      <w:r w:rsidR="0013642D">
        <w:rPr>
          <w:rFonts w:cs="Georgia"/>
          <w:color w:val="000000"/>
          <w:szCs w:val="20"/>
        </w:rPr>
        <w:t>6</w:t>
      </w:r>
      <w:r>
        <w:rPr>
          <w:rFonts w:cs="Georgia"/>
          <w:color w:val="000000"/>
          <w:szCs w:val="20"/>
          <w:vertAlign w:val="superscript"/>
        </w:rPr>
        <w:t>2</w:t>
      </w:r>
      <w:r>
        <w:rPr>
          <w:rFonts w:cs="Georgia"/>
          <w:color w:val="000000"/>
          <w:szCs w:val="20"/>
        </w:rPr>
        <w:t>.</w:t>
      </w:r>
    </w:p>
    <w:p w:rsidR="00FA4839" w:rsidRPr="000E3A48" w:rsidRDefault="00FA4839" w:rsidP="00FA4839">
      <w:pPr>
        <w:suppressAutoHyphens w:val="0"/>
        <w:autoSpaceDE w:val="0"/>
        <w:autoSpaceDN w:val="0"/>
        <w:adjustRightInd w:val="0"/>
        <w:spacing w:line="240" w:lineRule="auto"/>
        <w:rPr>
          <w:rFonts w:cs="Georgia"/>
          <w:color w:val="000000"/>
          <w:szCs w:val="20"/>
        </w:rPr>
      </w:pPr>
    </w:p>
    <w:p w:rsidR="00FA4839" w:rsidRDefault="00FA4839" w:rsidP="00FA4839">
      <w:pPr>
        <w:suppressAutoHyphens w:val="0"/>
        <w:autoSpaceDE w:val="0"/>
        <w:autoSpaceDN w:val="0"/>
        <w:adjustRightInd w:val="0"/>
        <w:spacing w:line="240" w:lineRule="auto"/>
        <w:rPr>
          <w:rFonts w:cs="Georgia"/>
          <w:color w:val="000000"/>
          <w:szCs w:val="20"/>
        </w:rPr>
      </w:pPr>
      <w:r w:rsidRPr="000E3A48">
        <w:rPr>
          <w:rFonts w:cs="Georgia"/>
          <w:color w:val="000000"/>
          <w:szCs w:val="20"/>
        </w:rPr>
        <w:t>Bestående fyringsanlæg sk</w:t>
      </w:r>
      <w:r w:rsidR="0013642D">
        <w:rPr>
          <w:rFonts w:cs="Georgia"/>
          <w:color w:val="000000"/>
          <w:szCs w:val="20"/>
        </w:rPr>
        <w:t>ul</w:t>
      </w:r>
      <w:r w:rsidRPr="000E3A48">
        <w:rPr>
          <w:rFonts w:cs="Georgia"/>
          <w:color w:val="000000"/>
          <w:szCs w:val="20"/>
        </w:rPr>
        <w:t>l</w:t>
      </w:r>
      <w:r w:rsidR="0013642D">
        <w:rPr>
          <w:rFonts w:cs="Georgia"/>
          <w:color w:val="000000"/>
          <w:szCs w:val="20"/>
        </w:rPr>
        <w:t>e</w:t>
      </w:r>
      <w:r w:rsidRPr="000E3A48">
        <w:rPr>
          <w:rFonts w:cs="Georgia"/>
          <w:color w:val="000000"/>
          <w:szCs w:val="20"/>
        </w:rPr>
        <w:t xml:space="preserve"> overholde emissionsgrænseværdierne i den nye bekendtgørelse om store fyringsanlæg</w:t>
      </w:r>
      <w:r w:rsidR="0013642D">
        <w:rPr>
          <w:rFonts w:cs="Georgia"/>
          <w:color w:val="000000"/>
          <w:szCs w:val="20"/>
        </w:rPr>
        <w:t xml:space="preserve">, jf. bekendtgørelses § 4, stk.1, </w:t>
      </w:r>
      <w:r w:rsidRPr="000E3A48">
        <w:rPr>
          <w:rFonts w:cs="Georgia"/>
          <w:color w:val="000000"/>
          <w:szCs w:val="20"/>
        </w:rPr>
        <w:t xml:space="preserve">senest fra 1. januar 2016. </w:t>
      </w:r>
    </w:p>
    <w:p w:rsidR="00FA4839" w:rsidRDefault="00FA4839" w:rsidP="00FA4839">
      <w:pPr>
        <w:suppressAutoHyphens w:val="0"/>
        <w:autoSpaceDE w:val="0"/>
        <w:autoSpaceDN w:val="0"/>
        <w:adjustRightInd w:val="0"/>
        <w:spacing w:line="240" w:lineRule="auto"/>
        <w:rPr>
          <w:rFonts w:cs="Georgia"/>
          <w:color w:val="000000"/>
          <w:szCs w:val="20"/>
        </w:rPr>
      </w:pPr>
    </w:p>
    <w:p w:rsidR="00FA4839" w:rsidRPr="00E9366A" w:rsidRDefault="00FA4839" w:rsidP="00FA4839">
      <w:pPr>
        <w:suppressAutoHyphens w:val="0"/>
        <w:autoSpaceDE w:val="0"/>
        <w:autoSpaceDN w:val="0"/>
        <w:adjustRightInd w:val="0"/>
        <w:spacing w:line="240" w:lineRule="auto"/>
        <w:rPr>
          <w:rFonts w:cs="Georgia"/>
          <w:color w:val="000000"/>
          <w:szCs w:val="20"/>
        </w:rPr>
      </w:pPr>
      <w:r w:rsidRPr="00E9366A">
        <w:rPr>
          <w:rFonts w:cs="Georgia"/>
          <w:b/>
          <w:bCs/>
          <w:color w:val="000000"/>
          <w:szCs w:val="20"/>
        </w:rPr>
        <w:t xml:space="preserve">Fyringsanlæg på </w:t>
      </w:r>
      <w:r>
        <w:rPr>
          <w:rFonts w:cs="Georgia"/>
          <w:b/>
          <w:bCs/>
          <w:color w:val="000000"/>
          <w:szCs w:val="20"/>
        </w:rPr>
        <w:t>Statoil Refining Denmark A/S</w:t>
      </w:r>
      <w:r w:rsidRPr="00E9366A">
        <w:rPr>
          <w:rFonts w:cs="Georgia"/>
          <w:b/>
          <w:bCs/>
          <w:color w:val="000000"/>
          <w:szCs w:val="20"/>
        </w:rPr>
        <w:t xml:space="preserve"> </w:t>
      </w:r>
    </w:p>
    <w:p w:rsidR="00FA4839" w:rsidRPr="00496279" w:rsidRDefault="00FA4839" w:rsidP="00FA4839">
      <w:pPr>
        <w:pStyle w:val="Brdtekst"/>
        <w:spacing w:line="276" w:lineRule="auto"/>
        <w:ind w:left="0" w:right="189"/>
        <w:rPr>
          <w:rFonts w:ascii="Georgia" w:hAnsi="Georgia"/>
          <w:color w:val="231F20"/>
          <w:spacing w:val="-3"/>
          <w:lang w:val="da-DK"/>
        </w:rPr>
      </w:pPr>
      <w:r w:rsidRPr="00496279">
        <w:rPr>
          <w:rFonts w:ascii="Georgia" w:hAnsi="Georgia"/>
          <w:color w:val="231F20"/>
          <w:spacing w:val="-1"/>
          <w:lang w:val="da-DK"/>
        </w:rPr>
        <w:t>Statoil har i tabellen på næste side</w:t>
      </w:r>
      <w:r w:rsidR="00555EAE">
        <w:rPr>
          <w:rFonts w:ascii="Georgia" w:hAnsi="Georgia"/>
          <w:color w:val="231F20"/>
          <w:spacing w:val="-1"/>
          <w:lang w:val="da-DK"/>
        </w:rPr>
        <w:t xml:space="preserve"> opstillet en oversigt over </w:t>
      </w:r>
      <w:r w:rsidRPr="00496279">
        <w:rPr>
          <w:rFonts w:ascii="Georgia" w:hAnsi="Georgia"/>
          <w:color w:val="231F20"/>
          <w:spacing w:val="-1"/>
          <w:lang w:val="da-DK"/>
        </w:rPr>
        <w:t>fyringsanlæg</w:t>
      </w:r>
      <w:r w:rsidR="00555EAE">
        <w:rPr>
          <w:rFonts w:ascii="Georgia" w:hAnsi="Georgia"/>
          <w:color w:val="231F20"/>
          <w:spacing w:val="-1"/>
          <w:lang w:val="da-DK"/>
        </w:rPr>
        <w:t>gene på siten i Kalundborg</w:t>
      </w:r>
      <w:r w:rsidRPr="00496279">
        <w:rPr>
          <w:rFonts w:ascii="Georgia" w:hAnsi="Georgia"/>
          <w:color w:val="231F20"/>
          <w:spacing w:val="-1"/>
          <w:lang w:val="da-DK"/>
        </w:rPr>
        <w:t xml:space="preserve">. </w:t>
      </w:r>
      <w:r w:rsidRPr="00496279">
        <w:rPr>
          <w:rFonts w:ascii="Georgia" w:hAnsi="Georgia"/>
          <w:color w:val="231F20"/>
          <w:spacing w:val="-3"/>
          <w:lang w:val="da-DK"/>
        </w:rPr>
        <w:t xml:space="preserve"> </w:t>
      </w:r>
    </w:p>
    <w:p w:rsidR="00FA4839" w:rsidRPr="00496279" w:rsidRDefault="00FA4839" w:rsidP="00FA4839">
      <w:pPr>
        <w:pStyle w:val="Brdtekst"/>
        <w:spacing w:line="276" w:lineRule="auto"/>
        <w:ind w:left="0" w:right="189"/>
        <w:rPr>
          <w:rFonts w:ascii="Georgia" w:hAnsi="Georgia"/>
          <w:color w:val="231F20"/>
          <w:spacing w:val="-3"/>
          <w:lang w:val="da-DK"/>
        </w:rPr>
      </w:pPr>
    </w:p>
    <w:p w:rsidR="00FA4839" w:rsidRPr="00496279" w:rsidRDefault="00FA4839" w:rsidP="00FA4839">
      <w:pPr>
        <w:pStyle w:val="Brdtekst"/>
        <w:spacing w:line="275" w:lineRule="auto"/>
        <w:ind w:left="0" w:right="189"/>
        <w:rPr>
          <w:rFonts w:ascii="Georgia" w:hAnsi="Georgia"/>
          <w:lang w:val="da-DK"/>
        </w:rPr>
      </w:pPr>
      <w:r w:rsidRPr="00496279">
        <w:rPr>
          <w:rFonts w:ascii="Georgia" w:hAnsi="Georgia"/>
          <w:color w:val="231F20"/>
          <w:spacing w:val="-1"/>
          <w:lang w:val="da-DK"/>
        </w:rPr>
        <w:t>Som</w:t>
      </w:r>
      <w:r w:rsidRPr="00496279">
        <w:rPr>
          <w:rFonts w:ascii="Georgia" w:hAnsi="Georgia"/>
          <w:color w:val="231F20"/>
          <w:spacing w:val="-3"/>
          <w:lang w:val="da-DK"/>
        </w:rPr>
        <w:t xml:space="preserve"> </w:t>
      </w:r>
      <w:r w:rsidRPr="00496279">
        <w:rPr>
          <w:rFonts w:ascii="Georgia" w:hAnsi="Georgia"/>
          <w:color w:val="231F20"/>
          <w:spacing w:val="-1"/>
          <w:lang w:val="da-DK"/>
        </w:rPr>
        <w:t>brændsel</w:t>
      </w:r>
      <w:r w:rsidRPr="00496279">
        <w:rPr>
          <w:rFonts w:ascii="Georgia" w:hAnsi="Georgia"/>
          <w:color w:val="231F20"/>
          <w:spacing w:val="-3"/>
          <w:lang w:val="da-DK"/>
        </w:rPr>
        <w:t xml:space="preserve"> </w:t>
      </w:r>
      <w:r w:rsidRPr="00496279">
        <w:rPr>
          <w:rFonts w:ascii="Georgia" w:hAnsi="Georgia"/>
          <w:color w:val="231F20"/>
          <w:spacing w:val="-1"/>
          <w:lang w:val="da-DK"/>
        </w:rPr>
        <w:t>anvendes fuelgas.</w:t>
      </w:r>
      <w:r w:rsidRPr="00496279">
        <w:rPr>
          <w:rFonts w:ascii="Georgia" w:hAnsi="Georgia"/>
          <w:color w:val="231F20"/>
          <w:spacing w:val="-2"/>
          <w:lang w:val="da-DK"/>
        </w:rPr>
        <w:t xml:space="preserve"> </w:t>
      </w:r>
      <w:r w:rsidRPr="00496279">
        <w:rPr>
          <w:rFonts w:ascii="Georgia" w:hAnsi="Georgia"/>
          <w:color w:val="231F20"/>
          <w:spacing w:val="-1"/>
          <w:lang w:val="da-DK"/>
        </w:rPr>
        <w:t>Fuelgassen</w:t>
      </w:r>
      <w:r w:rsidRPr="00496279">
        <w:rPr>
          <w:rFonts w:ascii="Georgia" w:hAnsi="Georgia"/>
          <w:color w:val="231F20"/>
          <w:spacing w:val="-2"/>
          <w:lang w:val="da-DK"/>
        </w:rPr>
        <w:t xml:space="preserve"> </w:t>
      </w:r>
      <w:r w:rsidRPr="00496279">
        <w:rPr>
          <w:rFonts w:ascii="Georgia" w:hAnsi="Georgia"/>
          <w:color w:val="231F20"/>
          <w:spacing w:val="-1"/>
          <w:lang w:val="da-DK"/>
        </w:rPr>
        <w:t>består</w:t>
      </w:r>
      <w:r w:rsidRPr="00496279">
        <w:rPr>
          <w:rFonts w:ascii="Georgia" w:hAnsi="Georgia"/>
          <w:color w:val="231F20"/>
          <w:spacing w:val="-3"/>
          <w:lang w:val="da-DK"/>
        </w:rPr>
        <w:t xml:space="preserve"> </w:t>
      </w:r>
      <w:r w:rsidRPr="00496279">
        <w:rPr>
          <w:rFonts w:ascii="Georgia" w:hAnsi="Georgia"/>
          <w:color w:val="231F20"/>
          <w:spacing w:val="-1"/>
          <w:lang w:val="da-DK"/>
        </w:rPr>
        <w:t>hovedsageligt</w:t>
      </w:r>
      <w:r w:rsidRPr="00496279">
        <w:rPr>
          <w:rFonts w:ascii="Georgia" w:hAnsi="Georgia"/>
          <w:color w:val="231F20"/>
          <w:spacing w:val="-2"/>
          <w:lang w:val="da-DK"/>
        </w:rPr>
        <w:t xml:space="preserve"> </w:t>
      </w:r>
      <w:r w:rsidRPr="00496279">
        <w:rPr>
          <w:rFonts w:ascii="Georgia" w:hAnsi="Georgia"/>
          <w:color w:val="231F20"/>
          <w:lang w:val="da-DK"/>
        </w:rPr>
        <w:t>af</w:t>
      </w:r>
      <w:r w:rsidRPr="00496279">
        <w:rPr>
          <w:rFonts w:ascii="Georgia" w:hAnsi="Georgia"/>
          <w:color w:val="231F20"/>
          <w:spacing w:val="-4"/>
          <w:lang w:val="da-DK"/>
        </w:rPr>
        <w:t xml:space="preserve"> </w:t>
      </w:r>
      <w:r w:rsidRPr="00496279">
        <w:rPr>
          <w:rFonts w:ascii="Georgia" w:hAnsi="Georgia"/>
          <w:color w:val="231F20"/>
          <w:spacing w:val="-1"/>
          <w:lang w:val="da-DK"/>
        </w:rPr>
        <w:t>lette</w:t>
      </w:r>
      <w:r w:rsidRPr="00496279">
        <w:rPr>
          <w:rFonts w:ascii="Georgia" w:hAnsi="Georgia"/>
          <w:color w:val="231F20"/>
          <w:spacing w:val="-2"/>
          <w:lang w:val="da-DK"/>
        </w:rPr>
        <w:t xml:space="preserve"> </w:t>
      </w:r>
      <w:r w:rsidRPr="00496279">
        <w:rPr>
          <w:rFonts w:ascii="Georgia" w:hAnsi="Georgia"/>
          <w:color w:val="231F20"/>
          <w:spacing w:val="-1"/>
          <w:lang w:val="da-DK"/>
        </w:rPr>
        <w:t>kulbrinter,</w:t>
      </w:r>
      <w:r w:rsidRPr="00496279">
        <w:rPr>
          <w:rFonts w:ascii="Georgia" w:hAnsi="Georgia"/>
          <w:color w:val="231F20"/>
          <w:spacing w:val="-2"/>
          <w:lang w:val="da-DK"/>
        </w:rPr>
        <w:t xml:space="preserve"> </w:t>
      </w:r>
      <w:r w:rsidRPr="00496279">
        <w:rPr>
          <w:rFonts w:ascii="Georgia" w:hAnsi="Georgia"/>
          <w:color w:val="231F20"/>
          <w:spacing w:val="-1"/>
          <w:lang w:val="da-DK"/>
        </w:rPr>
        <w:t>og</w:t>
      </w:r>
      <w:r w:rsidRPr="00496279">
        <w:rPr>
          <w:rFonts w:ascii="Georgia" w:hAnsi="Georgia"/>
          <w:color w:val="231F20"/>
          <w:spacing w:val="-2"/>
          <w:lang w:val="da-DK"/>
        </w:rPr>
        <w:t xml:space="preserve"> </w:t>
      </w:r>
      <w:r w:rsidRPr="00496279">
        <w:rPr>
          <w:rFonts w:ascii="Georgia" w:hAnsi="Georgia"/>
          <w:color w:val="231F20"/>
          <w:spacing w:val="-1"/>
          <w:lang w:val="da-DK"/>
        </w:rPr>
        <w:t>den</w:t>
      </w:r>
      <w:r w:rsidRPr="00496279">
        <w:rPr>
          <w:rFonts w:ascii="Georgia" w:hAnsi="Georgia"/>
          <w:color w:val="231F20"/>
          <w:spacing w:val="-3"/>
          <w:lang w:val="da-DK"/>
        </w:rPr>
        <w:t xml:space="preserve"> </w:t>
      </w:r>
      <w:r w:rsidRPr="00496279">
        <w:rPr>
          <w:rFonts w:ascii="Georgia" w:hAnsi="Georgia"/>
          <w:color w:val="231F20"/>
          <w:spacing w:val="-1"/>
          <w:lang w:val="da-DK"/>
        </w:rPr>
        <w:t>bliver</w:t>
      </w:r>
      <w:r w:rsidRPr="00496279">
        <w:rPr>
          <w:rFonts w:ascii="Georgia" w:hAnsi="Georgia"/>
          <w:color w:val="231F20"/>
          <w:spacing w:val="-2"/>
          <w:lang w:val="da-DK"/>
        </w:rPr>
        <w:t xml:space="preserve"> </w:t>
      </w:r>
      <w:r w:rsidRPr="00496279">
        <w:rPr>
          <w:rFonts w:ascii="Georgia" w:hAnsi="Georgia"/>
          <w:color w:val="231F20"/>
          <w:spacing w:val="-1"/>
          <w:lang w:val="da-DK"/>
        </w:rPr>
        <w:t>produceret</w:t>
      </w:r>
      <w:r w:rsidRPr="00496279">
        <w:rPr>
          <w:rFonts w:ascii="Georgia" w:hAnsi="Georgia"/>
          <w:color w:val="231F20"/>
          <w:spacing w:val="-2"/>
          <w:lang w:val="da-DK"/>
        </w:rPr>
        <w:t xml:space="preserve"> </w:t>
      </w:r>
      <w:r w:rsidRPr="00496279">
        <w:rPr>
          <w:rFonts w:ascii="Georgia" w:hAnsi="Georgia"/>
          <w:color w:val="231F20"/>
          <w:lang w:val="da-DK"/>
        </w:rPr>
        <w:t>i</w:t>
      </w:r>
      <w:r w:rsidRPr="00496279">
        <w:rPr>
          <w:rFonts w:ascii="Georgia" w:hAnsi="Georgia"/>
          <w:color w:val="231F20"/>
          <w:spacing w:val="-3"/>
          <w:lang w:val="da-DK"/>
        </w:rPr>
        <w:t xml:space="preserve"> </w:t>
      </w:r>
      <w:r w:rsidRPr="00496279">
        <w:rPr>
          <w:rFonts w:ascii="Georgia" w:hAnsi="Georgia"/>
          <w:color w:val="231F20"/>
          <w:lang w:val="da-DK"/>
        </w:rPr>
        <w:t>en</w:t>
      </w:r>
      <w:r w:rsidRPr="00496279">
        <w:rPr>
          <w:rFonts w:ascii="Georgia" w:hAnsi="Georgia"/>
          <w:color w:val="231F20"/>
          <w:spacing w:val="-2"/>
          <w:lang w:val="da-DK"/>
        </w:rPr>
        <w:t xml:space="preserve"> </w:t>
      </w:r>
      <w:r w:rsidRPr="00496279">
        <w:rPr>
          <w:rFonts w:ascii="Georgia" w:hAnsi="Georgia"/>
          <w:color w:val="231F20"/>
          <w:spacing w:val="-1"/>
          <w:lang w:val="da-DK"/>
        </w:rPr>
        <w:t>del</w:t>
      </w:r>
      <w:r w:rsidRPr="00496279">
        <w:rPr>
          <w:rFonts w:ascii="Georgia" w:hAnsi="Georgia"/>
          <w:color w:val="231F20"/>
          <w:spacing w:val="-3"/>
          <w:lang w:val="da-DK"/>
        </w:rPr>
        <w:t xml:space="preserve"> </w:t>
      </w:r>
      <w:r w:rsidRPr="00496279">
        <w:rPr>
          <w:rFonts w:ascii="Georgia" w:hAnsi="Georgia"/>
          <w:color w:val="231F20"/>
          <w:spacing w:val="-1"/>
          <w:lang w:val="da-DK"/>
        </w:rPr>
        <w:t>af</w:t>
      </w:r>
      <w:r w:rsidRPr="00496279">
        <w:rPr>
          <w:rFonts w:ascii="Georgia" w:hAnsi="Georgia"/>
          <w:color w:val="231F20"/>
          <w:spacing w:val="85"/>
          <w:lang w:val="da-DK"/>
        </w:rPr>
        <w:t xml:space="preserve"> </w:t>
      </w:r>
      <w:r w:rsidRPr="00496279">
        <w:rPr>
          <w:rFonts w:ascii="Georgia" w:hAnsi="Georgia"/>
          <w:color w:val="231F20"/>
          <w:spacing w:val="-1"/>
          <w:lang w:val="da-DK"/>
        </w:rPr>
        <w:t>sektionerne.</w:t>
      </w:r>
      <w:r w:rsidRPr="00496279">
        <w:rPr>
          <w:rFonts w:ascii="Georgia" w:hAnsi="Georgia"/>
          <w:color w:val="231F20"/>
          <w:spacing w:val="-3"/>
          <w:lang w:val="da-DK"/>
        </w:rPr>
        <w:t xml:space="preserve"> </w:t>
      </w:r>
      <w:r w:rsidRPr="00496279">
        <w:rPr>
          <w:rFonts w:ascii="Georgia" w:hAnsi="Georgia"/>
          <w:color w:val="231F20"/>
          <w:spacing w:val="-1"/>
          <w:lang w:val="da-DK"/>
        </w:rPr>
        <w:t>Den</w:t>
      </w:r>
      <w:r w:rsidRPr="00496279">
        <w:rPr>
          <w:rFonts w:ascii="Georgia" w:hAnsi="Georgia"/>
          <w:color w:val="231F20"/>
          <w:spacing w:val="-3"/>
          <w:lang w:val="da-DK"/>
        </w:rPr>
        <w:t xml:space="preserve"> </w:t>
      </w:r>
      <w:r w:rsidRPr="00496279">
        <w:rPr>
          <w:rFonts w:ascii="Georgia" w:hAnsi="Georgia"/>
          <w:color w:val="231F20"/>
          <w:spacing w:val="-1"/>
          <w:lang w:val="da-DK"/>
        </w:rPr>
        <w:t>fuelgas,</w:t>
      </w:r>
      <w:r w:rsidRPr="00496279">
        <w:rPr>
          <w:rFonts w:ascii="Georgia" w:hAnsi="Georgia"/>
          <w:color w:val="231F20"/>
          <w:spacing w:val="-4"/>
          <w:lang w:val="da-DK"/>
        </w:rPr>
        <w:t xml:space="preserve"> </w:t>
      </w:r>
      <w:r w:rsidRPr="00496279">
        <w:rPr>
          <w:rFonts w:ascii="Georgia" w:hAnsi="Georgia"/>
          <w:color w:val="231F20"/>
          <w:spacing w:val="-1"/>
          <w:lang w:val="da-DK"/>
        </w:rPr>
        <w:t>der</w:t>
      </w:r>
      <w:r w:rsidRPr="00496279">
        <w:rPr>
          <w:rFonts w:ascii="Georgia" w:hAnsi="Georgia"/>
          <w:color w:val="231F20"/>
          <w:spacing w:val="-3"/>
          <w:lang w:val="da-DK"/>
        </w:rPr>
        <w:t xml:space="preserve"> </w:t>
      </w:r>
      <w:r w:rsidR="008D51A8">
        <w:rPr>
          <w:rFonts w:ascii="Georgia" w:hAnsi="Georgia"/>
          <w:color w:val="231F20"/>
          <w:spacing w:val="-3"/>
          <w:lang w:val="da-DK"/>
        </w:rPr>
        <w:t xml:space="preserve">normalt </w:t>
      </w:r>
      <w:r w:rsidRPr="00496279">
        <w:rPr>
          <w:rFonts w:ascii="Georgia" w:hAnsi="Georgia"/>
          <w:color w:val="231F20"/>
          <w:lang w:val="da-DK"/>
        </w:rPr>
        <w:t>fyres</w:t>
      </w:r>
      <w:r w:rsidRPr="00496279">
        <w:rPr>
          <w:rFonts w:ascii="Georgia" w:hAnsi="Georgia"/>
          <w:color w:val="231F20"/>
          <w:spacing w:val="-3"/>
          <w:lang w:val="da-DK"/>
        </w:rPr>
        <w:t xml:space="preserve"> </w:t>
      </w:r>
      <w:r w:rsidRPr="00496279">
        <w:rPr>
          <w:rFonts w:ascii="Georgia" w:hAnsi="Georgia"/>
          <w:color w:val="231F20"/>
          <w:lang w:val="da-DK"/>
        </w:rPr>
        <w:t>med,</w:t>
      </w:r>
      <w:r w:rsidRPr="00496279">
        <w:rPr>
          <w:rFonts w:ascii="Georgia" w:hAnsi="Georgia"/>
          <w:color w:val="231F20"/>
          <w:spacing w:val="-3"/>
          <w:lang w:val="da-DK"/>
        </w:rPr>
        <w:t xml:space="preserve"> </w:t>
      </w:r>
      <w:r w:rsidRPr="00496279">
        <w:rPr>
          <w:rFonts w:ascii="Georgia" w:hAnsi="Georgia"/>
          <w:color w:val="231F20"/>
          <w:spacing w:val="-1"/>
          <w:lang w:val="da-DK"/>
        </w:rPr>
        <w:t>indeholder</w:t>
      </w:r>
      <w:r w:rsidRPr="00496279">
        <w:rPr>
          <w:rFonts w:ascii="Georgia" w:hAnsi="Georgia"/>
          <w:color w:val="231F20"/>
          <w:spacing w:val="-3"/>
          <w:lang w:val="da-DK"/>
        </w:rPr>
        <w:t xml:space="preserve"> </w:t>
      </w:r>
      <w:r w:rsidRPr="00496279">
        <w:rPr>
          <w:rFonts w:ascii="Georgia" w:hAnsi="Georgia"/>
          <w:color w:val="231F20"/>
          <w:spacing w:val="-1"/>
          <w:lang w:val="da-DK"/>
        </w:rPr>
        <w:t>mindre</w:t>
      </w:r>
      <w:r w:rsidRPr="00496279">
        <w:rPr>
          <w:rFonts w:ascii="Georgia" w:hAnsi="Georgia"/>
          <w:color w:val="231F20"/>
          <w:spacing w:val="-3"/>
          <w:lang w:val="da-DK"/>
        </w:rPr>
        <w:t xml:space="preserve"> </w:t>
      </w:r>
      <w:r w:rsidRPr="00496279">
        <w:rPr>
          <w:rFonts w:ascii="Georgia" w:hAnsi="Georgia"/>
          <w:color w:val="231F20"/>
          <w:lang w:val="da-DK"/>
        </w:rPr>
        <w:t>end</w:t>
      </w:r>
      <w:r w:rsidRPr="00496279">
        <w:rPr>
          <w:rFonts w:ascii="Georgia" w:hAnsi="Georgia"/>
          <w:color w:val="231F20"/>
          <w:spacing w:val="-3"/>
          <w:lang w:val="da-DK"/>
        </w:rPr>
        <w:t xml:space="preserve"> </w:t>
      </w:r>
      <w:r w:rsidR="008D51A8">
        <w:rPr>
          <w:rFonts w:ascii="Georgia" w:hAnsi="Georgia"/>
          <w:color w:val="231F20"/>
          <w:lang w:val="da-DK"/>
        </w:rPr>
        <w:t>20</w:t>
      </w:r>
      <w:r w:rsidRPr="00496279">
        <w:rPr>
          <w:rFonts w:ascii="Georgia" w:hAnsi="Georgia"/>
          <w:color w:val="231F20"/>
          <w:lang w:val="da-DK"/>
        </w:rPr>
        <w:t>0</w:t>
      </w:r>
      <w:r w:rsidRPr="00496279">
        <w:rPr>
          <w:rFonts w:ascii="Georgia" w:hAnsi="Georgia"/>
          <w:color w:val="231F20"/>
          <w:spacing w:val="-2"/>
          <w:lang w:val="da-DK"/>
        </w:rPr>
        <w:t xml:space="preserve"> </w:t>
      </w:r>
      <w:r w:rsidRPr="00496279">
        <w:rPr>
          <w:rFonts w:ascii="Georgia" w:hAnsi="Georgia"/>
          <w:color w:val="231F20"/>
          <w:spacing w:val="-1"/>
          <w:lang w:val="da-DK"/>
        </w:rPr>
        <w:t>volumen</w:t>
      </w:r>
      <w:r w:rsidRPr="00496279">
        <w:rPr>
          <w:rFonts w:ascii="Georgia" w:hAnsi="Georgia"/>
          <w:color w:val="231F20"/>
          <w:spacing w:val="-3"/>
          <w:lang w:val="da-DK"/>
        </w:rPr>
        <w:t xml:space="preserve"> </w:t>
      </w:r>
      <w:r w:rsidRPr="00496279">
        <w:rPr>
          <w:rFonts w:ascii="Georgia" w:hAnsi="Georgia"/>
          <w:color w:val="231F20"/>
          <w:spacing w:val="-1"/>
          <w:lang w:val="da-DK"/>
        </w:rPr>
        <w:t>ppm</w:t>
      </w:r>
      <w:r w:rsidRPr="00496279">
        <w:rPr>
          <w:rFonts w:ascii="Georgia" w:hAnsi="Georgia"/>
          <w:color w:val="231F20"/>
          <w:spacing w:val="-3"/>
          <w:lang w:val="da-DK"/>
        </w:rPr>
        <w:t xml:space="preserve"> </w:t>
      </w:r>
      <w:r w:rsidRPr="00496279">
        <w:rPr>
          <w:rFonts w:ascii="Georgia" w:hAnsi="Georgia"/>
          <w:color w:val="231F20"/>
          <w:spacing w:val="-1"/>
          <w:lang w:val="da-DK"/>
        </w:rPr>
        <w:t>svovlbrinte.</w:t>
      </w:r>
    </w:p>
    <w:p w:rsidR="00FA4839" w:rsidRPr="00E9366A" w:rsidRDefault="00FA4839" w:rsidP="00FA4839">
      <w:pPr>
        <w:spacing w:before="7"/>
        <w:rPr>
          <w:rFonts w:eastAsia="Calibri" w:cs="Calibri"/>
          <w:sz w:val="18"/>
          <w:szCs w:val="18"/>
        </w:rPr>
      </w:pPr>
    </w:p>
    <w:p w:rsidR="00FA4839" w:rsidRPr="00496279" w:rsidRDefault="00FA4839" w:rsidP="00FA4839">
      <w:pPr>
        <w:suppressAutoHyphens w:val="0"/>
        <w:autoSpaceDE w:val="0"/>
        <w:autoSpaceDN w:val="0"/>
        <w:adjustRightInd w:val="0"/>
        <w:spacing w:line="240" w:lineRule="auto"/>
        <w:rPr>
          <w:rFonts w:cs="Georgia"/>
          <w:color w:val="000000"/>
          <w:szCs w:val="20"/>
        </w:rPr>
      </w:pPr>
      <w:r w:rsidRPr="00496279">
        <w:rPr>
          <w:rFonts w:cs="Georgia"/>
          <w:color w:val="000000"/>
          <w:szCs w:val="20"/>
        </w:rPr>
        <w:t xml:space="preserve">Ingen af de anlæg, der er omfattet af bekendtgørelsen om store fyringsanlæg har i dag udstyr til kontinuerlig måling af røggasser. </w:t>
      </w:r>
    </w:p>
    <w:p w:rsidR="00FA4839" w:rsidRPr="00496279" w:rsidRDefault="00FA4839" w:rsidP="00FA4839">
      <w:pPr>
        <w:suppressAutoHyphens w:val="0"/>
        <w:autoSpaceDE w:val="0"/>
        <w:autoSpaceDN w:val="0"/>
        <w:adjustRightInd w:val="0"/>
        <w:spacing w:line="240" w:lineRule="auto"/>
        <w:rPr>
          <w:rFonts w:cs="Georgia"/>
          <w:color w:val="000000"/>
          <w:szCs w:val="20"/>
        </w:rPr>
      </w:pPr>
    </w:p>
    <w:p w:rsidR="00FA4839" w:rsidRPr="00496279" w:rsidRDefault="00FA4839" w:rsidP="00FA4839">
      <w:pPr>
        <w:suppressAutoHyphens w:val="0"/>
        <w:autoSpaceDE w:val="0"/>
        <w:autoSpaceDN w:val="0"/>
        <w:adjustRightInd w:val="0"/>
        <w:spacing w:line="240" w:lineRule="auto"/>
        <w:rPr>
          <w:rFonts w:cs="Georgia"/>
          <w:color w:val="000000"/>
          <w:szCs w:val="20"/>
        </w:rPr>
      </w:pPr>
      <w:r w:rsidRPr="00496279">
        <w:rPr>
          <w:rFonts w:cs="Georgia"/>
          <w:color w:val="000000"/>
          <w:szCs w:val="20"/>
        </w:rPr>
        <w:t>Statoil har flere fyringsanlæg, hvoraf nogle er omfattet af bekendtgørelsen om store fyringsanlæg, andre er ikke. Oversigten nedenfor viser hvilke, der er omfattet.</w:t>
      </w:r>
    </w:p>
    <w:p w:rsidR="00FA4839" w:rsidRPr="00E9366A" w:rsidRDefault="00FA4839" w:rsidP="00FA4839">
      <w:pPr>
        <w:pStyle w:val="Brdtekst"/>
        <w:spacing w:line="276" w:lineRule="auto"/>
        <w:ind w:left="0" w:right="189"/>
        <w:rPr>
          <w:rFonts w:ascii="Georgia" w:hAnsi="Georgia"/>
          <w:sz w:val="18"/>
          <w:szCs w:val="18"/>
          <w:lang w:val="da-DK"/>
        </w:rPr>
      </w:pPr>
    </w:p>
    <w:p w:rsidR="00FA4839" w:rsidRPr="00E9366A" w:rsidRDefault="00FA4839" w:rsidP="00FA4839">
      <w:pPr>
        <w:spacing w:before="3"/>
        <w:rPr>
          <w:rFonts w:eastAsia="Calibri" w:cs="Calibri"/>
          <w:sz w:val="18"/>
          <w:szCs w:val="18"/>
        </w:rPr>
      </w:pPr>
    </w:p>
    <w:tbl>
      <w:tblPr>
        <w:tblStyle w:val="TableNormal"/>
        <w:tblW w:w="9511" w:type="dxa"/>
        <w:tblInd w:w="6" w:type="dxa"/>
        <w:tblLook w:val="01E0" w:firstRow="1" w:lastRow="1" w:firstColumn="1" w:lastColumn="1" w:noHBand="0" w:noVBand="0"/>
      </w:tblPr>
      <w:tblGrid>
        <w:gridCol w:w="709"/>
        <w:gridCol w:w="851"/>
        <w:gridCol w:w="1701"/>
        <w:gridCol w:w="1559"/>
        <w:gridCol w:w="1855"/>
        <w:gridCol w:w="1418"/>
        <w:gridCol w:w="1418"/>
      </w:tblGrid>
      <w:tr w:rsidR="00FA4839" w:rsidRPr="00AF633D" w:rsidTr="00C75697">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Afkast</w:t>
            </w:r>
            <w:r w:rsidRPr="00E9366A">
              <w:rPr>
                <w:rFonts w:ascii="Georgia" w:hAnsi="Georgia"/>
                <w:color w:val="231F20"/>
                <w:spacing w:val="-3"/>
                <w:sz w:val="18"/>
                <w:szCs w:val="18"/>
              </w:rPr>
              <w:t xml:space="preserve"> </w:t>
            </w:r>
            <w:r w:rsidRPr="00E9366A">
              <w:rPr>
                <w:rFonts w:ascii="Georgia" w:hAnsi="Georgia"/>
                <w:color w:val="231F20"/>
                <w:spacing w:val="-1"/>
                <w:sz w:val="18"/>
                <w:szCs w:val="18"/>
              </w:rPr>
              <w:t>nr.*</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Blok</w:t>
            </w:r>
            <w:r w:rsidRPr="00E9366A">
              <w:rPr>
                <w:rFonts w:ascii="Georgia" w:hAnsi="Georgia"/>
                <w:color w:val="231F20"/>
                <w:spacing w:val="-6"/>
                <w:sz w:val="18"/>
                <w:szCs w:val="18"/>
              </w:rPr>
              <w:t xml:space="preserve"> </w:t>
            </w:r>
            <w:r w:rsidRPr="00E9366A">
              <w:rPr>
                <w:rFonts w:ascii="Georgia" w:hAnsi="Georgia"/>
                <w:color w:val="231F20"/>
                <w:spacing w:val="-1"/>
                <w:sz w:val="18"/>
                <w:szCs w:val="18"/>
              </w:rPr>
              <w:t>nr.</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ind w:left="103" w:right="149"/>
              <w:rPr>
                <w:rFonts w:ascii="Georgia" w:eastAsia="Calibri" w:hAnsi="Georgia" w:cs="Calibri"/>
                <w:sz w:val="18"/>
                <w:szCs w:val="18"/>
                <w:lang w:val="da-DK"/>
              </w:rPr>
            </w:pPr>
            <w:r w:rsidRPr="00E9366A">
              <w:rPr>
                <w:rFonts w:ascii="Georgia" w:hAnsi="Georgia"/>
                <w:color w:val="231F20"/>
                <w:spacing w:val="-1"/>
                <w:sz w:val="18"/>
                <w:szCs w:val="18"/>
                <w:lang w:val="da-DK"/>
              </w:rPr>
              <w:t>Ovne</w:t>
            </w:r>
            <w:r w:rsidRPr="00E9366A">
              <w:rPr>
                <w:rFonts w:ascii="Georgia" w:hAnsi="Georgia"/>
                <w:color w:val="231F20"/>
                <w:spacing w:val="-4"/>
                <w:sz w:val="18"/>
                <w:szCs w:val="18"/>
                <w:lang w:val="da-DK"/>
              </w:rPr>
              <w:t xml:space="preserve"> </w:t>
            </w:r>
            <w:r w:rsidRPr="00E9366A">
              <w:rPr>
                <w:rFonts w:ascii="Georgia" w:hAnsi="Georgia"/>
                <w:color w:val="231F20"/>
                <w:sz w:val="18"/>
                <w:szCs w:val="18"/>
                <w:lang w:val="da-DK"/>
              </w:rPr>
              <w:t>med</w:t>
            </w:r>
            <w:r w:rsidRPr="00E9366A">
              <w:rPr>
                <w:rFonts w:ascii="Georgia" w:hAnsi="Georgia"/>
                <w:color w:val="231F20"/>
                <w:spacing w:val="-4"/>
                <w:sz w:val="18"/>
                <w:szCs w:val="18"/>
                <w:lang w:val="da-DK"/>
              </w:rPr>
              <w:t xml:space="preserve"> </w:t>
            </w:r>
            <w:r w:rsidRPr="00E9366A">
              <w:rPr>
                <w:rFonts w:ascii="Georgia" w:hAnsi="Georgia"/>
                <w:color w:val="231F20"/>
                <w:spacing w:val="-1"/>
                <w:sz w:val="18"/>
                <w:szCs w:val="18"/>
                <w:lang w:val="da-DK"/>
              </w:rPr>
              <w:t>afkast</w:t>
            </w:r>
            <w:r w:rsidRPr="00E9366A">
              <w:rPr>
                <w:rFonts w:ascii="Georgia" w:hAnsi="Georgia"/>
                <w:color w:val="231F20"/>
                <w:spacing w:val="-3"/>
                <w:sz w:val="18"/>
                <w:szCs w:val="18"/>
                <w:lang w:val="da-DK"/>
              </w:rPr>
              <w:t xml:space="preserve"> </w:t>
            </w:r>
            <w:r w:rsidRPr="00E9366A">
              <w:rPr>
                <w:rFonts w:ascii="Georgia" w:hAnsi="Georgia"/>
                <w:color w:val="231F20"/>
                <w:spacing w:val="-1"/>
                <w:sz w:val="18"/>
                <w:szCs w:val="18"/>
                <w:lang w:val="da-DK"/>
              </w:rPr>
              <w:t>til</w:t>
            </w:r>
            <w:r w:rsidRPr="00E9366A">
              <w:rPr>
                <w:rFonts w:ascii="Georgia" w:hAnsi="Georgia"/>
                <w:color w:val="231F20"/>
                <w:spacing w:val="27"/>
                <w:sz w:val="18"/>
                <w:szCs w:val="18"/>
                <w:lang w:val="da-DK"/>
              </w:rPr>
              <w:t xml:space="preserve"> </w:t>
            </w:r>
            <w:r w:rsidRPr="00E9366A">
              <w:rPr>
                <w:rFonts w:ascii="Georgia" w:hAnsi="Georgia"/>
                <w:color w:val="231F20"/>
                <w:spacing w:val="-1"/>
                <w:sz w:val="18"/>
                <w:szCs w:val="18"/>
                <w:lang w:val="da-DK"/>
              </w:rPr>
              <w:t>skorsten</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ind w:left="101" w:right="373"/>
              <w:rPr>
                <w:rFonts w:ascii="Georgia" w:eastAsia="Calibri" w:hAnsi="Georgia" w:cs="Calibri"/>
                <w:sz w:val="18"/>
                <w:szCs w:val="18"/>
              </w:rPr>
            </w:pPr>
            <w:r>
              <w:rPr>
                <w:rFonts w:ascii="Georgia" w:hAnsi="Georgia"/>
                <w:color w:val="231F20"/>
                <w:spacing w:val="-1"/>
                <w:sz w:val="18"/>
                <w:szCs w:val="18"/>
              </w:rPr>
              <w:t>Nominel indfyret effekt</w:t>
            </w:r>
            <w:r w:rsidRPr="00E9366A">
              <w:rPr>
                <w:rFonts w:ascii="Georgia" w:hAnsi="Georgia"/>
                <w:color w:val="231F20"/>
                <w:spacing w:val="-7"/>
                <w:sz w:val="18"/>
                <w:szCs w:val="18"/>
              </w:rPr>
              <w:t xml:space="preserve"> </w:t>
            </w:r>
            <w:r w:rsidRPr="00E9366A">
              <w:rPr>
                <w:rFonts w:ascii="Georgia" w:hAnsi="Georgia"/>
                <w:color w:val="231F20"/>
                <w:spacing w:val="21"/>
                <w:w w:val="99"/>
                <w:sz w:val="18"/>
                <w:szCs w:val="18"/>
              </w:rPr>
              <w:t xml:space="preserve"> </w:t>
            </w:r>
            <w:r w:rsidRPr="00E9366A">
              <w:rPr>
                <w:rFonts w:ascii="Georgia" w:hAnsi="Georgia"/>
                <w:color w:val="231F20"/>
                <w:spacing w:val="-1"/>
                <w:sz w:val="18"/>
                <w:szCs w:val="18"/>
              </w:rPr>
              <w:t>(MW)</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ind w:left="101" w:right="373"/>
              <w:rPr>
                <w:rFonts w:ascii="Georgia" w:eastAsia="Calibri" w:hAnsi="Georgia" w:cs="Calibri"/>
                <w:sz w:val="18"/>
                <w:szCs w:val="18"/>
              </w:rPr>
            </w:pPr>
            <w:r>
              <w:rPr>
                <w:rFonts w:ascii="Georgia" w:hAnsi="Georgia"/>
                <w:color w:val="231F20"/>
                <w:spacing w:val="-1"/>
                <w:sz w:val="18"/>
                <w:szCs w:val="18"/>
              </w:rPr>
              <w:t>Indfyret effekt</w:t>
            </w:r>
            <w:r w:rsidRPr="00E9366A">
              <w:rPr>
                <w:rFonts w:ascii="Georgia" w:hAnsi="Georgia"/>
                <w:color w:val="231F20"/>
                <w:spacing w:val="-7"/>
                <w:sz w:val="18"/>
                <w:szCs w:val="18"/>
              </w:rPr>
              <w:t xml:space="preserve"> </w:t>
            </w:r>
            <w:r w:rsidRPr="00E9366A">
              <w:rPr>
                <w:rFonts w:ascii="Georgia" w:hAnsi="Georgia"/>
                <w:color w:val="231F20"/>
                <w:spacing w:val="21"/>
                <w:w w:val="99"/>
                <w:sz w:val="18"/>
                <w:szCs w:val="18"/>
              </w:rPr>
              <w:t xml:space="preserve"> </w:t>
            </w:r>
            <w:r>
              <w:rPr>
                <w:rFonts w:ascii="Georgia" w:hAnsi="Georgia"/>
                <w:color w:val="231F20"/>
                <w:spacing w:val="21"/>
                <w:w w:val="99"/>
                <w:sz w:val="18"/>
                <w:szCs w:val="18"/>
              </w:rPr>
              <w:t>2014</w:t>
            </w:r>
            <w:r w:rsidRPr="00E9366A">
              <w:rPr>
                <w:rFonts w:ascii="Georgia" w:hAnsi="Georgia"/>
                <w:color w:val="231F20"/>
                <w:spacing w:val="-1"/>
                <w:sz w:val="18"/>
                <w:szCs w:val="18"/>
              </w:rPr>
              <w:t>(MW)</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Brændselstype</w:t>
            </w:r>
          </w:p>
        </w:tc>
        <w:tc>
          <w:tcPr>
            <w:tcW w:w="1418" w:type="dxa"/>
            <w:tcBorders>
              <w:top w:val="single" w:sz="5" w:space="0" w:color="231F20"/>
              <w:left w:val="single" w:sz="5" w:space="0" w:color="231F20"/>
              <w:bottom w:val="single" w:sz="5" w:space="0" w:color="231F20"/>
              <w:right w:val="single" w:sz="5" w:space="0" w:color="231F20"/>
            </w:tcBorders>
          </w:tcPr>
          <w:p w:rsidR="00FA4839" w:rsidRPr="00AF633D" w:rsidRDefault="00FA4839" w:rsidP="00C75697">
            <w:pPr>
              <w:pStyle w:val="TableParagraph"/>
              <w:spacing w:line="243" w:lineRule="exact"/>
              <w:ind w:left="101"/>
              <w:rPr>
                <w:rFonts w:ascii="Georgia" w:hAnsi="Georgia"/>
                <w:color w:val="231F20"/>
                <w:spacing w:val="-1"/>
                <w:sz w:val="18"/>
                <w:szCs w:val="18"/>
                <w:lang w:val="da-DK"/>
              </w:rPr>
            </w:pPr>
            <w:r w:rsidRPr="00AF633D">
              <w:rPr>
                <w:rFonts w:ascii="Georgia" w:hAnsi="Georgia"/>
                <w:color w:val="231F20"/>
                <w:spacing w:val="-1"/>
                <w:sz w:val="18"/>
                <w:szCs w:val="18"/>
                <w:lang w:val="da-DK"/>
              </w:rPr>
              <w:t>Omfattet af store fyr bek.</w:t>
            </w:r>
          </w:p>
        </w:tc>
      </w:tr>
      <w:tr w:rsidR="00FA4839" w:rsidRPr="00E9366A" w:rsidTr="00C75697">
        <w:trPr>
          <w:trHeight w:hRule="exact" w:val="266"/>
        </w:trPr>
        <w:tc>
          <w:tcPr>
            <w:tcW w:w="709" w:type="dxa"/>
            <w:vMerge w:val="restart"/>
            <w:tcBorders>
              <w:top w:val="single" w:sz="5" w:space="0" w:color="231F20"/>
              <w:left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2</w:t>
            </w:r>
          </w:p>
        </w:tc>
        <w:tc>
          <w:tcPr>
            <w:tcW w:w="851" w:type="dxa"/>
            <w:vMerge w:val="restart"/>
            <w:tcBorders>
              <w:top w:val="single" w:sz="5" w:space="0" w:color="231F20"/>
              <w:left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2</w:t>
            </w:r>
          </w:p>
        </w:tc>
        <w:tc>
          <w:tcPr>
            <w:tcW w:w="1701"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3"/>
              <w:rPr>
                <w:rFonts w:ascii="Georgia" w:eastAsia="Calibri" w:hAnsi="Georgia" w:cs="Calibri"/>
                <w:sz w:val="18"/>
                <w:szCs w:val="18"/>
              </w:rPr>
            </w:pPr>
            <w:r w:rsidRPr="00E9366A">
              <w:rPr>
                <w:rFonts w:ascii="Georgia" w:hAnsi="Georgia"/>
                <w:color w:val="231F20"/>
                <w:spacing w:val="-1"/>
                <w:sz w:val="18"/>
                <w:szCs w:val="18"/>
              </w:rPr>
              <w:t>H-301</w:t>
            </w:r>
          </w:p>
        </w:tc>
        <w:tc>
          <w:tcPr>
            <w:tcW w:w="1559" w:type="dxa"/>
            <w:tcBorders>
              <w:top w:val="single" w:sz="5" w:space="0" w:color="231F20"/>
              <w:left w:val="single" w:sz="5" w:space="0" w:color="231F20"/>
              <w:bottom w:val="nil"/>
              <w:right w:val="single" w:sz="5" w:space="0" w:color="231F20"/>
            </w:tcBorders>
          </w:tcPr>
          <w:p w:rsidR="00FA4839"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7,0</w:t>
            </w:r>
          </w:p>
          <w:p w:rsidR="00FA4839" w:rsidRDefault="00FA4839" w:rsidP="00C75697">
            <w:pPr>
              <w:pStyle w:val="TableParagraph"/>
              <w:spacing w:line="243" w:lineRule="exact"/>
              <w:ind w:left="101"/>
              <w:rPr>
                <w:rFonts w:ascii="Georgia" w:eastAsia="Calibri" w:hAnsi="Georgia" w:cs="Calibri"/>
                <w:sz w:val="18"/>
                <w:szCs w:val="18"/>
              </w:rPr>
            </w:pPr>
          </w:p>
          <w:p w:rsidR="00FA4839" w:rsidRPr="00E9366A"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30,0</w:t>
            </w:r>
          </w:p>
        </w:tc>
        <w:tc>
          <w:tcPr>
            <w:tcW w:w="1855"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7,0</w:t>
            </w:r>
          </w:p>
        </w:tc>
        <w:tc>
          <w:tcPr>
            <w:tcW w:w="1418"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rPr>
                <w:rFonts w:ascii="Georgia" w:hAnsi="Georgia"/>
                <w:color w:val="231F20"/>
                <w:spacing w:val="-1"/>
                <w:sz w:val="18"/>
                <w:szCs w:val="18"/>
              </w:rPr>
            </w:pPr>
            <w:r>
              <w:rPr>
                <w:rFonts w:ascii="Georgia" w:hAnsi="Georgia"/>
                <w:color w:val="231F20"/>
                <w:spacing w:val="-1"/>
                <w:sz w:val="18"/>
                <w:szCs w:val="18"/>
              </w:rPr>
              <w:t xml:space="preserve"> Nej</w:t>
            </w:r>
          </w:p>
        </w:tc>
      </w:tr>
      <w:tr w:rsidR="00FA4839" w:rsidRPr="00E9366A" w:rsidTr="00C75697">
        <w:trPr>
          <w:trHeight w:hRule="exact" w:val="244"/>
        </w:trPr>
        <w:tc>
          <w:tcPr>
            <w:tcW w:w="709" w:type="dxa"/>
            <w:vMerge/>
            <w:tcBorders>
              <w:left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3"/>
              <w:rPr>
                <w:rFonts w:ascii="Georgia" w:eastAsia="Calibri" w:hAnsi="Georgia" w:cs="Calibri"/>
                <w:sz w:val="18"/>
                <w:szCs w:val="18"/>
              </w:rPr>
            </w:pPr>
            <w:r w:rsidRPr="00E9366A">
              <w:rPr>
                <w:rFonts w:ascii="Georgia" w:hAnsi="Georgia"/>
                <w:color w:val="231F20"/>
                <w:spacing w:val="-1"/>
                <w:sz w:val="18"/>
                <w:szCs w:val="18"/>
              </w:rPr>
              <w:t>H-402</w:t>
            </w:r>
          </w:p>
        </w:tc>
        <w:tc>
          <w:tcPr>
            <w:tcW w:w="1559"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eastAsia="Calibri" w:hAnsi="Georgia" w:cs="Calibri"/>
                <w:sz w:val="18"/>
                <w:szCs w:val="18"/>
              </w:rPr>
            </w:pPr>
            <w:r>
              <w:rPr>
                <w:rFonts w:ascii="Georgia" w:eastAsia="Calibri" w:hAnsi="Georgia" w:cs="Calibri"/>
                <w:sz w:val="18"/>
                <w:szCs w:val="18"/>
              </w:rPr>
              <w:t>30,0</w:t>
            </w:r>
          </w:p>
        </w:tc>
        <w:tc>
          <w:tcPr>
            <w:tcW w:w="1855"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eastAsia="Calibri" w:hAnsi="Georgia" w:cs="Calibri"/>
                <w:sz w:val="18"/>
                <w:szCs w:val="18"/>
              </w:rPr>
            </w:pPr>
            <w:r w:rsidRPr="00E9366A">
              <w:rPr>
                <w:rFonts w:ascii="Georgia" w:hAnsi="Georgia"/>
                <w:color w:val="231F20"/>
                <w:sz w:val="18"/>
                <w:szCs w:val="18"/>
              </w:rPr>
              <w:t>29,4</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hAnsi="Georgia"/>
                <w:color w:val="231F20"/>
                <w:spacing w:val="-1"/>
                <w:sz w:val="18"/>
                <w:szCs w:val="18"/>
              </w:rPr>
            </w:pPr>
          </w:p>
        </w:tc>
      </w:tr>
      <w:tr w:rsidR="00FA4839" w:rsidRPr="00E9366A" w:rsidTr="00C75697">
        <w:trPr>
          <w:trHeight w:hRule="exact" w:val="245"/>
        </w:trPr>
        <w:tc>
          <w:tcPr>
            <w:tcW w:w="709" w:type="dxa"/>
            <w:vMerge/>
            <w:tcBorders>
              <w:left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3"/>
              <w:rPr>
                <w:rFonts w:ascii="Georgia" w:eastAsia="Calibri" w:hAnsi="Georgia" w:cs="Calibri"/>
                <w:sz w:val="18"/>
                <w:szCs w:val="18"/>
              </w:rPr>
            </w:pPr>
            <w:r w:rsidRPr="00E9366A">
              <w:rPr>
                <w:rFonts w:ascii="Georgia" w:hAnsi="Georgia"/>
                <w:color w:val="231F20"/>
                <w:spacing w:val="-1"/>
                <w:sz w:val="18"/>
                <w:szCs w:val="18"/>
              </w:rPr>
              <w:t>H-801</w:t>
            </w:r>
          </w:p>
        </w:tc>
        <w:tc>
          <w:tcPr>
            <w:tcW w:w="1559" w:type="dxa"/>
            <w:tcBorders>
              <w:top w:val="nil"/>
              <w:left w:val="single" w:sz="5" w:space="0" w:color="231F20"/>
              <w:bottom w:val="nil"/>
              <w:right w:val="single" w:sz="5" w:space="0" w:color="231F20"/>
            </w:tcBorders>
          </w:tcPr>
          <w:p w:rsidR="00FA4839" w:rsidRDefault="00FA4839" w:rsidP="00C75697">
            <w:pPr>
              <w:pStyle w:val="TableParagraph"/>
              <w:spacing w:line="226" w:lineRule="exact"/>
              <w:ind w:left="101"/>
              <w:rPr>
                <w:rFonts w:ascii="Georgia" w:eastAsia="Calibri" w:hAnsi="Georgia" w:cs="Calibri"/>
                <w:sz w:val="18"/>
                <w:szCs w:val="18"/>
              </w:rPr>
            </w:pPr>
            <w:r>
              <w:rPr>
                <w:rFonts w:ascii="Georgia" w:eastAsia="Calibri" w:hAnsi="Georgia" w:cs="Calibri"/>
                <w:sz w:val="18"/>
                <w:szCs w:val="18"/>
              </w:rPr>
              <w:t>10,0</w:t>
            </w:r>
          </w:p>
          <w:p w:rsidR="00FA4839" w:rsidRDefault="00FA4839" w:rsidP="00C75697">
            <w:pPr>
              <w:pStyle w:val="TableParagraph"/>
              <w:spacing w:line="226" w:lineRule="exact"/>
              <w:ind w:left="101"/>
              <w:rPr>
                <w:rFonts w:ascii="Georgia" w:eastAsia="Calibri" w:hAnsi="Georgia" w:cs="Calibri"/>
                <w:sz w:val="18"/>
                <w:szCs w:val="18"/>
              </w:rPr>
            </w:pPr>
          </w:p>
          <w:p w:rsidR="00FA4839" w:rsidRPr="00E9366A" w:rsidRDefault="00FA4839" w:rsidP="00C75697">
            <w:pPr>
              <w:pStyle w:val="TableParagraph"/>
              <w:spacing w:line="226" w:lineRule="exact"/>
              <w:ind w:left="101"/>
              <w:rPr>
                <w:rFonts w:ascii="Georgia" w:eastAsia="Calibri" w:hAnsi="Georgia" w:cs="Calibri"/>
                <w:sz w:val="18"/>
                <w:szCs w:val="18"/>
              </w:rPr>
            </w:pPr>
          </w:p>
        </w:tc>
        <w:tc>
          <w:tcPr>
            <w:tcW w:w="1855"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sidRPr="00E9366A">
              <w:rPr>
                <w:rFonts w:ascii="Georgia" w:hAnsi="Georgia"/>
                <w:color w:val="231F20"/>
                <w:sz w:val="18"/>
                <w:szCs w:val="18"/>
              </w:rPr>
              <w:t>10,0</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hAnsi="Georgia"/>
                <w:color w:val="231F20"/>
                <w:spacing w:val="-1"/>
                <w:sz w:val="18"/>
                <w:szCs w:val="18"/>
              </w:rPr>
            </w:pPr>
          </w:p>
        </w:tc>
      </w:tr>
      <w:tr w:rsidR="00FA4839" w:rsidRPr="00E9366A" w:rsidTr="00C75697">
        <w:trPr>
          <w:trHeight w:hRule="exact" w:val="230"/>
        </w:trPr>
        <w:tc>
          <w:tcPr>
            <w:tcW w:w="709" w:type="dxa"/>
            <w:vMerge/>
            <w:tcBorders>
              <w:left w:val="single" w:sz="5" w:space="0" w:color="231F20"/>
              <w:bottom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bottom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3"/>
              <w:rPr>
                <w:rFonts w:ascii="Georgia" w:eastAsia="Calibri" w:hAnsi="Georgia" w:cs="Calibri"/>
                <w:sz w:val="18"/>
                <w:szCs w:val="18"/>
              </w:rPr>
            </w:pPr>
            <w:r w:rsidRPr="00E9366A">
              <w:rPr>
                <w:rFonts w:ascii="Georgia" w:hAnsi="Georgia"/>
                <w:color w:val="231F20"/>
                <w:spacing w:val="-1"/>
                <w:sz w:val="18"/>
                <w:szCs w:val="18"/>
              </w:rPr>
              <w:t>H-802</w:t>
            </w:r>
          </w:p>
        </w:tc>
        <w:tc>
          <w:tcPr>
            <w:tcW w:w="1559"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eastAsia="Calibri" w:hAnsi="Georgia" w:cs="Calibri"/>
                <w:sz w:val="18"/>
                <w:szCs w:val="18"/>
              </w:rPr>
            </w:pPr>
            <w:r>
              <w:rPr>
                <w:rFonts w:ascii="Georgia" w:eastAsia="Calibri" w:hAnsi="Georgia" w:cs="Calibri"/>
                <w:sz w:val="18"/>
                <w:szCs w:val="18"/>
              </w:rPr>
              <w:t>3,8</w:t>
            </w:r>
          </w:p>
        </w:tc>
        <w:tc>
          <w:tcPr>
            <w:tcW w:w="1855"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eastAsia="Calibri" w:hAnsi="Georgia" w:cs="Calibri"/>
                <w:sz w:val="18"/>
                <w:szCs w:val="18"/>
              </w:rPr>
            </w:pPr>
            <w:r w:rsidRPr="00E9366A">
              <w:rPr>
                <w:rFonts w:ascii="Georgia" w:hAnsi="Georgia"/>
                <w:color w:val="231F20"/>
                <w:sz w:val="18"/>
                <w:szCs w:val="18"/>
              </w:rPr>
              <w:t>3,8</w:t>
            </w:r>
          </w:p>
        </w:tc>
        <w:tc>
          <w:tcPr>
            <w:tcW w:w="1418"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hAnsi="Georgia"/>
                <w:color w:val="231F20"/>
                <w:spacing w:val="-1"/>
                <w:sz w:val="18"/>
                <w:szCs w:val="18"/>
              </w:rPr>
            </w:pPr>
          </w:p>
        </w:tc>
      </w:tr>
      <w:tr w:rsidR="00FA4839" w:rsidRPr="00E9366A" w:rsidTr="00C75697">
        <w:trPr>
          <w:trHeight w:hRule="exact" w:val="268"/>
        </w:trPr>
        <w:tc>
          <w:tcPr>
            <w:tcW w:w="709" w:type="dxa"/>
            <w:vMerge w:val="restart"/>
            <w:tcBorders>
              <w:top w:val="single" w:sz="5" w:space="0" w:color="231F20"/>
              <w:left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3</w:t>
            </w:r>
          </w:p>
        </w:tc>
        <w:tc>
          <w:tcPr>
            <w:tcW w:w="851" w:type="dxa"/>
            <w:vMerge w:val="restart"/>
            <w:tcBorders>
              <w:top w:val="single" w:sz="5" w:space="0" w:color="231F20"/>
              <w:left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1</w:t>
            </w:r>
          </w:p>
        </w:tc>
        <w:tc>
          <w:tcPr>
            <w:tcW w:w="1701"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3"/>
              <w:rPr>
                <w:rFonts w:ascii="Georgia" w:eastAsia="Calibri" w:hAnsi="Georgia" w:cs="Calibri"/>
                <w:sz w:val="18"/>
                <w:szCs w:val="18"/>
              </w:rPr>
            </w:pPr>
            <w:r w:rsidRPr="00E9366A">
              <w:rPr>
                <w:rFonts w:ascii="Georgia" w:hAnsi="Georgia"/>
                <w:color w:val="231F20"/>
                <w:spacing w:val="-1"/>
                <w:sz w:val="18"/>
                <w:szCs w:val="18"/>
              </w:rPr>
              <w:t>H-201</w:t>
            </w:r>
          </w:p>
        </w:tc>
        <w:tc>
          <w:tcPr>
            <w:tcW w:w="1559"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29,0</w:t>
            </w:r>
          </w:p>
        </w:tc>
        <w:tc>
          <w:tcPr>
            <w:tcW w:w="1855"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28,0</w:t>
            </w:r>
          </w:p>
        </w:tc>
        <w:tc>
          <w:tcPr>
            <w:tcW w:w="1418"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nil"/>
              <w:right w:val="single" w:sz="5" w:space="0" w:color="231F20"/>
            </w:tcBorders>
          </w:tcPr>
          <w:p w:rsidR="00FA4839" w:rsidRPr="00E9366A" w:rsidRDefault="00FA4839" w:rsidP="00C75697">
            <w:pPr>
              <w:pStyle w:val="TableParagraph"/>
              <w:spacing w:line="243" w:lineRule="exact"/>
              <w:ind w:left="101"/>
              <w:rPr>
                <w:rFonts w:ascii="Georgia" w:hAnsi="Georgia"/>
                <w:color w:val="231F20"/>
                <w:spacing w:val="-1"/>
                <w:sz w:val="18"/>
                <w:szCs w:val="18"/>
              </w:rPr>
            </w:pPr>
            <w:r>
              <w:rPr>
                <w:rFonts w:ascii="Georgia" w:hAnsi="Georgia"/>
                <w:color w:val="231F20"/>
                <w:spacing w:val="-1"/>
                <w:sz w:val="18"/>
                <w:szCs w:val="18"/>
              </w:rPr>
              <w:t>Ja</w:t>
            </w:r>
          </w:p>
        </w:tc>
      </w:tr>
      <w:tr w:rsidR="00FA4839" w:rsidRPr="00E9366A" w:rsidTr="00C75697">
        <w:trPr>
          <w:trHeight w:hRule="exact" w:val="244"/>
        </w:trPr>
        <w:tc>
          <w:tcPr>
            <w:tcW w:w="709" w:type="dxa"/>
            <w:vMerge/>
            <w:tcBorders>
              <w:left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3"/>
              <w:rPr>
                <w:rFonts w:ascii="Georgia" w:eastAsia="Calibri" w:hAnsi="Georgia" w:cs="Calibri"/>
                <w:sz w:val="18"/>
                <w:szCs w:val="18"/>
              </w:rPr>
            </w:pPr>
            <w:r w:rsidRPr="00E9366A">
              <w:rPr>
                <w:rFonts w:ascii="Georgia" w:hAnsi="Georgia"/>
                <w:color w:val="231F20"/>
                <w:spacing w:val="-1"/>
                <w:sz w:val="18"/>
                <w:szCs w:val="18"/>
              </w:rPr>
              <w:t>H-202</w:t>
            </w:r>
            <w:r w:rsidRPr="00E9366A">
              <w:rPr>
                <w:rFonts w:ascii="Georgia" w:hAnsi="Georgia"/>
                <w:color w:val="231F20"/>
                <w:spacing w:val="-4"/>
                <w:sz w:val="18"/>
                <w:szCs w:val="18"/>
              </w:rPr>
              <w:t xml:space="preserve"> </w:t>
            </w:r>
            <w:r w:rsidRPr="00E9366A">
              <w:rPr>
                <w:rFonts w:ascii="Georgia" w:hAnsi="Georgia"/>
                <w:color w:val="231F20"/>
                <w:spacing w:val="-1"/>
                <w:sz w:val="18"/>
                <w:szCs w:val="18"/>
              </w:rPr>
              <w:t>(PEMS)</w:t>
            </w:r>
          </w:p>
        </w:tc>
        <w:tc>
          <w:tcPr>
            <w:tcW w:w="1559"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Pr>
                <w:rFonts w:ascii="Georgia" w:eastAsia="Calibri" w:hAnsi="Georgia" w:cs="Calibri"/>
                <w:sz w:val="18"/>
                <w:szCs w:val="18"/>
              </w:rPr>
              <w:t>43,0</w:t>
            </w:r>
          </w:p>
        </w:tc>
        <w:tc>
          <w:tcPr>
            <w:tcW w:w="1855"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sidRPr="00E9366A">
              <w:rPr>
                <w:rFonts w:ascii="Georgia" w:hAnsi="Georgia"/>
                <w:color w:val="231F20"/>
                <w:sz w:val="18"/>
                <w:szCs w:val="18"/>
              </w:rPr>
              <w:t>35,0</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hAnsi="Georgia"/>
                <w:color w:val="231F20"/>
                <w:spacing w:val="-1"/>
                <w:sz w:val="18"/>
                <w:szCs w:val="18"/>
              </w:rPr>
            </w:pPr>
          </w:p>
        </w:tc>
      </w:tr>
      <w:tr w:rsidR="00FA4839" w:rsidRPr="00E9366A" w:rsidTr="00C75697">
        <w:trPr>
          <w:trHeight w:hRule="exact" w:val="244"/>
        </w:trPr>
        <w:tc>
          <w:tcPr>
            <w:tcW w:w="709" w:type="dxa"/>
            <w:vMerge/>
            <w:tcBorders>
              <w:left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3"/>
              <w:rPr>
                <w:rFonts w:ascii="Georgia" w:eastAsia="Calibri" w:hAnsi="Georgia" w:cs="Calibri"/>
                <w:sz w:val="18"/>
                <w:szCs w:val="18"/>
              </w:rPr>
            </w:pPr>
            <w:r w:rsidRPr="00E9366A">
              <w:rPr>
                <w:rFonts w:ascii="Georgia" w:hAnsi="Georgia"/>
                <w:color w:val="231F20"/>
                <w:spacing w:val="-1"/>
                <w:sz w:val="18"/>
                <w:szCs w:val="18"/>
              </w:rPr>
              <w:t>H-1051</w:t>
            </w:r>
          </w:p>
        </w:tc>
        <w:tc>
          <w:tcPr>
            <w:tcW w:w="1559"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eastAsia="Calibri" w:hAnsi="Georgia" w:cs="Calibri"/>
                <w:sz w:val="18"/>
                <w:szCs w:val="18"/>
              </w:rPr>
            </w:pPr>
            <w:r>
              <w:rPr>
                <w:rFonts w:ascii="Georgia" w:eastAsia="Calibri" w:hAnsi="Georgia" w:cs="Calibri"/>
                <w:sz w:val="18"/>
                <w:szCs w:val="18"/>
              </w:rPr>
              <w:t>24,0</w:t>
            </w:r>
          </w:p>
        </w:tc>
        <w:tc>
          <w:tcPr>
            <w:tcW w:w="1855"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eastAsia="Calibri" w:hAnsi="Georgia" w:cs="Calibri"/>
                <w:sz w:val="18"/>
                <w:szCs w:val="18"/>
              </w:rPr>
            </w:pPr>
            <w:r w:rsidRPr="00E9366A">
              <w:rPr>
                <w:rFonts w:ascii="Georgia" w:hAnsi="Georgia"/>
                <w:color w:val="231F20"/>
                <w:sz w:val="18"/>
                <w:szCs w:val="18"/>
              </w:rPr>
              <w:t>24,0</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5" w:lineRule="exact"/>
              <w:ind w:left="101"/>
              <w:rPr>
                <w:rFonts w:ascii="Georgia" w:hAnsi="Georgia"/>
                <w:color w:val="231F20"/>
                <w:spacing w:val="-1"/>
                <w:sz w:val="18"/>
                <w:szCs w:val="18"/>
              </w:rPr>
            </w:pPr>
          </w:p>
        </w:tc>
      </w:tr>
      <w:tr w:rsidR="00FA4839" w:rsidRPr="00E9366A" w:rsidTr="00C75697">
        <w:trPr>
          <w:trHeight w:hRule="exact" w:val="245"/>
        </w:trPr>
        <w:tc>
          <w:tcPr>
            <w:tcW w:w="709" w:type="dxa"/>
            <w:vMerge/>
            <w:tcBorders>
              <w:left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3"/>
              <w:rPr>
                <w:rFonts w:ascii="Georgia" w:eastAsia="Calibri" w:hAnsi="Georgia" w:cs="Calibri"/>
                <w:sz w:val="18"/>
                <w:szCs w:val="18"/>
              </w:rPr>
            </w:pPr>
            <w:r w:rsidRPr="00E9366A">
              <w:rPr>
                <w:rFonts w:ascii="Georgia" w:hAnsi="Georgia"/>
                <w:color w:val="231F20"/>
                <w:spacing w:val="-1"/>
                <w:sz w:val="18"/>
                <w:szCs w:val="18"/>
              </w:rPr>
              <w:t>H-1001</w:t>
            </w:r>
          </w:p>
        </w:tc>
        <w:tc>
          <w:tcPr>
            <w:tcW w:w="1559"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Pr>
                <w:rFonts w:ascii="Georgia" w:eastAsia="Calibri" w:hAnsi="Georgia" w:cs="Calibri"/>
                <w:sz w:val="18"/>
                <w:szCs w:val="18"/>
              </w:rPr>
              <w:t>24,0</w:t>
            </w:r>
          </w:p>
        </w:tc>
        <w:tc>
          <w:tcPr>
            <w:tcW w:w="1855"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sidRPr="00E9366A">
              <w:rPr>
                <w:rFonts w:ascii="Georgia" w:hAnsi="Georgia"/>
                <w:color w:val="231F20"/>
                <w:sz w:val="18"/>
                <w:szCs w:val="18"/>
              </w:rPr>
              <w:t>24,0</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nil"/>
              <w:right w:val="single" w:sz="5" w:space="0" w:color="231F20"/>
            </w:tcBorders>
          </w:tcPr>
          <w:p w:rsidR="00FA4839" w:rsidRPr="00E9366A" w:rsidRDefault="00FA4839" w:rsidP="00C75697">
            <w:pPr>
              <w:pStyle w:val="TableParagraph"/>
              <w:spacing w:line="226" w:lineRule="exact"/>
              <w:ind w:left="101"/>
              <w:rPr>
                <w:rFonts w:ascii="Georgia" w:hAnsi="Georgia"/>
                <w:color w:val="231F20"/>
                <w:spacing w:val="-1"/>
                <w:sz w:val="18"/>
                <w:szCs w:val="18"/>
              </w:rPr>
            </w:pPr>
          </w:p>
        </w:tc>
      </w:tr>
      <w:tr w:rsidR="00FA4839" w:rsidRPr="00E9366A" w:rsidTr="00C75697">
        <w:trPr>
          <w:trHeight w:hRule="exact" w:val="230"/>
        </w:trPr>
        <w:tc>
          <w:tcPr>
            <w:tcW w:w="709" w:type="dxa"/>
            <w:vMerge/>
            <w:tcBorders>
              <w:left w:val="single" w:sz="5" w:space="0" w:color="231F20"/>
              <w:bottom w:val="single" w:sz="5" w:space="0" w:color="231F20"/>
              <w:right w:val="single" w:sz="5" w:space="0" w:color="231F20"/>
            </w:tcBorders>
          </w:tcPr>
          <w:p w:rsidR="00FA4839" w:rsidRPr="00E9366A" w:rsidRDefault="00FA4839" w:rsidP="00C75697">
            <w:pPr>
              <w:rPr>
                <w:sz w:val="18"/>
                <w:szCs w:val="18"/>
              </w:rPr>
            </w:pPr>
          </w:p>
        </w:tc>
        <w:tc>
          <w:tcPr>
            <w:tcW w:w="851" w:type="dxa"/>
            <w:vMerge/>
            <w:tcBorders>
              <w:left w:val="single" w:sz="5" w:space="0" w:color="231F20"/>
              <w:bottom w:val="single" w:sz="5" w:space="0" w:color="231F20"/>
              <w:right w:val="single" w:sz="5" w:space="0" w:color="231F20"/>
            </w:tcBorders>
          </w:tcPr>
          <w:p w:rsidR="00FA4839" w:rsidRPr="00E9366A" w:rsidRDefault="00FA4839" w:rsidP="00C75697">
            <w:pPr>
              <w:rPr>
                <w:sz w:val="18"/>
                <w:szCs w:val="18"/>
              </w:rPr>
            </w:pPr>
          </w:p>
        </w:tc>
        <w:tc>
          <w:tcPr>
            <w:tcW w:w="1701"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3"/>
              <w:rPr>
                <w:rFonts w:ascii="Georgia" w:eastAsia="Calibri" w:hAnsi="Georgia" w:cs="Calibri"/>
                <w:sz w:val="18"/>
                <w:szCs w:val="18"/>
              </w:rPr>
            </w:pPr>
            <w:r w:rsidRPr="00E9366A">
              <w:rPr>
                <w:rFonts w:ascii="Georgia" w:hAnsi="Georgia"/>
                <w:color w:val="231F20"/>
                <w:spacing w:val="-1"/>
                <w:sz w:val="18"/>
                <w:szCs w:val="18"/>
              </w:rPr>
              <w:t>H-601</w:t>
            </w:r>
            <w:r w:rsidRPr="00E9366A">
              <w:rPr>
                <w:rFonts w:ascii="Georgia" w:hAnsi="Georgia"/>
                <w:color w:val="231F20"/>
                <w:spacing w:val="-4"/>
                <w:sz w:val="18"/>
                <w:szCs w:val="18"/>
              </w:rPr>
              <w:t xml:space="preserve"> </w:t>
            </w:r>
            <w:r w:rsidRPr="00E9366A">
              <w:rPr>
                <w:rFonts w:ascii="Georgia" w:hAnsi="Georgia"/>
                <w:color w:val="231F20"/>
                <w:spacing w:val="-1"/>
                <w:sz w:val="18"/>
                <w:szCs w:val="18"/>
              </w:rPr>
              <w:t>(PEMS)</w:t>
            </w:r>
          </w:p>
        </w:tc>
        <w:tc>
          <w:tcPr>
            <w:tcW w:w="1559"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eastAsia="Calibri" w:hAnsi="Georgia" w:cs="Calibri"/>
                <w:sz w:val="18"/>
                <w:szCs w:val="18"/>
              </w:rPr>
            </w:pPr>
            <w:r>
              <w:rPr>
                <w:rFonts w:ascii="Georgia" w:eastAsia="Calibri" w:hAnsi="Georgia" w:cs="Calibri"/>
                <w:sz w:val="18"/>
                <w:szCs w:val="18"/>
              </w:rPr>
              <w:t>52,8</w:t>
            </w:r>
          </w:p>
        </w:tc>
        <w:tc>
          <w:tcPr>
            <w:tcW w:w="1855"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eastAsia="Calibri" w:hAnsi="Georgia" w:cs="Calibri"/>
                <w:sz w:val="18"/>
                <w:szCs w:val="18"/>
              </w:rPr>
            </w:pPr>
            <w:r w:rsidRPr="00E9366A">
              <w:rPr>
                <w:rFonts w:ascii="Georgia" w:hAnsi="Georgia"/>
                <w:color w:val="231F20"/>
                <w:sz w:val="18"/>
                <w:szCs w:val="18"/>
              </w:rPr>
              <w:t>44,0</w:t>
            </w:r>
          </w:p>
        </w:tc>
        <w:tc>
          <w:tcPr>
            <w:tcW w:w="1418"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nil"/>
              <w:left w:val="single" w:sz="5" w:space="0" w:color="231F20"/>
              <w:bottom w:val="single" w:sz="5" w:space="0" w:color="231F20"/>
              <w:right w:val="single" w:sz="5" w:space="0" w:color="231F20"/>
            </w:tcBorders>
          </w:tcPr>
          <w:p w:rsidR="00FA4839" w:rsidRPr="00E9366A" w:rsidRDefault="00FA4839" w:rsidP="00C75697">
            <w:pPr>
              <w:pStyle w:val="TableParagraph"/>
              <w:spacing w:line="224" w:lineRule="exact"/>
              <w:ind w:left="101"/>
              <w:rPr>
                <w:rFonts w:ascii="Georgia" w:hAnsi="Georgia"/>
                <w:color w:val="231F20"/>
                <w:spacing w:val="-1"/>
                <w:sz w:val="18"/>
                <w:szCs w:val="18"/>
              </w:rPr>
            </w:pPr>
          </w:p>
        </w:tc>
      </w:tr>
      <w:tr w:rsidR="00FA4839" w:rsidRPr="00E9366A" w:rsidTr="00C75697">
        <w:trPr>
          <w:trHeight w:hRule="exact" w:val="255"/>
        </w:trPr>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4</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3</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3"/>
              <w:rPr>
                <w:rFonts w:ascii="Georgia" w:eastAsia="Calibri" w:hAnsi="Georgia" w:cs="Calibri"/>
                <w:sz w:val="18"/>
                <w:szCs w:val="18"/>
              </w:rPr>
            </w:pPr>
            <w:r w:rsidRPr="00E9366A">
              <w:rPr>
                <w:rFonts w:ascii="Georgia" w:hAnsi="Georgia"/>
                <w:color w:val="231F20"/>
                <w:spacing w:val="-1"/>
                <w:sz w:val="18"/>
                <w:szCs w:val="18"/>
              </w:rPr>
              <w:t>H-4201</w:t>
            </w:r>
            <w:r w:rsidRPr="00E9366A">
              <w:rPr>
                <w:rFonts w:ascii="Georgia" w:hAnsi="Georgia"/>
                <w:color w:val="231F20"/>
                <w:spacing w:val="-4"/>
                <w:sz w:val="18"/>
                <w:szCs w:val="18"/>
              </w:rPr>
              <w:t xml:space="preserve"> </w:t>
            </w:r>
            <w:r w:rsidRPr="00E9366A">
              <w:rPr>
                <w:rFonts w:ascii="Georgia" w:hAnsi="Georgia"/>
                <w:color w:val="231F20"/>
                <w:spacing w:val="-1"/>
                <w:sz w:val="18"/>
                <w:szCs w:val="18"/>
              </w:rPr>
              <w:t>(PEMS)</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60,0</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60,0</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hAnsi="Georgia"/>
                <w:color w:val="231F20"/>
                <w:spacing w:val="-1"/>
                <w:sz w:val="18"/>
                <w:szCs w:val="18"/>
              </w:rPr>
            </w:pPr>
            <w:r>
              <w:rPr>
                <w:rFonts w:ascii="Georgia" w:hAnsi="Georgia"/>
                <w:color w:val="231F20"/>
                <w:spacing w:val="-1"/>
                <w:sz w:val="18"/>
                <w:szCs w:val="18"/>
              </w:rPr>
              <w:t>Ja</w:t>
            </w:r>
          </w:p>
        </w:tc>
      </w:tr>
      <w:tr w:rsidR="00FA4839" w:rsidRPr="00E9366A" w:rsidTr="00C75697">
        <w:trPr>
          <w:trHeight w:hRule="exact" w:val="510"/>
        </w:trPr>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5</w:t>
            </w:r>
            <w:r w:rsidRPr="00E9366A">
              <w:rPr>
                <w:rFonts w:ascii="Georgia" w:hAnsi="Georgia"/>
                <w:color w:val="231F20"/>
                <w:spacing w:val="-1"/>
                <w:sz w:val="18"/>
                <w:szCs w:val="18"/>
              </w:rPr>
              <w:t xml:space="preserve"> </w:t>
            </w:r>
            <w:r w:rsidRPr="00E9366A">
              <w:rPr>
                <w:rFonts w:ascii="Georgia" w:hAnsi="Georgia"/>
                <w:color w:val="231F20"/>
                <w:sz w:val="18"/>
                <w:szCs w:val="18"/>
              </w:rPr>
              <w:t>+</w:t>
            </w:r>
            <w:r w:rsidRPr="00E9366A">
              <w:rPr>
                <w:rFonts w:ascii="Georgia" w:hAnsi="Georgia"/>
                <w:color w:val="231F20"/>
                <w:spacing w:val="-1"/>
                <w:sz w:val="18"/>
                <w:szCs w:val="18"/>
              </w:rPr>
              <w:t xml:space="preserve"> </w:t>
            </w:r>
            <w:r w:rsidRPr="00E9366A">
              <w:rPr>
                <w:rFonts w:ascii="Georgia" w:hAnsi="Georgia"/>
                <w:color w:val="231F20"/>
                <w:sz w:val="18"/>
                <w:szCs w:val="18"/>
              </w:rPr>
              <w:t>6</w:t>
            </w:r>
            <w:r>
              <w:rPr>
                <w:rFonts w:ascii="Georgia" w:hAnsi="Georgia"/>
                <w:color w:val="231F20"/>
                <w:sz w:val="18"/>
                <w:szCs w:val="18"/>
              </w:rPr>
              <w:t xml:space="preserve"> (2 rør)</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3</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3"/>
              <w:rPr>
                <w:rFonts w:ascii="Georgia" w:eastAsia="Calibri" w:hAnsi="Georgia" w:cs="Calibri"/>
                <w:sz w:val="18"/>
                <w:szCs w:val="18"/>
              </w:rPr>
            </w:pPr>
            <w:r w:rsidRPr="00E9366A">
              <w:rPr>
                <w:rFonts w:ascii="Georgia" w:hAnsi="Georgia"/>
                <w:color w:val="231F20"/>
                <w:spacing w:val="-1"/>
                <w:sz w:val="18"/>
                <w:szCs w:val="18"/>
              </w:rPr>
              <w:t>H-4401</w:t>
            </w:r>
            <w:r w:rsidRPr="00E9366A">
              <w:rPr>
                <w:rFonts w:ascii="Georgia" w:hAnsi="Georgia"/>
                <w:color w:val="231F20"/>
                <w:spacing w:val="-4"/>
                <w:sz w:val="18"/>
                <w:szCs w:val="18"/>
              </w:rPr>
              <w:t xml:space="preserve"> </w:t>
            </w:r>
            <w:r w:rsidRPr="00E9366A">
              <w:rPr>
                <w:rFonts w:ascii="Georgia" w:hAnsi="Georgia"/>
                <w:color w:val="231F20"/>
                <w:spacing w:val="-1"/>
                <w:sz w:val="18"/>
                <w:szCs w:val="18"/>
              </w:rPr>
              <w:t>(PEMS)</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61,2</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61,2</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hAnsi="Georgia"/>
                <w:color w:val="231F20"/>
                <w:spacing w:val="-1"/>
                <w:sz w:val="18"/>
                <w:szCs w:val="18"/>
              </w:rPr>
            </w:pPr>
            <w:r>
              <w:rPr>
                <w:rFonts w:ascii="Georgia" w:hAnsi="Georgia"/>
                <w:color w:val="231F20"/>
                <w:spacing w:val="-1"/>
                <w:sz w:val="18"/>
                <w:szCs w:val="18"/>
              </w:rPr>
              <w:t>Ja</w:t>
            </w:r>
          </w:p>
        </w:tc>
      </w:tr>
      <w:tr w:rsidR="00FA4839" w:rsidRPr="00E9366A" w:rsidTr="00C75697">
        <w:trPr>
          <w:trHeight w:hRule="exact" w:val="252"/>
        </w:trPr>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1"/>
              <w:rPr>
                <w:rFonts w:ascii="Georgia" w:eastAsia="Calibri" w:hAnsi="Georgia" w:cs="Calibri"/>
                <w:sz w:val="18"/>
                <w:szCs w:val="18"/>
              </w:rPr>
            </w:pPr>
            <w:r w:rsidRPr="00E9366A">
              <w:rPr>
                <w:rFonts w:ascii="Georgia" w:hAnsi="Georgia"/>
                <w:color w:val="231F20"/>
                <w:sz w:val="18"/>
                <w:szCs w:val="18"/>
              </w:rPr>
              <w:t>7</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1"/>
              <w:rPr>
                <w:rFonts w:ascii="Georgia" w:eastAsia="Calibri" w:hAnsi="Georgia" w:cs="Calibri"/>
                <w:sz w:val="18"/>
                <w:szCs w:val="18"/>
              </w:rPr>
            </w:pPr>
            <w:r w:rsidRPr="00E9366A">
              <w:rPr>
                <w:rFonts w:ascii="Georgia" w:hAnsi="Georgia"/>
                <w:color w:val="231F20"/>
                <w:sz w:val="18"/>
                <w:szCs w:val="18"/>
              </w:rPr>
              <w:t>4</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3"/>
              <w:rPr>
                <w:rFonts w:ascii="Georgia" w:eastAsia="Calibri" w:hAnsi="Georgia" w:cs="Calibri"/>
                <w:sz w:val="18"/>
                <w:szCs w:val="18"/>
              </w:rPr>
            </w:pPr>
            <w:r w:rsidRPr="00E9366A">
              <w:rPr>
                <w:rFonts w:ascii="Georgia" w:hAnsi="Georgia"/>
                <w:color w:val="231F20"/>
                <w:spacing w:val="-1"/>
                <w:sz w:val="18"/>
                <w:szCs w:val="18"/>
              </w:rPr>
              <w:t>H-4801</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1"/>
              <w:rPr>
                <w:rFonts w:ascii="Georgia" w:eastAsia="Calibri" w:hAnsi="Georgia" w:cs="Calibri"/>
                <w:sz w:val="18"/>
                <w:szCs w:val="18"/>
              </w:rPr>
            </w:pPr>
            <w:r>
              <w:rPr>
                <w:rFonts w:ascii="Georgia" w:eastAsia="Calibri" w:hAnsi="Georgia" w:cs="Calibri"/>
                <w:sz w:val="18"/>
                <w:szCs w:val="18"/>
              </w:rPr>
              <w:t>9,5</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1"/>
              <w:rPr>
                <w:rFonts w:ascii="Georgia" w:eastAsia="Calibri" w:hAnsi="Georgia" w:cs="Calibri"/>
                <w:sz w:val="18"/>
                <w:szCs w:val="18"/>
              </w:rPr>
            </w:pPr>
            <w:r w:rsidRPr="00E9366A">
              <w:rPr>
                <w:rFonts w:ascii="Georgia" w:hAnsi="Georgia"/>
                <w:color w:val="231F20"/>
                <w:sz w:val="18"/>
                <w:szCs w:val="18"/>
              </w:rPr>
              <w:t>9,5</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0" w:lineRule="exact"/>
              <w:ind w:left="101"/>
              <w:rPr>
                <w:rFonts w:ascii="Georgia" w:hAnsi="Georgia"/>
                <w:color w:val="231F20"/>
                <w:spacing w:val="-1"/>
                <w:sz w:val="18"/>
                <w:szCs w:val="18"/>
              </w:rPr>
            </w:pPr>
            <w:r>
              <w:rPr>
                <w:rFonts w:ascii="Georgia" w:hAnsi="Georgia"/>
                <w:color w:val="231F20"/>
                <w:spacing w:val="-1"/>
                <w:sz w:val="18"/>
                <w:szCs w:val="18"/>
              </w:rPr>
              <w:t>Nej</w:t>
            </w:r>
          </w:p>
        </w:tc>
      </w:tr>
      <w:tr w:rsidR="00FA4839" w:rsidRPr="00E9366A" w:rsidTr="00C75697">
        <w:trPr>
          <w:trHeight w:hRule="exact" w:val="255"/>
        </w:trPr>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8</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4</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3"/>
              <w:rPr>
                <w:rFonts w:ascii="Georgia" w:eastAsia="Calibri" w:hAnsi="Georgia" w:cs="Calibri"/>
                <w:sz w:val="18"/>
                <w:szCs w:val="18"/>
              </w:rPr>
            </w:pPr>
            <w:r w:rsidRPr="00E9366A">
              <w:rPr>
                <w:rFonts w:ascii="Georgia" w:hAnsi="Georgia"/>
                <w:color w:val="231F20"/>
                <w:spacing w:val="-1"/>
                <w:sz w:val="18"/>
                <w:szCs w:val="18"/>
              </w:rPr>
              <w:t>H-4681</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16,5</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16,3</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hAnsi="Georgia"/>
                <w:color w:val="231F20"/>
                <w:spacing w:val="-1"/>
                <w:sz w:val="18"/>
                <w:szCs w:val="18"/>
              </w:rPr>
            </w:pPr>
            <w:r>
              <w:rPr>
                <w:rFonts w:ascii="Georgia" w:hAnsi="Georgia"/>
                <w:color w:val="231F20"/>
                <w:spacing w:val="-1"/>
                <w:sz w:val="18"/>
                <w:szCs w:val="18"/>
              </w:rPr>
              <w:t>Nej</w:t>
            </w:r>
          </w:p>
        </w:tc>
      </w:tr>
      <w:tr w:rsidR="00FA4839" w:rsidRPr="00E9366A" w:rsidTr="00C75697">
        <w:trPr>
          <w:trHeight w:hRule="exact" w:val="255"/>
        </w:trPr>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9</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1</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3"/>
              <w:rPr>
                <w:rFonts w:ascii="Georgia" w:eastAsia="Calibri" w:hAnsi="Georgia" w:cs="Calibri"/>
                <w:sz w:val="18"/>
                <w:szCs w:val="18"/>
              </w:rPr>
            </w:pPr>
            <w:r w:rsidRPr="00E9366A">
              <w:rPr>
                <w:rFonts w:ascii="Georgia" w:hAnsi="Georgia"/>
                <w:color w:val="231F20"/>
                <w:spacing w:val="-1"/>
                <w:sz w:val="18"/>
                <w:szCs w:val="18"/>
              </w:rPr>
              <w:t>H-602</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Pr>
                <w:rFonts w:ascii="Georgia" w:eastAsia="Calibri" w:hAnsi="Georgia" w:cs="Calibri"/>
                <w:sz w:val="18"/>
                <w:szCs w:val="18"/>
              </w:rPr>
              <w:t>18,0</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z w:val="18"/>
                <w:szCs w:val="18"/>
              </w:rPr>
              <w:t>18,0</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eastAsia="Calibri" w:hAnsi="Georgia" w:cs="Calibri"/>
                <w:sz w:val="18"/>
                <w:szCs w:val="18"/>
              </w:rPr>
            </w:pPr>
            <w:r w:rsidRPr="00E9366A">
              <w:rPr>
                <w:rFonts w:ascii="Georgia" w:hAnsi="Georgia"/>
                <w:color w:val="231F20"/>
                <w:spacing w:val="-1"/>
                <w:sz w:val="18"/>
                <w:szCs w:val="18"/>
              </w:rPr>
              <w:t>gas</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3" w:lineRule="exact"/>
              <w:ind w:left="101"/>
              <w:rPr>
                <w:rFonts w:ascii="Georgia" w:hAnsi="Georgia"/>
                <w:color w:val="231F20"/>
                <w:spacing w:val="-1"/>
                <w:sz w:val="18"/>
                <w:szCs w:val="18"/>
              </w:rPr>
            </w:pPr>
            <w:r>
              <w:rPr>
                <w:rFonts w:ascii="Georgia" w:hAnsi="Georgia"/>
                <w:color w:val="231F20"/>
                <w:spacing w:val="-1"/>
                <w:sz w:val="18"/>
                <w:szCs w:val="18"/>
              </w:rPr>
              <w:t>Nej</w:t>
            </w:r>
          </w:p>
        </w:tc>
      </w:tr>
      <w:tr w:rsidR="00FA4839" w:rsidRPr="00E9366A" w:rsidTr="00C75697">
        <w:trPr>
          <w:trHeight w:hRule="exact" w:val="253"/>
        </w:trPr>
        <w:tc>
          <w:tcPr>
            <w:tcW w:w="70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1"/>
              <w:rPr>
                <w:rFonts w:ascii="Georgia" w:eastAsia="Calibri" w:hAnsi="Georgia" w:cs="Calibri"/>
                <w:sz w:val="18"/>
                <w:szCs w:val="18"/>
              </w:rPr>
            </w:pPr>
            <w:r w:rsidRPr="00E9366A">
              <w:rPr>
                <w:rFonts w:ascii="Georgia" w:hAnsi="Georgia"/>
                <w:color w:val="231F20"/>
                <w:sz w:val="18"/>
                <w:szCs w:val="18"/>
              </w:rPr>
              <w:lastRenderedPageBreak/>
              <w:t>10</w:t>
            </w:r>
          </w:p>
        </w:tc>
        <w:tc>
          <w:tcPr>
            <w:tcW w:w="85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1"/>
              <w:rPr>
                <w:rFonts w:ascii="Georgia" w:eastAsia="Calibri" w:hAnsi="Georgia" w:cs="Calibri"/>
                <w:sz w:val="18"/>
                <w:szCs w:val="18"/>
              </w:rPr>
            </w:pPr>
            <w:r w:rsidRPr="00E9366A">
              <w:rPr>
                <w:rFonts w:ascii="Georgia" w:hAnsi="Georgia"/>
                <w:color w:val="231F20"/>
                <w:sz w:val="18"/>
                <w:szCs w:val="18"/>
              </w:rPr>
              <w:t>2</w:t>
            </w:r>
          </w:p>
        </w:tc>
        <w:tc>
          <w:tcPr>
            <w:tcW w:w="1701"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3"/>
              <w:rPr>
                <w:rFonts w:ascii="Georgia" w:eastAsia="Calibri" w:hAnsi="Georgia" w:cs="Calibri"/>
                <w:sz w:val="18"/>
                <w:szCs w:val="18"/>
              </w:rPr>
            </w:pPr>
            <w:r w:rsidRPr="00E9366A">
              <w:rPr>
                <w:rFonts w:ascii="Georgia" w:hAnsi="Georgia"/>
                <w:color w:val="231F20"/>
                <w:spacing w:val="-1"/>
                <w:sz w:val="18"/>
                <w:szCs w:val="18"/>
              </w:rPr>
              <w:t>H-1281</w:t>
            </w:r>
          </w:p>
        </w:tc>
        <w:tc>
          <w:tcPr>
            <w:tcW w:w="1559"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1"/>
              <w:rPr>
                <w:rFonts w:ascii="Georgia" w:eastAsia="Calibri" w:hAnsi="Georgia" w:cs="Calibri"/>
                <w:sz w:val="18"/>
                <w:szCs w:val="18"/>
              </w:rPr>
            </w:pPr>
            <w:r>
              <w:rPr>
                <w:rFonts w:ascii="Georgia" w:eastAsia="Calibri" w:hAnsi="Georgia" w:cs="Calibri"/>
                <w:sz w:val="18"/>
                <w:szCs w:val="18"/>
              </w:rPr>
              <w:t>4,0</w:t>
            </w:r>
          </w:p>
        </w:tc>
        <w:tc>
          <w:tcPr>
            <w:tcW w:w="1855"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1"/>
              <w:rPr>
                <w:rFonts w:ascii="Georgia" w:eastAsia="Calibri" w:hAnsi="Georgia" w:cs="Calibri"/>
                <w:sz w:val="18"/>
                <w:szCs w:val="18"/>
              </w:rPr>
            </w:pPr>
            <w:r w:rsidRPr="00E9366A">
              <w:rPr>
                <w:rFonts w:ascii="Georgia" w:hAnsi="Georgia"/>
                <w:color w:val="231F20"/>
                <w:sz w:val="18"/>
                <w:szCs w:val="18"/>
              </w:rPr>
              <w:t>4,0</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1"/>
              <w:rPr>
                <w:rFonts w:ascii="Georgia" w:eastAsia="Calibri" w:hAnsi="Georgia" w:cs="Calibri"/>
                <w:sz w:val="18"/>
                <w:szCs w:val="18"/>
              </w:rPr>
            </w:pPr>
            <w:r w:rsidRPr="00E9366A">
              <w:rPr>
                <w:rFonts w:ascii="Georgia" w:hAnsi="Georgia"/>
                <w:color w:val="231F20"/>
                <w:spacing w:val="-1"/>
                <w:sz w:val="18"/>
                <w:szCs w:val="18"/>
              </w:rPr>
              <w:t>gas/svovlbrinte</w:t>
            </w:r>
          </w:p>
        </w:tc>
        <w:tc>
          <w:tcPr>
            <w:tcW w:w="1418" w:type="dxa"/>
            <w:tcBorders>
              <w:top w:val="single" w:sz="5" w:space="0" w:color="231F20"/>
              <w:left w:val="single" w:sz="5" w:space="0" w:color="231F20"/>
              <w:bottom w:val="single" w:sz="5" w:space="0" w:color="231F20"/>
              <w:right w:val="single" w:sz="5" w:space="0" w:color="231F20"/>
            </w:tcBorders>
          </w:tcPr>
          <w:p w:rsidR="00FA4839" w:rsidRPr="00E9366A" w:rsidRDefault="00FA4839" w:rsidP="00C75697">
            <w:pPr>
              <w:pStyle w:val="TableParagraph"/>
              <w:spacing w:line="241" w:lineRule="exact"/>
              <w:ind w:left="101"/>
              <w:rPr>
                <w:rFonts w:ascii="Georgia" w:hAnsi="Georgia"/>
                <w:color w:val="231F20"/>
                <w:spacing w:val="-1"/>
                <w:sz w:val="18"/>
                <w:szCs w:val="18"/>
              </w:rPr>
            </w:pPr>
            <w:r>
              <w:rPr>
                <w:rFonts w:ascii="Georgia" w:hAnsi="Georgia"/>
                <w:color w:val="231F20"/>
                <w:spacing w:val="-1"/>
                <w:sz w:val="18"/>
                <w:szCs w:val="18"/>
              </w:rPr>
              <w:t>Nej</w:t>
            </w:r>
          </w:p>
        </w:tc>
      </w:tr>
    </w:tbl>
    <w:p w:rsidR="00FA4839" w:rsidRPr="00E9366A" w:rsidRDefault="00FA4839" w:rsidP="00FA4839">
      <w:pPr>
        <w:pStyle w:val="Brdtekst"/>
        <w:spacing w:line="242" w:lineRule="exact"/>
        <w:ind w:left="219"/>
        <w:rPr>
          <w:rFonts w:ascii="Georgia" w:hAnsi="Georgia"/>
          <w:sz w:val="18"/>
          <w:szCs w:val="18"/>
          <w:lang w:val="da-DK"/>
        </w:rPr>
      </w:pPr>
      <w:r w:rsidRPr="00E9366A">
        <w:rPr>
          <w:rFonts w:ascii="Georgia" w:hAnsi="Georgia"/>
          <w:color w:val="231F20"/>
          <w:spacing w:val="-1"/>
          <w:sz w:val="18"/>
          <w:szCs w:val="18"/>
          <w:lang w:val="da-DK"/>
        </w:rPr>
        <w:t>*Afkast</w:t>
      </w:r>
      <w:r w:rsidRPr="00E9366A">
        <w:rPr>
          <w:rFonts w:ascii="Georgia" w:hAnsi="Georgia"/>
          <w:color w:val="231F20"/>
          <w:spacing w:val="-3"/>
          <w:sz w:val="18"/>
          <w:szCs w:val="18"/>
          <w:lang w:val="da-DK"/>
        </w:rPr>
        <w:t xml:space="preserve"> </w:t>
      </w:r>
      <w:r w:rsidRPr="00E9366A">
        <w:rPr>
          <w:rFonts w:ascii="Georgia" w:hAnsi="Georgia"/>
          <w:color w:val="231F20"/>
          <w:spacing w:val="-1"/>
          <w:sz w:val="18"/>
          <w:szCs w:val="18"/>
          <w:lang w:val="da-DK"/>
        </w:rPr>
        <w:t>nr.</w:t>
      </w:r>
      <w:r w:rsidRPr="00E9366A">
        <w:rPr>
          <w:rFonts w:ascii="Georgia" w:hAnsi="Georgia"/>
          <w:color w:val="231F20"/>
          <w:spacing w:val="-2"/>
          <w:sz w:val="18"/>
          <w:szCs w:val="18"/>
          <w:lang w:val="da-DK"/>
        </w:rPr>
        <w:t xml:space="preserve"> </w:t>
      </w:r>
      <w:r w:rsidRPr="00E9366A">
        <w:rPr>
          <w:rFonts w:ascii="Georgia" w:hAnsi="Georgia"/>
          <w:color w:val="231F20"/>
          <w:sz w:val="18"/>
          <w:szCs w:val="18"/>
          <w:lang w:val="da-DK"/>
        </w:rPr>
        <w:t>1</w:t>
      </w:r>
      <w:r w:rsidRPr="00E9366A">
        <w:rPr>
          <w:rFonts w:ascii="Georgia" w:hAnsi="Georgia"/>
          <w:color w:val="231F20"/>
          <w:spacing w:val="-1"/>
          <w:sz w:val="18"/>
          <w:szCs w:val="18"/>
          <w:lang w:val="da-DK"/>
        </w:rPr>
        <w:t xml:space="preserve"> </w:t>
      </w:r>
      <w:r w:rsidRPr="00E9366A">
        <w:rPr>
          <w:rFonts w:ascii="Georgia" w:hAnsi="Georgia"/>
          <w:color w:val="231F20"/>
          <w:sz w:val="18"/>
          <w:szCs w:val="18"/>
          <w:lang w:val="da-DK"/>
        </w:rPr>
        <w:t>er</w:t>
      </w:r>
      <w:r w:rsidRPr="00E9366A">
        <w:rPr>
          <w:rFonts w:ascii="Georgia" w:hAnsi="Georgia"/>
          <w:color w:val="231F20"/>
          <w:spacing w:val="-2"/>
          <w:sz w:val="18"/>
          <w:szCs w:val="18"/>
          <w:lang w:val="da-DK"/>
        </w:rPr>
        <w:t xml:space="preserve"> </w:t>
      </w:r>
      <w:r w:rsidRPr="00E9366A">
        <w:rPr>
          <w:rFonts w:ascii="Georgia" w:hAnsi="Georgia"/>
          <w:color w:val="231F20"/>
          <w:spacing w:val="-1"/>
          <w:sz w:val="18"/>
          <w:szCs w:val="18"/>
          <w:lang w:val="da-DK"/>
        </w:rPr>
        <w:t>ikke</w:t>
      </w:r>
      <w:r w:rsidRPr="00E9366A">
        <w:rPr>
          <w:rFonts w:ascii="Georgia" w:hAnsi="Georgia"/>
          <w:color w:val="231F20"/>
          <w:spacing w:val="-2"/>
          <w:sz w:val="18"/>
          <w:szCs w:val="18"/>
          <w:lang w:val="da-DK"/>
        </w:rPr>
        <w:t xml:space="preserve"> </w:t>
      </w:r>
      <w:r w:rsidRPr="00E9366A">
        <w:rPr>
          <w:rFonts w:ascii="Georgia" w:hAnsi="Georgia"/>
          <w:color w:val="231F20"/>
          <w:spacing w:val="-1"/>
          <w:sz w:val="18"/>
          <w:szCs w:val="18"/>
          <w:lang w:val="da-DK"/>
        </w:rPr>
        <w:t>længere</w:t>
      </w:r>
      <w:r w:rsidRPr="00E9366A">
        <w:rPr>
          <w:rFonts w:ascii="Georgia" w:hAnsi="Georgia"/>
          <w:color w:val="231F20"/>
          <w:spacing w:val="-2"/>
          <w:sz w:val="18"/>
          <w:szCs w:val="18"/>
          <w:lang w:val="da-DK"/>
        </w:rPr>
        <w:t xml:space="preserve"> </w:t>
      </w:r>
      <w:r w:rsidRPr="00E9366A">
        <w:rPr>
          <w:rFonts w:ascii="Georgia" w:hAnsi="Georgia"/>
          <w:color w:val="231F20"/>
          <w:sz w:val="18"/>
          <w:szCs w:val="18"/>
          <w:lang w:val="da-DK"/>
        </w:rPr>
        <w:t>i</w:t>
      </w:r>
      <w:r w:rsidRPr="00E9366A">
        <w:rPr>
          <w:rFonts w:ascii="Georgia" w:hAnsi="Georgia"/>
          <w:color w:val="231F20"/>
          <w:spacing w:val="-2"/>
          <w:sz w:val="18"/>
          <w:szCs w:val="18"/>
          <w:lang w:val="da-DK"/>
        </w:rPr>
        <w:t xml:space="preserve"> </w:t>
      </w:r>
      <w:r w:rsidRPr="00E9366A">
        <w:rPr>
          <w:rFonts w:ascii="Georgia" w:hAnsi="Georgia"/>
          <w:color w:val="231F20"/>
          <w:spacing w:val="-1"/>
          <w:sz w:val="18"/>
          <w:szCs w:val="18"/>
          <w:lang w:val="da-DK"/>
        </w:rPr>
        <w:t>brug efter</w:t>
      </w:r>
      <w:r w:rsidRPr="00E9366A">
        <w:rPr>
          <w:rFonts w:ascii="Georgia" w:hAnsi="Georgia"/>
          <w:color w:val="231F20"/>
          <w:spacing w:val="-2"/>
          <w:sz w:val="18"/>
          <w:szCs w:val="18"/>
          <w:lang w:val="da-DK"/>
        </w:rPr>
        <w:t xml:space="preserve"> </w:t>
      </w:r>
      <w:r w:rsidRPr="00E9366A">
        <w:rPr>
          <w:rFonts w:ascii="Georgia" w:hAnsi="Georgia"/>
          <w:color w:val="231F20"/>
          <w:spacing w:val="-1"/>
          <w:sz w:val="18"/>
          <w:szCs w:val="18"/>
          <w:lang w:val="da-DK"/>
        </w:rPr>
        <w:t>at</w:t>
      </w:r>
      <w:r w:rsidRPr="00E9366A">
        <w:rPr>
          <w:rFonts w:ascii="Georgia" w:hAnsi="Georgia"/>
          <w:color w:val="231F20"/>
          <w:spacing w:val="-2"/>
          <w:sz w:val="18"/>
          <w:szCs w:val="18"/>
          <w:lang w:val="da-DK"/>
        </w:rPr>
        <w:t xml:space="preserve"> </w:t>
      </w:r>
      <w:r w:rsidRPr="00E9366A">
        <w:rPr>
          <w:rFonts w:ascii="Georgia" w:hAnsi="Georgia"/>
          <w:color w:val="231F20"/>
          <w:spacing w:val="-1"/>
          <w:sz w:val="18"/>
          <w:szCs w:val="18"/>
          <w:lang w:val="da-DK"/>
        </w:rPr>
        <w:t>dampcentralen</w:t>
      </w:r>
      <w:r w:rsidRPr="00E9366A">
        <w:rPr>
          <w:rFonts w:ascii="Georgia" w:hAnsi="Georgia"/>
          <w:color w:val="231F20"/>
          <w:spacing w:val="-2"/>
          <w:sz w:val="18"/>
          <w:szCs w:val="18"/>
          <w:lang w:val="da-DK"/>
        </w:rPr>
        <w:t xml:space="preserve"> </w:t>
      </w:r>
      <w:r w:rsidRPr="00E9366A">
        <w:rPr>
          <w:rFonts w:ascii="Georgia" w:hAnsi="Georgia"/>
          <w:color w:val="231F20"/>
          <w:sz w:val="18"/>
          <w:szCs w:val="18"/>
          <w:lang w:val="da-DK"/>
        </w:rPr>
        <w:t>er</w:t>
      </w:r>
      <w:r w:rsidRPr="00E9366A">
        <w:rPr>
          <w:rFonts w:ascii="Georgia" w:hAnsi="Georgia"/>
          <w:color w:val="231F20"/>
          <w:spacing w:val="-2"/>
          <w:sz w:val="18"/>
          <w:szCs w:val="18"/>
          <w:lang w:val="da-DK"/>
        </w:rPr>
        <w:t xml:space="preserve"> </w:t>
      </w:r>
      <w:r w:rsidRPr="00E9366A">
        <w:rPr>
          <w:rFonts w:ascii="Georgia" w:hAnsi="Georgia"/>
          <w:color w:val="231F20"/>
          <w:spacing w:val="-1"/>
          <w:sz w:val="18"/>
          <w:szCs w:val="18"/>
          <w:lang w:val="da-DK"/>
        </w:rPr>
        <w:t>nedlagt.</w:t>
      </w:r>
    </w:p>
    <w:p w:rsidR="00FA4839" w:rsidRDefault="00FA4839" w:rsidP="00FA4839">
      <w:pPr>
        <w:rPr>
          <w:rFonts w:eastAsia="Calibri" w:cs="Calibri"/>
          <w:sz w:val="18"/>
          <w:szCs w:val="18"/>
        </w:rPr>
      </w:pPr>
    </w:p>
    <w:p w:rsidR="00FA4839" w:rsidRDefault="00FA4839" w:rsidP="00FA4839">
      <w:pPr>
        <w:pStyle w:val="NormalWeb"/>
        <w:spacing w:before="0" w:beforeAutospacing="0" w:after="0" w:afterAutospacing="0"/>
        <w:rPr>
          <w:rFonts w:ascii="Georgia" w:hAnsi="Georgia"/>
          <w:sz w:val="20"/>
          <w:szCs w:val="20"/>
        </w:rPr>
      </w:pPr>
      <w:r w:rsidRPr="00496279">
        <w:rPr>
          <w:rFonts w:ascii="Georgia" w:hAnsi="Georgia"/>
          <w:sz w:val="20"/>
          <w:szCs w:val="20"/>
        </w:rPr>
        <w:t>Fyringsanlæggene er i drift hele året, undta</w:t>
      </w:r>
      <w:r>
        <w:rPr>
          <w:rFonts w:ascii="Georgia" w:hAnsi="Georgia"/>
          <w:sz w:val="20"/>
          <w:szCs w:val="20"/>
        </w:rPr>
        <w:t>gen ved planlagte nedlukninger (ca. hvert 4. eller 5. år).</w:t>
      </w:r>
    </w:p>
    <w:p w:rsidR="00FA4839" w:rsidRPr="00496279" w:rsidRDefault="00FA4839" w:rsidP="00FA4839">
      <w:pPr>
        <w:pStyle w:val="NormalWeb"/>
        <w:spacing w:before="0" w:beforeAutospacing="0" w:after="0" w:afterAutospacing="0"/>
        <w:rPr>
          <w:rFonts w:ascii="Georgia" w:hAnsi="Georgia"/>
          <w:sz w:val="20"/>
          <w:szCs w:val="20"/>
        </w:rPr>
      </w:pPr>
    </w:p>
    <w:p w:rsidR="00FA4839" w:rsidRPr="00496279" w:rsidRDefault="00FA4839" w:rsidP="00FA4839">
      <w:pPr>
        <w:pStyle w:val="NormalWeb"/>
        <w:spacing w:before="0" w:beforeAutospacing="0" w:after="0" w:afterAutospacing="0"/>
        <w:rPr>
          <w:rFonts w:ascii="Georgia" w:hAnsi="Georgia"/>
          <w:sz w:val="20"/>
          <w:szCs w:val="20"/>
        </w:rPr>
      </w:pPr>
      <w:r w:rsidRPr="00496279">
        <w:rPr>
          <w:rFonts w:ascii="Georgia" w:hAnsi="Georgia"/>
          <w:sz w:val="20"/>
          <w:szCs w:val="20"/>
        </w:rPr>
        <w:t xml:space="preserve">Der er ikke røggasrensning på de forskellige afkast. Statoil fjerner H2S fra gassen og bruger iltprocent til at styre forbrændingen. </w:t>
      </w:r>
    </w:p>
    <w:p w:rsidR="00FA4839" w:rsidRPr="00496279" w:rsidRDefault="00FA4839" w:rsidP="00FA4839">
      <w:pPr>
        <w:pStyle w:val="NormalWeb"/>
        <w:spacing w:before="0" w:beforeAutospacing="0" w:after="0" w:afterAutospacing="0"/>
        <w:rPr>
          <w:sz w:val="20"/>
          <w:szCs w:val="20"/>
        </w:rPr>
      </w:pPr>
    </w:p>
    <w:p w:rsidR="00FA4839" w:rsidRDefault="00FA4839" w:rsidP="00FA4839">
      <w:pPr>
        <w:suppressAutoHyphens w:val="0"/>
        <w:autoSpaceDE w:val="0"/>
        <w:autoSpaceDN w:val="0"/>
        <w:adjustRightInd w:val="0"/>
        <w:spacing w:line="240" w:lineRule="auto"/>
        <w:rPr>
          <w:rFonts w:cs="Georgia"/>
          <w:color w:val="000000"/>
          <w:szCs w:val="20"/>
        </w:rPr>
      </w:pPr>
      <w:r w:rsidRPr="00496279">
        <w:rPr>
          <w:rFonts w:cs="Georgia"/>
          <w:color w:val="000000"/>
          <w:szCs w:val="20"/>
        </w:rPr>
        <w:t xml:space="preserve">H-301, H-402, H-801 og H-802 er fire særskilte anlæg, som udgør et samlet fyringsanlæg, </w:t>
      </w:r>
      <w:r w:rsidR="00555EAE">
        <w:rPr>
          <w:rFonts w:cs="Georgia"/>
          <w:color w:val="000000"/>
          <w:szCs w:val="20"/>
        </w:rPr>
        <w:t>da</w:t>
      </w:r>
      <w:r w:rsidRPr="00496279">
        <w:rPr>
          <w:rFonts w:cs="Georgia"/>
          <w:color w:val="000000"/>
          <w:szCs w:val="20"/>
        </w:rPr>
        <w:t xml:space="preserve"> de har én fælles skorsten</w:t>
      </w:r>
      <w:r w:rsidR="00555EAE">
        <w:rPr>
          <w:rFonts w:cs="Georgia"/>
          <w:color w:val="000000"/>
          <w:szCs w:val="20"/>
        </w:rPr>
        <w:t xml:space="preserve"> (afkast 2)</w:t>
      </w:r>
      <w:r w:rsidRPr="00496279">
        <w:rPr>
          <w:rFonts w:cs="Georgia"/>
          <w:color w:val="000000"/>
          <w:szCs w:val="20"/>
        </w:rPr>
        <w:t>. Det</w:t>
      </w:r>
      <w:r>
        <w:rPr>
          <w:rFonts w:cs="Georgia"/>
          <w:color w:val="000000"/>
          <w:szCs w:val="20"/>
        </w:rPr>
        <w:t xml:space="preserve"> samme gør sig gældende for H-201</w:t>
      </w:r>
      <w:r w:rsidR="00555EAE">
        <w:rPr>
          <w:rFonts w:cs="Georgia"/>
          <w:color w:val="000000"/>
          <w:szCs w:val="20"/>
        </w:rPr>
        <w:t>, H-202, H1051, H-1001 og H-601 (afkast 3)</w:t>
      </w:r>
      <w:r>
        <w:rPr>
          <w:rFonts w:cs="Georgia"/>
          <w:color w:val="000000"/>
          <w:szCs w:val="20"/>
        </w:rPr>
        <w:t>. Ved opgørelse af den samlede nominelle indfyrede effekt fra en kombination af fyringsanlæg medregnes ikke fyringsanlæg med en nominel indfyret termisk effekt på under 15 MW</w:t>
      </w:r>
      <w:r>
        <w:rPr>
          <w:rStyle w:val="Fodnotehenvisning"/>
          <w:rFonts w:cs="Georgia"/>
          <w:color w:val="000000"/>
          <w:szCs w:val="20"/>
        </w:rPr>
        <w:footnoteReference w:id="5"/>
      </w:r>
      <w:r>
        <w:rPr>
          <w:rFonts w:cs="Georgia"/>
          <w:color w:val="000000"/>
          <w:szCs w:val="20"/>
        </w:rPr>
        <w:t>, derfor er afkast 2 ikke omfattet af kravene i store fyr bekendtgørelsen</w:t>
      </w:r>
      <w:r>
        <w:rPr>
          <w:rStyle w:val="Fodnotehenvisning"/>
          <w:rFonts w:cs="Georgia"/>
          <w:color w:val="000000"/>
          <w:szCs w:val="20"/>
        </w:rPr>
        <w:footnoteReference w:id="6"/>
      </w:r>
      <w:r>
        <w:rPr>
          <w:rFonts w:cs="Georgia"/>
          <w:color w:val="000000"/>
          <w:szCs w:val="20"/>
        </w:rPr>
        <w:t>.</w:t>
      </w:r>
    </w:p>
    <w:p w:rsidR="00FA4839" w:rsidRDefault="00FA4839" w:rsidP="00FA4839">
      <w:pPr>
        <w:suppressAutoHyphens w:val="0"/>
        <w:autoSpaceDE w:val="0"/>
        <w:autoSpaceDN w:val="0"/>
        <w:adjustRightInd w:val="0"/>
        <w:spacing w:line="240" w:lineRule="auto"/>
        <w:rPr>
          <w:rFonts w:cs="Georgia"/>
          <w:color w:val="000000"/>
          <w:szCs w:val="20"/>
        </w:rPr>
      </w:pPr>
    </w:p>
    <w:p w:rsidR="00FA4839" w:rsidRDefault="00FA4839" w:rsidP="00FA4839">
      <w:pPr>
        <w:suppressAutoHyphens w:val="0"/>
        <w:autoSpaceDE w:val="0"/>
        <w:autoSpaceDN w:val="0"/>
        <w:adjustRightInd w:val="0"/>
        <w:spacing w:line="240" w:lineRule="auto"/>
        <w:rPr>
          <w:rFonts w:cs="Georgia"/>
          <w:color w:val="000000"/>
          <w:szCs w:val="20"/>
        </w:rPr>
      </w:pPr>
      <w:r>
        <w:rPr>
          <w:rFonts w:cs="Georgia"/>
          <w:color w:val="000000"/>
          <w:szCs w:val="20"/>
        </w:rPr>
        <w:t>Ingen af de særskilte fyringsanlæg</w:t>
      </w:r>
      <w:r w:rsidR="00555EAE">
        <w:rPr>
          <w:rFonts w:cs="Georgia"/>
          <w:color w:val="000000"/>
          <w:szCs w:val="20"/>
        </w:rPr>
        <w:t>, der er koblet til afkast 3,</w:t>
      </w:r>
      <w:r>
        <w:rPr>
          <w:rFonts w:cs="Georgia"/>
          <w:color w:val="000000"/>
          <w:szCs w:val="20"/>
        </w:rPr>
        <w:t xml:space="preserve"> har eget røggasrør til toppen af skorstenen. Se illustrationen herunder:</w:t>
      </w:r>
    </w:p>
    <w:p w:rsidR="00FA4839" w:rsidRDefault="00FA4839" w:rsidP="00FA4839">
      <w:pPr>
        <w:suppressAutoHyphens w:val="0"/>
        <w:autoSpaceDE w:val="0"/>
        <w:autoSpaceDN w:val="0"/>
        <w:adjustRightInd w:val="0"/>
        <w:spacing w:line="240" w:lineRule="auto"/>
        <w:rPr>
          <w:rFonts w:cs="Georgia"/>
          <w:color w:val="000000"/>
          <w:szCs w:val="20"/>
        </w:rPr>
      </w:pPr>
    </w:p>
    <w:p w:rsidR="00FA4839" w:rsidRDefault="00FA4839" w:rsidP="00FA4839">
      <w:pPr>
        <w:suppressAutoHyphens w:val="0"/>
        <w:autoSpaceDE w:val="0"/>
        <w:autoSpaceDN w:val="0"/>
        <w:adjustRightInd w:val="0"/>
        <w:spacing w:line="240" w:lineRule="auto"/>
        <w:rPr>
          <w:rFonts w:cs="Georgia"/>
          <w:color w:val="000000"/>
          <w:szCs w:val="20"/>
        </w:rPr>
      </w:pPr>
      <w:r>
        <w:rPr>
          <w:rFonts w:ascii="Arial" w:hAnsi="Arial" w:cs="Arial"/>
          <w:noProof/>
          <w:color w:val="1F497D"/>
          <w:szCs w:val="20"/>
        </w:rPr>
        <w:drawing>
          <wp:inline distT="0" distB="0" distL="0" distR="0" wp14:anchorId="4B7355D3" wp14:editId="22B06256">
            <wp:extent cx="4644390" cy="3051358"/>
            <wp:effectExtent l="0" t="0" r="3810" b="0"/>
            <wp:docPr id="1" name="Billede 1" descr="Description: cid:image001.png@01D0E0C2.AFED3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D0E0C2.AFED34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4390" cy="3051358"/>
                    </a:xfrm>
                    <a:prstGeom prst="rect">
                      <a:avLst/>
                    </a:prstGeom>
                    <a:noFill/>
                    <a:ln>
                      <a:noFill/>
                    </a:ln>
                  </pic:spPr>
                </pic:pic>
              </a:graphicData>
            </a:graphic>
          </wp:inline>
        </w:drawing>
      </w:r>
    </w:p>
    <w:p w:rsidR="00FA4839" w:rsidRPr="00F225F8" w:rsidRDefault="00FA4839" w:rsidP="00FA4839">
      <w:pPr>
        <w:suppressAutoHyphens w:val="0"/>
        <w:autoSpaceDE w:val="0"/>
        <w:autoSpaceDN w:val="0"/>
        <w:adjustRightInd w:val="0"/>
        <w:spacing w:line="240" w:lineRule="auto"/>
        <w:rPr>
          <w:rFonts w:cs="Georgia"/>
          <w:color w:val="000000"/>
          <w:sz w:val="18"/>
          <w:szCs w:val="18"/>
        </w:rPr>
      </w:pPr>
      <w:r w:rsidRPr="00F225F8">
        <w:rPr>
          <w:rFonts w:cs="Georgia"/>
          <w:color w:val="000000"/>
          <w:sz w:val="18"/>
          <w:szCs w:val="18"/>
        </w:rPr>
        <w:t>Tilslutning til skorstenen i blok 1</w:t>
      </w:r>
      <w:r w:rsidR="00555EAE">
        <w:rPr>
          <w:rFonts w:cs="Georgia"/>
          <w:color w:val="000000"/>
          <w:sz w:val="18"/>
          <w:szCs w:val="18"/>
        </w:rPr>
        <w:t xml:space="preserve"> (afkast 3)</w:t>
      </w:r>
      <w:r w:rsidRPr="00F225F8">
        <w:rPr>
          <w:rFonts w:cs="Georgia"/>
          <w:color w:val="000000"/>
          <w:sz w:val="18"/>
          <w:szCs w:val="18"/>
        </w:rPr>
        <w:t>.</w:t>
      </w:r>
    </w:p>
    <w:p w:rsidR="00FA4839" w:rsidRDefault="00FA4839" w:rsidP="00FA4839">
      <w:pPr>
        <w:suppressAutoHyphens w:val="0"/>
        <w:autoSpaceDE w:val="0"/>
        <w:autoSpaceDN w:val="0"/>
        <w:adjustRightInd w:val="0"/>
        <w:spacing w:line="240" w:lineRule="auto"/>
        <w:rPr>
          <w:rFonts w:cs="Georgia"/>
          <w:color w:val="000000"/>
          <w:szCs w:val="20"/>
        </w:rPr>
      </w:pPr>
    </w:p>
    <w:p w:rsidR="00FA4839" w:rsidRPr="006576C7" w:rsidRDefault="00FA4839" w:rsidP="00FA4839">
      <w:pPr>
        <w:suppressAutoHyphens w:val="0"/>
        <w:autoSpaceDE w:val="0"/>
        <w:autoSpaceDN w:val="0"/>
        <w:adjustRightInd w:val="0"/>
        <w:spacing w:line="240" w:lineRule="auto"/>
        <w:rPr>
          <w:rFonts w:cs="Georgia"/>
          <w:color w:val="000000"/>
          <w:szCs w:val="20"/>
        </w:rPr>
      </w:pPr>
    </w:p>
    <w:p w:rsidR="00FA4839" w:rsidRDefault="00FA4839" w:rsidP="00FA4839">
      <w:pPr>
        <w:spacing w:line="240" w:lineRule="auto"/>
        <w:rPr>
          <w:rFonts w:cs="Georgia"/>
          <w:color w:val="000000"/>
          <w:szCs w:val="20"/>
        </w:rPr>
      </w:pPr>
      <w:r w:rsidRPr="006576C7">
        <w:rPr>
          <w:rFonts w:cs="Georgia"/>
          <w:color w:val="000000"/>
          <w:szCs w:val="20"/>
        </w:rPr>
        <w:t xml:space="preserve">De to øvrige anlæg, som er omfattet af bekendtgørelsen om store fyr, nemlig </w:t>
      </w:r>
      <w:r>
        <w:rPr>
          <w:rFonts w:cs="Georgia"/>
          <w:color w:val="000000"/>
          <w:szCs w:val="20"/>
        </w:rPr>
        <w:t xml:space="preserve">H-4201 og H-4401 </w:t>
      </w:r>
      <w:r w:rsidRPr="006576C7">
        <w:rPr>
          <w:rFonts w:cs="Georgia"/>
          <w:color w:val="000000"/>
          <w:szCs w:val="20"/>
        </w:rPr>
        <w:t xml:space="preserve">har hver sin skorsten og udgør derfor hver for sig et </w:t>
      </w:r>
      <w:r w:rsidR="00555EAE">
        <w:rPr>
          <w:rFonts w:cs="Georgia"/>
          <w:color w:val="000000"/>
          <w:szCs w:val="20"/>
        </w:rPr>
        <w:t>særskilt</w:t>
      </w:r>
      <w:r w:rsidRPr="006576C7">
        <w:rPr>
          <w:rFonts w:cs="Georgia"/>
          <w:color w:val="000000"/>
          <w:szCs w:val="20"/>
        </w:rPr>
        <w:t xml:space="preserve"> fyringsanlæg.</w:t>
      </w:r>
    </w:p>
    <w:p w:rsidR="00FA4839" w:rsidRPr="009A29D0" w:rsidRDefault="00FA4839" w:rsidP="00FE4CE5">
      <w:pPr>
        <w:pStyle w:val="Brdtekst"/>
        <w:ind w:left="0" w:right="84"/>
        <w:rPr>
          <w:rFonts w:cs="Georgia"/>
          <w:color w:val="000000"/>
          <w:lang w:val="da-DK"/>
        </w:rPr>
      </w:pPr>
    </w:p>
    <w:p w:rsidR="005464D1" w:rsidRPr="005464D1" w:rsidRDefault="005464D1" w:rsidP="00246437">
      <w:pPr>
        <w:suppressAutoHyphens w:val="0"/>
        <w:autoSpaceDE w:val="0"/>
        <w:autoSpaceDN w:val="0"/>
        <w:adjustRightInd w:val="0"/>
        <w:spacing w:line="240" w:lineRule="auto"/>
        <w:rPr>
          <w:rFonts w:cs="Georgia"/>
          <w:color w:val="000000"/>
          <w:szCs w:val="20"/>
        </w:rPr>
      </w:pPr>
    </w:p>
    <w:p w:rsidR="00CA7D10" w:rsidRPr="00C35CB2" w:rsidRDefault="00CA7D10" w:rsidP="00CA7D10">
      <w:pPr>
        <w:rPr>
          <w:iCs/>
          <w:sz w:val="24"/>
        </w:rPr>
      </w:pPr>
      <w:r w:rsidRPr="00C35CB2">
        <w:rPr>
          <w:b/>
          <w:iCs/>
          <w:sz w:val="24"/>
        </w:rPr>
        <w:t>Virksomhedens bemærkninger til varsel om påbud</w:t>
      </w:r>
    </w:p>
    <w:p w:rsidR="00CA7D10" w:rsidRDefault="00CA7D10" w:rsidP="00CA7D10">
      <w:pPr>
        <w:rPr>
          <w:iCs/>
          <w:szCs w:val="20"/>
        </w:rPr>
      </w:pPr>
      <w:r w:rsidRPr="00953E81">
        <w:rPr>
          <w:iCs/>
          <w:szCs w:val="20"/>
        </w:rPr>
        <w:t xml:space="preserve">Miljøstyrelsen varslede den </w:t>
      </w:r>
      <w:r w:rsidR="004A7D95">
        <w:rPr>
          <w:iCs/>
          <w:szCs w:val="20"/>
        </w:rPr>
        <w:t>8. september 2015</w:t>
      </w:r>
      <w:r w:rsidR="006C515B">
        <w:rPr>
          <w:iCs/>
          <w:szCs w:val="20"/>
        </w:rPr>
        <w:t xml:space="preserve"> (vedlagt)</w:t>
      </w:r>
      <w:r w:rsidR="00593069">
        <w:rPr>
          <w:iCs/>
          <w:szCs w:val="20"/>
        </w:rPr>
        <w:t xml:space="preserve"> påbud vedr. emissionsgrænseværdier til luft og for egenkontrol</w:t>
      </w:r>
      <w:r w:rsidRPr="00953E81">
        <w:rPr>
          <w:iCs/>
          <w:szCs w:val="20"/>
        </w:rPr>
        <w:t>.</w:t>
      </w:r>
      <w:r w:rsidR="00593069">
        <w:rPr>
          <w:iCs/>
          <w:szCs w:val="20"/>
        </w:rPr>
        <w:t xml:space="preserve"> </w:t>
      </w:r>
      <w:r w:rsidR="006C515B">
        <w:rPr>
          <w:iCs/>
          <w:szCs w:val="20"/>
        </w:rPr>
        <w:t>Statoil meldte tilbage på dette påbud den 6. oktober 2015 (vedlagt). Miljøstyrelsen sendte den 30. oktober 2015 tilbagemelding (vedlagt) på Statoils bemærkninger samt</w:t>
      </w:r>
      <w:r w:rsidR="00845435">
        <w:rPr>
          <w:iCs/>
          <w:szCs w:val="20"/>
        </w:rPr>
        <w:t xml:space="preserve"> varsel om</w:t>
      </w:r>
      <w:r w:rsidR="006C515B">
        <w:rPr>
          <w:iCs/>
          <w:szCs w:val="20"/>
        </w:rPr>
        <w:t xml:space="preserve"> et revideret </w:t>
      </w:r>
      <w:r w:rsidR="00845435">
        <w:rPr>
          <w:iCs/>
          <w:szCs w:val="20"/>
        </w:rPr>
        <w:t xml:space="preserve">påbud (vedlagt). Statoil meldte tilbage på det reviderede påbud den 20. november </w:t>
      </w:r>
      <w:r w:rsidR="00845435">
        <w:rPr>
          <w:iCs/>
          <w:szCs w:val="20"/>
        </w:rPr>
        <w:lastRenderedPageBreak/>
        <w:t>2015 (vedlagt). Miljøstyrelsen sendte den 20. december 2015 tilbagemelding (vedlagt) på de nye bemærkninger fra Statoil samt varsel om nyt revideret påbud (vedlagt). Statoil meldte tilbage på det 2. reviderede udkast til påbu</w:t>
      </w:r>
      <w:r w:rsidR="00AF41BA">
        <w:rPr>
          <w:iCs/>
          <w:szCs w:val="20"/>
        </w:rPr>
        <w:t>d den 24. januar 2016 (vedlagt), som MST har kommenteret på herunder.</w:t>
      </w:r>
    </w:p>
    <w:p w:rsidR="0056112A" w:rsidRDefault="0056112A" w:rsidP="00CA7D10">
      <w:pPr>
        <w:rPr>
          <w:iCs/>
          <w:szCs w:val="20"/>
        </w:rPr>
      </w:pPr>
    </w:p>
    <w:p w:rsidR="00CA7D10" w:rsidRPr="00953E81" w:rsidRDefault="0056112A" w:rsidP="00CA7D10">
      <w:pPr>
        <w:rPr>
          <w:iCs/>
          <w:szCs w:val="20"/>
        </w:rPr>
      </w:pPr>
      <w:r>
        <w:rPr>
          <w:iCs/>
          <w:szCs w:val="20"/>
        </w:rPr>
        <w:t>Statoil havde f</w:t>
      </w:r>
      <w:r w:rsidR="00CA7D10" w:rsidRPr="00953E81">
        <w:rPr>
          <w:iCs/>
          <w:szCs w:val="20"/>
        </w:rPr>
        <w:t xml:space="preserve">ølgende bemærkninger </w:t>
      </w:r>
      <w:r>
        <w:rPr>
          <w:iCs/>
          <w:szCs w:val="20"/>
        </w:rPr>
        <w:t>til det 2. reviderede udkast til påbud</w:t>
      </w:r>
      <w:r w:rsidR="00CA7D10" w:rsidRPr="00953E81">
        <w:rPr>
          <w:iCs/>
          <w:szCs w:val="20"/>
        </w:rPr>
        <w:t>:</w:t>
      </w:r>
    </w:p>
    <w:p w:rsidR="00387E45" w:rsidRDefault="0056112A" w:rsidP="00387E45">
      <w:pPr>
        <w:rPr>
          <w:iCs/>
          <w:szCs w:val="20"/>
        </w:rPr>
      </w:pPr>
      <w:r>
        <w:rPr>
          <w:iCs/>
          <w:szCs w:val="20"/>
        </w:rPr>
        <w:t>Vilkår 1:</w:t>
      </w:r>
    </w:p>
    <w:p w:rsidR="0056112A" w:rsidRDefault="0056112A" w:rsidP="00387E45">
      <w:pPr>
        <w:rPr>
          <w:iCs/>
          <w:szCs w:val="20"/>
        </w:rPr>
      </w:pPr>
      <w:r>
        <w:rPr>
          <w:iCs/>
          <w:szCs w:val="20"/>
        </w:rPr>
        <w:t xml:space="preserve">Statoil vil undersøge, om det er muligt at få etableret målehuller i afkast 3 ved den kommende nedlukning i april/maj måned. Såfremt dette er muligt, kan budgettering, projekteringsarbejde, indkøb og etablering af AMS på afkast 3 forventes gennemført ultimo 2017 / primo 2018. Prisen estimeres til ca. 5 mio. kr. </w:t>
      </w:r>
      <w:r w:rsidR="001A7ED5">
        <w:rPr>
          <w:iCs/>
          <w:szCs w:val="20"/>
        </w:rPr>
        <w:t>til etablering og 150.000 kr./år til vedligeholdelse.</w:t>
      </w:r>
    </w:p>
    <w:p w:rsidR="001A7ED5" w:rsidRDefault="001A7ED5" w:rsidP="00387E45">
      <w:pPr>
        <w:rPr>
          <w:iCs/>
          <w:szCs w:val="20"/>
        </w:rPr>
      </w:pPr>
    </w:p>
    <w:p w:rsidR="001A7ED5" w:rsidRDefault="001A7ED5" w:rsidP="00387E45">
      <w:pPr>
        <w:rPr>
          <w:iCs/>
          <w:szCs w:val="20"/>
        </w:rPr>
      </w:pPr>
      <w:r>
        <w:rPr>
          <w:iCs/>
          <w:szCs w:val="20"/>
        </w:rPr>
        <w:t>Miljøstyrelsen tager dette til efterretning.</w:t>
      </w:r>
    </w:p>
    <w:p w:rsidR="001A7ED5" w:rsidRDefault="001A7ED5" w:rsidP="00387E45">
      <w:pPr>
        <w:rPr>
          <w:iCs/>
          <w:szCs w:val="20"/>
        </w:rPr>
      </w:pPr>
    </w:p>
    <w:p w:rsidR="001A7ED5" w:rsidRDefault="001A7ED5" w:rsidP="00387E45">
      <w:pPr>
        <w:rPr>
          <w:iCs/>
          <w:szCs w:val="20"/>
        </w:rPr>
      </w:pPr>
      <w:r>
        <w:rPr>
          <w:iCs/>
          <w:szCs w:val="20"/>
        </w:rPr>
        <w:t>Vilkår 10:</w:t>
      </w:r>
    </w:p>
    <w:p w:rsidR="001A7ED5" w:rsidRDefault="001A7ED5" w:rsidP="00387E45">
      <w:pPr>
        <w:rPr>
          <w:iCs/>
          <w:szCs w:val="20"/>
        </w:rPr>
      </w:pPr>
      <w:r>
        <w:rPr>
          <w:iCs/>
          <w:szCs w:val="20"/>
        </w:rPr>
        <w:t>Statoil anmoder om, at raffinaderiets samlede udledning af SO</w:t>
      </w:r>
      <w:r>
        <w:rPr>
          <w:iCs/>
          <w:szCs w:val="20"/>
          <w:vertAlign w:val="subscript"/>
        </w:rPr>
        <w:t>2</w:t>
      </w:r>
      <w:r>
        <w:rPr>
          <w:iCs/>
          <w:szCs w:val="20"/>
        </w:rPr>
        <w:t xml:space="preserve"> kan betragtes efter BAT-relaterede emissionsniveauer</w:t>
      </w:r>
      <w:r w:rsidR="0024302D">
        <w:rPr>
          <w:iCs/>
          <w:szCs w:val="20"/>
        </w:rPr>
        <w:t xml:space="preserve"> og ved anvendelse af BAT 58. Dette påbud vedrører udelukkende implementering af store fyr bekendtgørelsen på Statoil. Miljøstyrelsen er i gang med at revurdere Statoils samlede miljøgodkendelse med henblik på at implementere de BAT-konklusioner, der blev vedtaget i oktober 2014. Miljøstyrelsen vil i den forbindelse selvfølgelig også se på BAT 58.</w:t>
      </w:r>
    </w:p>
    <w:p w:rsidR="0024302D" w:rsidRDefault="0024302D" w:rsidP="00387E45">
      <w:pPr>
        <w:rPr>
          <w:iCs/>
          <w:szCs w:val="20"/>
        </w:rPr>
      </w:pPr>
    </w:p>
    <w:p w:rsidR="0024302D" w:rsidRDefault="0024302D" w:rsidP="00387E45">
      <w:pPr>
        <w:rPr>
          <w:iCs/>
          <w:szCs w:val="20"/>
        </w:rPr>
      </w:pPr>
      <w:r>
        <w:rPr>
          <w:iCs/>
          <w:szCs w:val="20"/>
        </w:rPr>
        <w:t>Vilkår 15:</w:t>
      </w:r>
    </w:p>
    <w:p w:rsidR="0024302D" w:rsidRDefault="00566820" w:rsidP="00387E45">
      <w:pPr>
        <w:rPr>
          <w:rFonts w:cs="Arial"/>
          <w:bCs/>
          <w:szCs w:val="20"/>
        </w:rPr>
      </w:pPr>
      <w:r>
        <w:rPr>
          <w:rFonts w:cs="Arial"/>
          <w:bCs/>
          <w:szCs w:val="20"/>
        </w:rPr>
        <w:t>Statoil anmoder om, at Miljøstyrelsen vil vælge at se bort fra støvmåling, da raffinaderier i modsætning til kraftværker har en minimal støvemission.</w:t>
      </w:r>
    </w:p>
    <w:p w:rsidR="00566820" w:rsidRDefault="00566820" w:rsidP="00387E45">
      <w:pPr>
        <w:rPr>
          <w:rFonts w:cs="Arial"/>
          <w:bCs/>
          <w:szCs w:val="20"/>
        </w:rPr>
      </w:pPr>
    </w:p>
    <w:p w:rsidR="00566820" w:rsidRDefault="00566820" w:rsidP="00387E45">
      <w:pPr>
        <w:rPr>
          <w:rFonts w:cs="Arial"/>
          <w:bCs/>
          <w:szCs w:val="20"/>
        </w:rPr>
      </w:pPr>
      <w:r>
        <w:rPr>
          <w:rFonts w:cs="Arial"/>
          <w:bCs/>
          <w:szCs w:val="20"/>
        </w:rPr>
        <w:t>Angående kontrolmåling af SO</w:t>
      </w:r>
      <w:r>
        <w:rPr>
          <w:rFonts w:cs="Arial"/>
          <w:bCs/>
          <w:szCs w:val="20"/>
          <w:vertAlign w:val="subscript"/>
        </w:rPr>
        <w:t>2</w:t>
      </w:r>
      <w:r>
        <w:rPr>
          <w:rFonts w:cs="Arial"/>
          <w:bCs/>
          <w:szCs w:val="20"/>
        </w:rPr>
        <w:t xml:space="preserve"> foreslår Statoil, at Statoils egen SO</w:t>
      </w:r>
      <w:r>
        <w:rPr>
          <w:rFonts w:cs="Arial"/>
          <w:bCs/>
          <w:szCs w:val="20"/>
          <w:vertAlign w:val="subscript"/>
        </w:rPr>
        <w:t>2</w:t>
      </w:r>
      <w:r>
        <w:rPr>
          <w:rFonts w:cs="Arial"/>
          <w:bCs/>
          <w:szCs w:val="20"/>
        </w:rPr>
        <w:t>-model kan bruges.</w:t>
      </w:r>
    </w:p>
    <w:p w:rsidR="00566820" w:rsidRDefault="00566820" w:rsidP="00387E45">
      <w:pPr>
        <w:rPr>
          <w:rFonts w:cs="Arial"/>
          <w:bCs/>
          <w:szCs w:val="20"/>
        </w:rPr>
      </w:pPr>
    </w:p>
    <w:p w:rsidR="00566820" w:rsidRDefault="00566820" w:rsidP="00387E45">
      <w:pPr>
        <w:rPr>
          <w:rFonts w:cs="Arial"/>
          <w:bCs/>
          <w:szCs w:val="20"/>
        </w:rPr>
      </w:pPr>
      <w:r>
        <w:rPr>
          <w:rFonts w:cs="Arial"/>
          <w:bCs/>
          <w:szCs w:val="20"/>
        </w:rPr>
        <w:t xml:space="preserve">Miljøstyrelsen har ikke mulighed for at fravige store fyr bekendtgørelsens krav om støvmåling, da den ikke indeholder nogen dispensationsmulighed. </w:t>
      </w:r>
    </w:p>
    <w:p w:rsidR="00566820" w:rsidRDefault="00566820" w:rsidP="00387E45">
      <w:pPr>
        <w:rPr>
          <w:rFonts w:cs="Arial"/>
          <w:bCs/>
          <w:szCs w:val="20"/>
        </w:rPr>
      </w:pPr>
    </w:p>
    <w:p w:rsidR="00C63CC4" w:rsidRDefault="00C63CC4" w:rsidP="00566820">
      <w:pPr>
        <w:suppressAutoHyphens w:val="0"/>
        <w:autoSpaceDE w:val="0"/>
        <w:autoSpaceDN w:val="0"/>
        <w:adjustRightInd w:val="0"/>
        <w:spacing w:line="240" w:lineRule="auto"/>
        <w:rPr>
          <w:rFonts w:cs="Arial"/>
          <w:bCs/>
          <w:szCs w:val="20"/>
        </w:rPr>
      </w:pPr>
      <w:r>
        <w:rPr>
          <w:rFonts w:cs="Arial"/>
          <w:bCs/>
          <w:szCs w:val="20"/>
        </w:rPr>
        <w:t>Mht. kontrol af SO</w:t>
      </w:r>
      <w:r>
        <w:rPr>
          <w:rFonts w:cs="Arial"/>
          <w:bCs/>
          <w:szCs w:val="20"/>
          <w:vertAlign w:val="subscript"/>
        </w:rPr>
        <w:t>2</w:t>
      </w:r>
      <w:r>
        <w:rPr>
          <w:rFonts w:cs="Arial"/>
          <w:bCs/>
          <w:szCs w:val="20"/>
        </w:rPr>
        <w:t>, så har referencelaboratoriet udarbejdet en rapport med anbefalinger til beregning af SO</w:t>
      </w:r>
      <w:r>
        <w:rPr>
          <w:rFonts w:cs="Arial"/>
          <w:bCs/>
          <w:szCs w:val="20"/>
          <w:vertAlign w:val="subscript"/>
        </w:rPr>
        <w:t>2</w:t>
      </w:r>
      <w:r>
        <w:rPr>
          <w:rFonts w:cs="Arial"/>
          <w:bCs/>
          <w:szCs w:val="20"/>
        </w:rPr>
        <w:t xml:space="preserve"> fra fyringsanlæg som følge af store fyr bekendtgørelse.  Anbefalingerne er tiltrådt af Miljøstyrelsen jf. kap. 1.2 i rapporten (</w:t>
      </w:r>
      <w:hyperlink r:id="rId11" w:history="1">
        <w:r w:rsidRPr="005B6B01">
          <w:rPr>
            <w:rStyle w:val="Hyperlink"/>
            <w:rFonts w:cs="Arial"/>
            <w:bCs/>
            <w:szCs w:val="20"/>
          </w:rPr>
          <w:t>http://ref-lab.dk/wp-content/uploads/2016/01/2015-78-Beregning-af-SO2-emission-fra-fyringsanl%C3%A6g-1.pdf</w:t>
        </w:r>
      </w:hyperlink>
      <w:r>
        <w:rPr>
          <w:rFonts w:cs="Arial"/>
          <w:bCs/>
          <w:szCs w:val="20"/>
        </w:rPr>
        <w:t xml:space="preserve">). </w:t>
      </w:r>
    </w:p>
    <w:p w:rsidR="00C63CC4" w:rsidRDefault="00C63CC4" w:rsidP="00566820">
      <w:pPr>
        <w:suppressAutoHyphens w:val="0"/>
        <w:autoSpaceDE w:val="0"/>
        <w:autoSpaceDN w:val="0"/>
        <w:adjustRightInd w:val="0"/>
        <w:spacing w:line="240" w:lineRule="auto"/>
        <w:rPr>
          <w:rFonts w:cs="Arial"/>
          <w:bCs/>
          <w:szCs w:val="20"/>
        </w:rPr>
      </w:pPr>
    </w:p>
    <w:p w:rsidR="00566820" w:rsidRDefault="00566820" w:rsidP="00566820">
      <w:pPr>
        <w:suppressAutoHyphens w:val="0"/>
        <w:autoSpaceDE w:val="0"/>
        <w:autoSpaceDN w:val="0"/>
        <w:adjustRightInd w:val="0"/>
        <w:spacing w:line="240" w:lineRule="auto"/>
        <w:rPr>
          <w:rFonts w:cs="Arial"/>
          <w:bCs/>
          <w:szCs w:val="20"/>
        </w:rPr>
      </w:pPr>
      <w:r>
        <w:rPr>
          <w:rFonts w:cs="Arial"/>
          <w:bCs/>
          <w:szCs w:val="20"/>
        </w:rPr>
        <w:t>Såfremt Statoils egen SO</w:t>
      </w:r>
      <w:r>
        <w:rPr>
          <w:rFonts w:cs="Arial"/>
          <w:bCs/>
          <w:szCs w:val="20"/>
          <w:vertAlign w:val="subscript"/>
        </w:rPr>
        <w:t>2</w:t>
      </w:r>
      <w:r>
        <w:rPr>
          <w:rFonts w:cs="Arial"/>
          <w:bCs/>
          <w:szCs w:val="20"/>
        </w:rPr>
        <w:t xml:space="preserve">-model lever op til 2. del af vilkår 15 </w:t>
      </w:r>
    </w:p>
    <w:p w:rsidR="00566820" w:rsidRDefault="00566820" w:rsidP="00566820">
      <w:pPr>
        <w:suppressAutoHyphens w:val="0"/>
        <w:autoSpaceDE w:val="0"/>
        <w:autoSpaceDN w:val="0"/>
        <w:adjustRightInd w:val="0"/>
        <w:spacing w:line="240" w:lineRule="auto"/>
        <w:rPr>
          <w:rFonts w:cs="Georgia"/>
          <w:color w:val="000000"/>
          <w:szCs w:val="20"/>
        </w:rPr>
      </w:pPr>
      <w:r w:rsidRPr="00566820">
        <w:rPr>
          <w:rFonts w:cs="Georgia"/>
          <w:i/>
          <w:color w:val="000000"/>
          <w:szCs w:val="20"/>
        </w:rPr>
        <w:t>”Målingen af SO</w:t>
      </w:r>
      <w:r w:rsidRPr="00566820">
        <w:rPr>
          <w:rFonts w:cs="Georgia"/>
          <w:i/>
          <w:color w:val="000000"/>
          <w:szCs w:val="20"/>
          <w:vertAlign w:val="subscript"/>
        </w:rPr>
        <w:t>2</w:t>
      </w:r>
      <w:r w:rsidRPr="00566820">
        <w:rPr>
          <w:rFonts w:cs="Georgia"/>
          <w:i/>
          <w:color w:val="000000"/>
          <w:szCs w:val="20"/>
        </w:rPr>
        <w:t xml:space="preserve"> kan efter aftale med tilsynsmyndigheden erstattes med andre fremgangsmåder, der anvender relevante CEN-standarder eller, hvis der ikke foreligger CEN-standarder, ISO-standarder eller nationale eller andre internationale standarder, der sikrer data af tilsvarende videnskabelig kvalitet.”</w:t>
      </w:r>
      <w:r>
        <w:rPr>
          <w:rFonts w:cs="Georgia"/>
          <w:color w:val="000000"/>
          <w:szCs w:val="20"/>
        </w:rPr>
        <w:t>,</w:t>
      </w:r>
    </w:p>
    <w:p w:rsidR="00566820" w:rsidRDefault="00566820" w:rsidP="00566820">
      <w:pPr>
        <w:suppressAutoHyphens w:val="0"/>
        <w:autoSpaceDE w:val="0"/>
        <w:autoSpaceDN w:val="0"/>
        <w:adjustRightInd w:val="0"/>
        <w:spacing w:line="240" w:lineRule="auto"/>
        <w:rPr>
          <w:rFonts w:cs="Georgia"/>
          <w:color w:val="000000"/>
          <w:szCs w:val="20"/>
        </w:rPr>
      </w:pPr>
      <w:r>
        <w:rPr>
          <w:rFonts w:cs="Georgia"/>
          <w:color w:val="000000"/>
          <w:szCs w:val="20"/>
        </w:rPr>
        <w:t>så vil Miljøstyrelsen være indstillet på, at Statoil anvender sin egen SO</w:t>
      </w:r>
      <w:r>
        <w:rPr>
          <w:rFonts w:cs="Georgia"/>
          <w:color w:val="000000"/>
          <w:szCs w:val="20"/>
          <w:vertAlign w:val="subscript"/>
        </w:rPr>
        <w:t>2</w:t>
      </w:r>
      <w:r>
        <w:rPr>
          <w:rFonts w:cs="Georgia"/>
          <w:color w:val="000000"/>
          <w:szCs w:val="20"/>
        </w:rPr>
        <w:t>-model, hvilket ikke forudsætter en ændring af vilkåret.</w:t>
      </w:r>
    </w:p>
    <w:p w:rsidR="00C63CC4" w:rsidRDefault="00C63CC4" w:rsidP="00566820">
      <w:pPr>
        <w:suppressAutoHyphens w:val="0"/>
        <w:autoSpaceDE w:val="0"/>
        <w:autoSpaceDN w:val="0"/>
        <w:adjustRightInd w:val="0"/>
        <w:spacing w:line="240" w:lineRule="auto"/>
        <w:rPr>
          <w:rFonts w:cs="Georgia"/>
          <w:color w:val="000000"/>
          <w:szCs w:val="20"/>
        </w:rPr>
      </w:pPr>
    </w:p>
    <w:p w:rsidR="00566820" w:rsidRPr="00566820" w:rsidRDefault="00566820" w:rsidP="00566820">
      <w:pPr>
        <w:suppressAutoHyphens w:val="0"/>
        <w:autoSpaceDE w:val="0"/>
        <w:autoSpaceDN w:val="0"/>
        <w:adjustRightInd w:val="0"/>
        <w:spacing w:line="240" w:lineRule="auto"/>
        <w:rPr>
          <w:rFonts w:cs="Arial"/>
          <w:bCs/>
          <w:szCs w:val="20"/>
        </w:rPr>
      </w:pPr>
      <w:r>
        <w:rPr>
          <w:rFonts w:cs="Georgia"/>
          <w:color w:val="000000"/>
          <w:szCs w:val="20"/>
        </w:rPr>
        <w:t>Vilkår 15 fastholdes derfor som varslet.</w:t>
      </w:r>
    </w:p>
    <w:p w:rsidR="00387E45" w:rsidRPr="00953E81" w:rsidRDefault="00387E45" w:rsidP="00CA7D10">
      <w:pPr>
        <w:autoSpaceDE w:val="0"/>
        <w:autoSpaceDN w:val="0"/>
        <w:adjustRightInd w:val="0"/>
        <w:rPr>
          <w:rFonts w:cs="Arial"/>
          <w:b/>
          <w:bCs/>
          <w:szCs w:val="20"/>
        </w:rPr>
      </w:pPr>
    </w:p>
    <w:p w:rsidR="00CA7D10" w:rsidRPr="00C35CB2" w:rsidRDefault="00CA7D10" w:rsidP="00CA7D10">
      <w:pPr>
        <w:rPr>
          <w:b/>
          <w:sz w:val="24"/>
        </w:rPr>
      </w:pPr>
      <w:r w:rsidRPr="00C35CB2">
        <w:rPr>
          <w:b/>
          <w:sz w:val="24"/>
        </w:rPr>
        <w:t>Klagevejledning</w:t>
      </w:r>
    </w:p>
    <w:p w:rsidR="00CA7D10" w:rsidRPr="00953E81" w:rsidRDefault="00CA7D10" w:rsidP="00CA7D10">
      <w:pPr>
        <w:jc w:val="both"/>
        <w:rPr>
          <w:szCs w:val="20"/>
        </w:rPr>
      </w:pPr>
      <w:r w:rsidRPr="00953E81">
        <w:rPr>
          <w:szCs w:val="20"/>
        </w:rPr>
        <w:t>Påbuddet kan påklages til Natur- og Miljøklagenævnet af</w:t>
      </w:r>
    </w:p>
    <w:p w:rsidR="00CA7D10" w:rsidRPr="00953E81" w:rsidRDefault="00CA7D10" w:rsidP="00CA7D10">
      <w:pPr>
        <w:numPr>
          <w:ilvl w:val="0"/>
          <w:numId w:val="11"/>
        </w:numPr>
        <w:suppressAutoHyphens w:val="0"/>
        <w:spacing w:line="240" w:lineRule="auto"/>
        <w:jc w:val="both"/>
        <w:rPr>
          <w:szCs w:val="20"/>
        </w:rPr>
      </w:pPr>
      <w:r w:rsidRPr="00953E81">
        <w:rPr>
          <w:szCs w:val="20"/>
        </w:rPr>
        <w:t>virksomheden</w:t>
      </w:r>
    </w:p>
    <w:p w:rsidR="00CA7D10" w:rsidRPr="00E0653B" w:rsidRDefault="00CA7D10" w:rsidP="00CA7D10">
      <w:pPr>
        <w:numPr>
          <w:ilvl w:val="0"/>
          <w:numId w:val="11"/>
        </w:numPr>
        <w:suppressAutoHyphens w:val="0"/>
        <w:spacing w:line="240" w:lineRule="auto"/>
        <w:jc w:val="both"/>
        <w:rPr>
          <w:szCs w:val="20"/>
        </w:rPr>
      </w:pPr>
      <w:r w:rsidRPr="00953E81">
        <w:rPr>
          <w:szCs w:val="20"/>
        </w:rPr>
        <w:t>enhver, der har en individuel</w:t>
      </w:r>
      <w:r w:rsidRPr="00E0653B">
        <w:rPr>
          <w:szCs w:val="20"/>
        </w:rPr>
        <w:t>, væsentlig interesse i sagens udfald</w:t>
      </w:r>
    </w:p>
    <w:p w:rsidR="00CA7D10" w:rsidRPr="00E0653B" w:rsidRDefault="00CA7D10" w:rsidP="00CA7D10">
      <w:pPr>
        <w:numPr>
          <w:ilvl w:val="0"/>
          <w:numId w:val="11"/>
        </w:numPr>
        <w:suppressAutoHyphens w:val="0"/>
        <w:spacing w:line="240" w:lineRule="auto"/>
        <w:jc w:val="both"/>
        <w:rPr>
          <w:szCs w:val="20"/>
        </w:rPr>
      </w:pPr>
      <w:r w:rsidRPr="00E0653B">
        <w:rPr>
          <w:szCs w:val="20"/>
        </w:rPr>
        <w:t>kommunalbestyrelsen</w:t>
      </w:r>
    </w:p>
    <w:p w:rsidR="00CA7D10" w:rsidRPr="00E0653B" w:rsidRDefault="00CA7D10" w:rsidP="00CA7D10">
      <w:pPr>
        <w:numPr>
          <w:ilvl w:val="0"/>
          <w:numId w:val="11"/>
        </w:numPr>
        <w:suppressAutoHyphens w:val="0"/>
        <w:spacing w:line="240" w:lineRule="auto"/>
        <w:jc w:val="both"/>
        <w:rPr>
          <w:szCs w:val="20"/>
        </w:rPr>
      </w:pPr>
      <w:r w:rsidRPr="00E0653B">
        <w:rPr>
          <w:szCs w:val="20"/>
        </w:rPr>
        <w:t>Sundhedsstyrelsen</w:t>
      </w:r>
    </w:p>
    <w:p w:rsidR="00CA7D10" w:rsidRPr="00E0653B" w:rsidRDefault="00CA7D10" w:rsidP="00CA7D10">
      <w:pPr>
        <w:numPr>
          <w:ilvl w:val="0"/>
          <w:numId w:val="11"/>
        </w:numPr>
        <w:suppressAutoHyphens w:val="0"/>
        <w:spacing w:line="240" w:lineRule="auto"/>
        <w:jc w:val="both"/>
        <w:rPr>
          <w:szCs w:val="20"/>
        </w:rPr>
      </w:pPr>
      <w:r w:rsidRPr="00E0653B">
        <w:rPr>
          <w:szCs w:val="20"/>
        </w:rPr>
        <w:lastRenderedPageBreak/>
        <w:t>landsdækkende foreninger og organisationer i det omfang, de har klageret over den konkrete afgørelse, jf. miljøbeskyttelseslovens §§ 99 og 100</w:t>
      </w:r>
    </w:p>
    <w:p w:rsidR="00CA7D10" w:rsidRPr="00E0653B" w:rsidRDefault="00CA7D10" w:rsidP="00CA7D10">
      <w:pPr>
        <w:numPr>
          <w:ilvl w:val="0"/>
          <w:numId w:val="11"/>
        </w:numPr>
        <w:suppressAutoHyphens w:val="0"/>
        <w:spacing w:line="240" w:lineRule="auto"/>
        <w:jc w:val="both"/>
        <w:rPr>
          <w:szCs w:val="20"/>
        </w:rPr>
      </w:pPr>
      <w:r w:rsidRPr="00E0653B">
        <w:rPr>
          <w:szCs w:val="20"/>
        </w:rPr>
        <w:t>lokale foreninger og organisationer, der har beskyttelse af natur og miljø eller rekreative interesser som formål, og som har meddelt Miljøministeren, at de ønsker underretning om afgørelsen</w:t>
      </w:r>
    </w:p>
    <w:p w:rsidR="00CA7D10" w:rsidRPr="00E0653B" w:rsidRDefault="00CA7D10" w:rsidP="00CA7D10">
      <w:pPr>
        <w:jc w:val="both"/>
        <w:rPr>
          <w:szCs w:val="20"/>
        </w:rPr>
      </w:pPr>
    </w:p>
    <w:p w:rsidR="00D86DFF" w:rsidRDefault="00D86DFF" w:rsidP="00D86DFF">
      <w:pPr>
        <w:suppressAutoHyphens w:val="0"/>
        <w:autoSpaceDE w:val="0"/>
        <w:autoSpaceDN w:val="0"/>
        <w:adjustRightInd w:val="0"/>
        <w:spacing w:line="240" w:lineRule="auto"/>
        <w:rPr>
          <w:rFonts w:cs="Tahoma"/>
          <w:color w:val="000000"/>
          <w:szCs w:val="20"/>
        </w:rPr>
      </w:pPr>
      <w:r>
        <w:rPr>
          <w:rFonts w:cs="Tahoma"/>
          <w:color w:val="000000"/>
          <w:szCs w:val="20"/>
        </w:rPr>
        <w:t xml:space="preserve">Hvis du ønsker at klage over denne afgørelse, kan du klage til Natur- og Miljøklagenævnet. Du klager via Klageportalen, som du finder et link til på forsiden af </w:t>
      </w:r>
      <w:r>
        <w:rPr>
          <w:rFonts w:cs="Tahoma"/>
          <w:color w:val="0000FF"/>
          <w:szCs w:val="20"/>
        </w:rPr>
        <w:t>www.nmkn.dk</w:t>
      </w:r>
      <w:r>
        <w:rPr>
          <w:rFonts w:cs="Tahoma"/>
          <w:color w:val="000000"/>
          <w:szCs w:val="20"/>
        </w:rPr>
        <w:t xml:space="preserve">. Klageportalen ligger på </w:t>
      </w:r>
      <w:r>
        <w:rPr>
          <w:rFonts w:cs="Tahoma"/>
          <w:color w:val="0000FF"/>
          <w:szCs w:val="20"/>
        </w:rPr>
        <w:t xml:space="preserve">www.borger.dk </w:t>
      </w:r>
      <w:r>
        <w:rPr>
          <w:rFonts w:cs="Tahoma"/>
          <w:color w:val="000000"/>
          <w:szCs w:val="20"/>
        </w:rPr>
        <w:t xml:space="preserve">og </w:t>
      </w:r>
      <w:r>
        <w:rPr>
          <w:rFonts w:cs="Tahoma"/>
          <w:color w:val="0000FF"/>
          <w:szCs w:val="20"/>
        </w:rPr>
        <w:t>www.virk.dk</w:t>
      </w:r>
      <w:r>
        <w:rPr>
          <w:rFonts w:cs="Tahoma"/>
          <w:color w:val="000000"/>
          <w:szCs w:val="20"/>
        </w:rPr>
        <w:t xml:space="preserve">. Du logger på </w:t>
      </w:r>
      <w:r>
        <w:rPr>
          <w:rFonts w:cs="Tahoma"/>
          <w:color w:val="0000FF"/>
          <w:szCs w:val="20"/>
        </w:rPr>
        <w:t xml:space="preserve">www.borger.dk </w:t>
      </w:r>
      <w:r>
        <w:rPr>
          <w:rFonts w:cs="Tahoma"/>
          <w:color w:val="000000"/>
          <w:szCs w:val="20"/>
        </w:rPr>
        <w:t xml:space="preserve">eller </w:t>
      </w:r>
      <w:r>
        <w:rPr>
          <w:rFonts w:cs="Tahoma"/>
          <w:color w:val="0000FF"/>
          <w:szCs w:val="20"/>
        </w:rPr>
        <w:t>www.virk.dk</w:t>
      </w:r>
      <w:r>
        <w:rPr>
          <w:rFonts w:cs="Tahoma"/>
          <w:color w:val="000000"/>
          <w:szCs w:val="20"/>
        </w:rPr>
        <w:t>, ligesom du plejer,</w:t>
      </w:r>
    </w:p>
    <w:p w:rsidR="00D86DFF" w:rsidRDefault="00D86DFF" w:rsidP="00D86DFF">
      <w:pPr>
        <w:suppressAutoHyphens w:val="0"/>
        <w:autoSpaceDE w:val="0"/>
        <w:autoSpaceDN w:val="0"/>
        <w:adjustRightInd w:val="0"/>
        <w:spacing w:line="240" w:lineRule="auto"/>
        <w:rPr>
          <w:rFonts w:cs="Tahoma"/>
          <w:color w:val="000000"/>
          <w:szCs w:val="20"/>
        </w:rPr>
      </w:pPr>
      <w:r>
        <w:rPr>
          <w:rFonts w:cs="Tahoma"/>
          <w:color w:val="000000"/>
          <w:szCs w:val="20"/>
        </w:rPr>
        <w:t>typisk med NEM-ID. Klagen sendes gennem Klageportalen til den myndighed, der har truffet afgørelsen. En klage er indgivet, når den er tilgængelig for myndigheden i Klageportalen. Når du klager, skal du betale et gebyr på kr. 500. Du betaler gebyret med betalingskort i Klageportalen.</w:t>
      </w:r>
    </w:p>
    <w:p w:rsidR="00D86DFF" w:rsidRDefault="00D86DFF" w:rsidP="00D86DFF">
      <w:pPr>
        <w:suppressAutoHyphens w:val="0"/>
        <w:autoSpaceDE w:val="0"/>
        <w:autoSpaceDN w:val="0"/>
        <w:adjustRightInd w:val="0"/>
        <w:spacing w:line="240" w:lineRule="auto"/>
        <w:rPr>
          <w:rFonts w:cs="Tahoma"/>
          <w:color w:val="000000"/>
          <w:szCs w:val="20"/>
        </w:rPr>
      </w:pPr>
    </w:p>
    <w:p w:rsidR="00D86DFF" w:rsidRDefault="00D86DFF" w:rsidP="00D86DFF">
      <w:pPr>
        <w:suppressAutoHyphens w:val="0"/>
        <w:autoSpaceDE w:val="0"/>
        <w:autoSpaceDN w:val="0"/>
        <w:adjustRightInd w:val="0"/>
        <w:spacing w:line="240" w:lineRule="auto"/>
        <w:rPr>
          <w:rFonts w:cs="Tahoma"/>
          <w:color w:val="000000"/>
          <w:szCs w:val="20"/>
        </w:rPr>
      </w:pPr>
      <w:r>
        <w:rPr>
          <w:rFonts w:cs="Tahoma"/>
          <w:color w:val="000000"/>
          <w:szCs w:val="20"/>
        </w:rPr>
        <w:t>Natur- og Miljøklagenævnet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p>
    <w:p w:rsidR="00D86DFF" w:rsidRDefault="00D86DFF" w:rsidP="00503283">
      <w:pPr>
        <w:pStyle w:val="Default"/>
        <w:rPr>
          <w:rFonts w:ascii="Georgia" w:hAnsi="Georgia"/>
          <w:snapToGrid w:val="0"/>
          <w:sz w:val="20"/>
          <w:szCs w:val="20"/>
        </w:rPr>
      </w:pPr>
    </w:p>
    <w:p w:rsidR="00503283" w:rsidRPr="003233BC" w:rsidRDefault="00503283" w:rsidP="00503283">
      <w:pPr>
        <w:pStyle w:val="Default"/>
        <w:rPr>
          <w:rFonts w:ascii="Georgia" w:hAnsi="Georgia"/>
          <w:snapToGrid w:val="0"/>
          <w:sz w:val="20"/>
          <w:szCs w:val="20"/>
        </w:rPr>
      </w:pPr>
      <w:r w:rsidRPr="003233BC">
        <w:rPr>
          <w:rFonts w:ascii="Georgia" w:hAnsi="Georgia"/>
          <w:snapToGrid w:val="0"/>
          <w:sz w:val="20"/>
          <w:szCs w:val="20"/>
        </w:rPr>
        <w:t xml:space="preserve">Klagen skal være modtaget senest den </w:t>
      </w:r>
      <w:r w:rsidR="00154362">
        <w:rPr>
          <w:rFonts w:ascii="Georgia" w:hAnsi="Georgia"/>
          <w:sz w:val="20"/>
          <w:szCs w:val="20"/>
        </w:rPr>
        <w:t>4. august 2016</w:t>
      </w:r>
      <w:r w:rsidRPr="003233BC">
        <w:rPr>
          <w:rFonts w:ascii="Georgia" w:hAnsi="Georgia"/>
          <w:snapToGrid w:val="0"/>
          <w:sz w:val="20"/>
          <w:szCs w:val="20"/>
        </w:rPr>
        <w:t>.</w:t>
      </w:r>
    </w:p>
    <w:p w:rsidR="00503283" w:rsidRPr="00E0653B" w:rsidRDefault="00503283" w:rsidP="00503283">
      <w:pPr>
        <w:spacing w:line="240" w:lineRule="atLeast"/>
        <w:rPr>
          <w:rFonts w:cs="Arial"/>
          <w:snapToGrid w:val="0"/>
          <w:szCs w:val="20"/>
        </w:rPr>
      </w:pPr>
    </w:p>
    <w:p w:rsidR="00CA7D10" w:rsidRDefault="00D86DFF" w:rsidP="007E0963">
      <w:pPr>
        <w:pStyle w:val="Default"/>
        <w:rPr>
          <w:rFonts w:ascii="Georgia" w:hAnsi="Georgia"/>
          <w:iCs/>
          <w:sz w:val="20"/>
          <w:szCs w:val="20"/>
        </w:rPr>
      </w:pPr>
      <w:bookmarkStart w:id="12" w:name="OLE_LINK8"/>
      <w:r>
        <w:rPr>
          <w:rFonts w:ascii="Georgia" w:hAnsi="Georgia"/>
          <w:iCs/>
          <w:sz w:val="20"/>
          <w:szCs w:val="20"/>
        </w:rPr>
        <w:t>D</w:t>
      </w:r>
      <w:r w:rsidR="00271A6E">
        <w:rPr>
          <w:rFonts w:ascii="Georgia" w:hAnsi="Georgia"/>
          <w:iCs/>
          <w:sz w:val="20"/>
          <w:szCs w:val="20"/>
        </w:rPr>
        <w:t>u</w:t>
      </w:r>
      <w:r>
        <w:rPr>
          <w:rFonts w:ascii="Georgia" w:hAnsi="Georgia"/>
          <w:iCs/>
          <w:sz w:val="20"/>
          <w:szCs w:val="20"/>
        </w:rPr>
        <w:t xml:space="preserve"> kan læse mere</w:t>
      </w:r>
      <w:r w:rsidRPr="00E0653B">
        <w:rPr>
          <w:rFonts w:ascii="Georgia" w:hAnsi="Georgia"/>
          <w:iCs/>
          <w:sz w:val="20"/>
          <w:szCs w:val="20"/>
        </w:rPr>
        <w:t xml:space="preserve"> </w:t>
      </w:r>
      <w:r w:rsidR="00CA7D10" w:rsidRPr="00E0653B">
        <w:rPr>
          <w:rFonts w:ascii="Georgia" w:hAnsi="Georgia"/>
          <w:iCs/>
          <w:sz w:val="20"/>
          <w:szCs w:val="20"/>
        </w:rPr>
        <w:t>om gebyrordningen</w:t>
      </w:r>
      <w:r>
        <w:rPr>
          <w:rFonts w:ascii="Georgia" w:hAnsi="Georgia"/>
          <w:iCs/>
          <w:sz w:val="20"/>
          <w:szCs w:val="20"/>
        </w:rPr>
        <w:t xml:space="preserve"> og klage </w:t>
      </w:r>
      <w:r w:rsidR="00CA7D10" w:rsidRPr="00E0653B">
        <w:rPr>
          <w:rFonts w:ascii="Georgia" w:hAnsi="Georgia"/>
          <w:iCs/>
          <w:sz w:val="20"/>
          <w:szCs w:val="20"/>
        </w:rPr>
        <w:t>på Natur- og Miljøklagenævnets hjemmeside</w:t>
      </w:r>
      <w:r>
        <w:rPr>
          <w:rFonts w:ascii="Georgia" w:hAnsi="Georgia"/>
          <w:iCs/>
          <w:sz w:val="20"/>
          <w:szCs w:val="20"/>
        </w:rPr>
        <w:t xml:space="preserve"> (</w:t>
      </w:r>
      <w:r w:rsidRPr="00D86DFF">
        <w:rPr>
          <w:rFonts w:ascii="Georgia" w:hAnsi="Georgia"/>
          <w:iCs/>
          <w:sz w:val="20"/>
          <w:szCs w:val="20"/>
        </w:rPr>
        <w:t>http://nmkn.dk/klage/</w:t>
      </w:r>
      <w:r>
        <w:rPr>
          <w:rFonts w:ascii="Georgia" w:hAnsi="Georgia"/>
          <w:iCs/>
          <w:sz w:val="20"/>
          <w:szCs w:val="20"/>
        </w:rPr>
        <w:t>)</w:t>
      </w:r>
      <w:r w:rsidR="00CA7D10" w:rsidRPr="00E0653B">
        <w:rPr>
          <w:rFonts w:ascii="Georgia" w:hAnsi="Georgia"/>
          <w:iCs/>
          <w:sz w:val="20"/>
          <w:szCs w:val="20"/>
        </w:rPr>
        <w:t xml:space="preserve">. </w:t>
      </w:r>
    </w:p>
    <w:bookmarkEnd w:id="12"/>
    <w:p w:rsidR="00CA7D10" w:rsidRPr="00E0653B" w:rsidRDefault="00CA7D10" w:rsidP="00CA7D10">
      <w:pPr>
        <w:jc w:val="both"/>
        <w:rPr>
          <w:szCs w:val="20"/>
        </w:rPr>
      </w:pPr>
    </w:p>
    <w:p w:rsidR="00CA7D10" w:rsidRPr="00E0653B" w:rsidRDefault="00CA7D10" w:rsidP="00CA7D10">
      <w:pPr>
        <w:jc w:val="both"/>
        <w:rPr>
          <w:szCs w:val="20"/>
        </w:rPr>
      </w:pPr>
      <w:r w:rsidRPr="00E0653B">
        <w:rPr>
          <w:szCs w:val="20"/>
        </w:rPr>
        <w:t>En klage har opsættende virkning, med mindre Natur- og Miljøklagenævnet bestemmer andet.</w:t>
      </w:r>
    </w:p>
    <w:p w:rsidR="00F92892" w:rsidRDefault="00F92892" w:rsidP="00CA7D10">
      <w:pPr>
        <w:jc w:val="both"/>
        <w:rPr>
          <w:szCs w:val="20"/>
        </w:rPr>
      </w:pPr>
    </w:p>
    <w:p w:rsidR="00CA7D10" w:rsidRPr="00E0653B" w:rsidRDefault="00CA7D10" w:rsidP="00CA7D10">
      <w:pPr>
        <w:jc w:val="both"/>
        <w:rPr>
          <w:szCs w:val="20"/>
        </w:rPr>
      </w:pPr>
      <w:r w:rsidRPr="00E0653B">
        <w:rPr>
          <w:szCs w:val="20"/>
        </w:rPr>
        <w:t>Et eventuelt søgsmål i forhold til påbuddet skal anlægges ved domstolene inden 6 måneder, fra påbuddet er meddelt.</w:t>
      </w:r>
    </w:p>
    <w:p w:rsidR="00CA7D10" w:rsidRDefault="00CA7D10" w:rsidP="00CA7D10">
      <w:pPr>
        <w:widowControl w:val="0"/>
        <w:autoSpaceDE w:val="0"/>
        <w:autoSpaceDN w:val="0"/>
        <w:adjustRightInd w:val="0"/>
        <w:rPr>
          <w:szCs w:val="20"/>
        </w:rPr>
      </w:pPr>
    </w:p>
    <w:p w:rsidR="00CA7D10" w:rsidRPr="00C35CB2" w:rsidRDefault="00CA7D10" w:rsidP="00CA7D10">
      <w:pPr>
        <w:rPr>
          <w:b/>
          <w:sz w:val="24"/>
        </w:rPr>
      </w:pPr>
      <w:r w:rsidRPr="00C35CB2">
        <w:rPr>
          <w:b/>
          <w:sz w:val="24"/>
        </w:rPr>
        <w:t>Offentliggørelse og annoncering</w:t>
      </w:r>
    </w:p>
    <w:p w:rsidR="00CA7D10" w:rsidRDefault="00CA7D10" w:rsidP="00876EB8">
      <w:pPr>
        <w:autoSpaceDE w:val="0"/>
        <w:autoSpaceDN w:val="0"/>
        <w:adjustRightInd w:val="0"/>
        <w:rPr>
          <w:szCs w:val="20"/>
        </w:rPr>
      </w:pPr>
      <w:r w:rsidRPr="00E0653B">
        <w:rPr>
          <w:rFonts w:cs="Arial"/>
          <w:szCs w:val="20"/>
        </w:rPr>
        <w:t xml:space="preserve">Afgørelsen kan ses på </w:t>
      </w:r>
      <w:bookmarkStart w:id="13" w:name="_GoBack"/>
      <w:r w:rsidR="00154362">
        <w:fldChar w:fldCharType="begin"/>
      </w:r>
      <w:r w:rsidR="00154362">
        <w:instrText xml:space="preserve"> HYPERLINK "http://www.mst.dk/" </w:instrText>
      </w:r>
      <w:r w:rsidR="00154362">
        <w:fldChar w:fldCharType="separate"/>
      </w:r>
      <w:r w:rsidRPr="00C412F8">
        <w:rPr>
          <w:rStyle w:val="Hyperlink"/>
          <w:rFonts w:cs="Arial"/>
          <w:szCs w:val="20"/>
        </w:rPr>
        <w:t>www.mst.dk</w:t>
      </w:r>
      <w:r w:rsidR="00154362">
        <w:rPr>
          <w:rStyle w:val="Hyperlink"/>
          <w:rFonts w:cs="Arial"/>
          <w:szCs w:val="20"/>
        </w:rPr>
        <w:fldChar w:fldCharType="end"/>
      </w:r>
      <w:bookmarkEnd w:id="13"/>
      <w:r w:rsidRPr="00E0653B">
        <w:rPr>
          <w:rFonts w:cs="Arial"/>
          <w:szCs w:val="20"/>
        </w:rPr>
        <w:t xml:space="preserve"> eller kan fås ved henvendelse til Miljøstyrelsen</w:t>
      </w:r>
      <w:r>
        <w:rPr>
          <w:rFonts w:cs="Arial"/>
          <w:szCs w:val="20"/>
        </w:rPr>
        <w:t xml:space="preserve"> Virksomheder</w:t>
      </w:r>
      <w:r w:rsidRPr="00E0653B">
        <w:rPr>
          <w:rFonts w:cs="Arial"/>
          <w:szCs w:val="20"/>
        </w:rPr>
        <w:t xml:space="preserve">. Spørgsmål om afgørelsen besvares på </w:t>
      </w:r>
      <w:r>
        <w:rPr>
          <w:rFonts w:cs="Arial"/>
          <w:szCs w:val="20"/>
        </w:rPr>
        <w:t>72 54 40 00</w:t>
      </w:r>
      <w:r w:rsidRPr="00E0653B">
        <w:rPr>
          <w:rFonts w:cs="Arial"/>
          <w:szCs w:val="20"/>
        </w:rPr>
        <w:t xml:space="preserve"> eller </w:t>
      </w:r>
      <w:r w:rsidR="00F92892">
        <w:rPr>
          <w:rFonts w:cs="Arial"/>
          <w:szCs w:val="20"/>
        </w:rPr>
        <w:t>kigni@mst.dk</w:t>
      </w:r>
      <w:r w:rsidRPr="00E0653B">
        <w:rPr>
          <w:rFonts w:cs="Arial"/>
          <w:szCs w:val="20"/>
        </w:rPr>
        <w:t>.</w:t>
      </w:r>
      <w:r w:rsidR="00876EB8">
        <w:rPr>
          <w:rFonts w:cs="Arial"/>
          <w:szCs w:val="20"/>
        </w:rPr>
        <w:t xml:space="preserve"> </w:t>
      </w:r>
      <w:r w:rsidR="00876EB8" w:rsidRPr="00E0653B">
        <w:rPr>
          <w:szCs w:val="20"/>
        </w:rPr>
        <w:t xml:space="preserve">Påbuddet vil </w:t>
      </w:r>
      <w:r w:rsidR="00876EB8">
        <w:rPr>
          <w:szCs w:val="20"/>
        </w:rPr>
        <w:t>udelukkende blive annonceret på</w:t>
      </w:r>
      <w:r w:rsidR="00876EB8" w:rsidRPr="00E0653B">
        <w:rPr>
          <w:szCs w:val="20"/>
        </w:rPr>
        <w:t xml:space="preserve"> </w:t>
      </w:r>
      <w:hyperlink r:id="rId12" w:history="1">
        <w:r w:rsidR="00876EB8" w:rsidRPr="00C412F8">
          <w:rPr>
            <w:rStyle w:val="Hyperlink"/>
            <w:szCs w:val="20"/>
          </w:rPr>
          <w:t>www.mst.dk</w:t>
        </w:r>
      </w:hyperlink>
      <w:r w:rsidR="00876EB8">
        <w:rPr>
          <w:szCs w:val="20"/>
        </w:rPr>
        <w:t>.</w:t>
      </w:r>
    </w:p>
    <w:p w:rsidR="00C1278F" w:rsidRDefault="00C1278F" w:rsidP="00876EB8">
      <w:pPr>
        <w:autoSpaceDE w:val="0"/>
        <w:autoSpaceDN w:val="0"/>
        <w:adjustRightInd w:val="0"/>
        <w:rPr>
          <w:szCs w:val="20"/>
        </w:rPr>
      </w:pPr>
    </w:p>
    <w:p w:rsidR="00C1278F" w:rsidRDefault="00C1278F" w:rsidP="00876EB8">
      <w:pPr>
        <w:autoSpaceDE w:val="0"/>
        <w:autoSpaceDN w:val="0"/>
        <w:adjustRightInd w:val="0"/>
        <w:rPr>
          <w:szCs w:val="20"/>
        </w:rPr>
      </w:pPr>
    </w:p>
    <w:p w:rsidR="00C1278F" w:rsidRDefault="00C1278F" w:rsidP="00C1278F">
      <w:pPr>
        <w:rPr>
          <w:szCs w:val="22"/>
        </w:rPr>
      </w:pPr>
      <w:r>
        <w:rPr>
          <w:szCs w:val="22"/>
        </w:rPr>
        <w:t>Med venlig hilsen</w:t>
      </w:r>
    </w:p>
    <w:p w:rsidR="00C1278F" w:rsidRDefault="00C1278F" w:rsidP="00C1278F">
      <w:pPr>
        <w:rPr>
          <w:szCs w:val="22"/>
        </w:rPr>
      </w:pPr>
    </w:p>
    <w:p w:rsidR="00C1278F" w:rsidRDefault="00C1278F" w:rsidP="00C1278F">
      <w:pPr>
        <w:rPr>
          <w:szCs w:val="22"/>
        </w:rPr>
      </w:pPr>
      <w:r>
        <w:rPr>
          <w:szCs w:val="22"/>
        </w:rPr>
        <w:t>Kirsten Grahn Nielsen</w:t>
      </w:r>
    </w:p>
    <w:p w:rsidR="00C1278F" w:rsidRPr="00DA4779" w:rsidRDefault="00C1278F" w:rsidP="00C1278F">
      <w:pPr>
        <w:rPr>
          <w:szCs w:val="22"/>
        </w:rPr>
      </w:pPr>
      <w:bookmarkStart w:id="14" w:name="sb_tlfnr"/>
      <w:r w:rsidRPr="00DA4779">
        <w:rPr>
          <w:szCs w:val="22"/>
        </w:rPr>
        <w:t>72 54 43 57</w:t>
      </w:r>
      <w:bookmarkEnd w:id="14"/>
      <w:r w:rsidRPr="00DA4779">
        <w:rPr>
          <w:szCs w:val="22"/>
        </w:rPr>
        <w:t xml:space="preserve"> </w:t>
      </w:r>
    </w:p>
    <w:bookmarkStart w:id="15" w:name="sb_email"/>
    <w:p w:rsidR="00C1278F" w:rsidRDefault="00AF41BA" w:rsidP="00C1278F">
      <w:pPr>
        <w:rPr>
          <w:szCs w:val="22"/>
        </w:rPr>
      </w:pPr>
      <w:r>
        <w:rPr>
          <w:szCs w:val="22"/>
        </w:rPr>
        <w:fldChar w:fldCharType="begin"/>
      </w:r>
      <w:r>
        <w:rPr>
          <w:szCs w:val="22"/>
        </w:rPr>
        <w:instrText xml:space="preserve"> HYPERLINK "mailto:</w:instrText>
      </w:r>
      <w:r w:rsidRPr="00DA4779">
        <w:rPr>
          <w:szCs w:val="22"/>
        </w:rPr>
        <w:instrText>kigni@mst.dk</w:instrText>
      </w:r>
      <w:r>
        <w:rPr>
          <w:szCs w:val="22"/>
        </w:rPr>
        <w:instrText xml:space="preserve">" </w:instrText>
      </w:r>
      <w:r>
        <w:rPr>
          <w:szCs w:val="22"/>
        </w:rPr>
        <w:fldChar w:fldCharType="separate"/>
      </w:r>
      <w:r w:rsidRPr="005B6B01">
        <w:rPr>
          <w:rStyle w:val="Hyperlink"/>
          <w:szCs w:val="22"/>
        </w:rPr>
        <w:t>kigni@mst.dk</w:t>
      </w:r>
      <w:bookmarkEnd w:id="15"/>
      <w:r>
        <w:rPr>
          <w:szCs w:val="22"/>
        </w:rPr>
        <w:fldChar w:fldCharType="end"/>
      </w:r>
      <w:r w:rsidR="00C1278F" w:rsidRPr="00DA4779">
        <w:rPr>
          <w:szCs w:val="22"/>
        </w:rPr>
        <w:t xml:space="preserve"> </w:t>
      </w:r>
    </w:p>
    <w:p w:rsidR="00AF41BA" w:rsidRDefault="00AF41BA" w:rsidP="00C1278F">
      <w:pPr>
        <w:rPr>
          <w:szCs w:val="22"/>
        </w:rPr>
      </w:pPr>
    </w:p>
    <w:p w:rsidR="00AF41BA" w:rsidRDefault="00AF41BA" w:rsidP="00C1278F">
      <w:pPr>
        <w:rPr>
          <w:szCs w:val="22"/>
        </w:rPr>
      </w:pPr>
    </w:p>
    <w:p w:rsidR="0020401C" w:rsidRDefault="0020401C" w:rsidP="00C1278F">
      <w:pPr>
        <w:rPr>
          <w:szCs w:val="22"/>
        </w:rPr>
      </w:pPr>
    </w:p>
    <w:p w:rsidR="0020401C" w:rsidRDefault="0020401C" w:rsidP="00C1278F">
      <w:pPr>
        <w:rPr>
          <w:szCs w:val="22"/>
        </w:rPr>
      </w:pPr>
    </w:p>
    <w:p w:rsidR="0020401C" w:rsidRDefault="0020401C" w:rsidP="00C1278F">
      <w:pPr>
        <w:rPr>
          <w:szCs w:val="22"/>
        </w:rPr>
      </w:pPr>
    </w:p>
    <w:p w:rsidR="0020401C" w:rsidRDefault="0020401C" w:rsidP="00C1278F">
      <w:pPr>
        <w:rPr>
          <w:szCs w:val="22"/>
        </w:rPr>
      </w:pPr>
    </w:p>
    <w:p w:rsidR="0020401C" w:rsidRDefault="0020401C" w:rsidP="00C1278F">
      <w:pPr>
        <w:rPr>
          <w:szCs w:val="22"/>
        </w:rPr>
      </w:pPr>
    </w:p>
    <w:p w:rsidR="0020401C" w:rsidRDefault="0020401C" w:rsidP="00C1278F">
      <w:pPr>
        <w:rPr>
          <w:szCs w:val="22"/>
        </w:rPr>
      </w:pPr>
    </w:p>
    <w:p w:rsidR="0020401C" w:rsidRDefault="0020401C" w:rsidP="00C1278F">
      <w:pPr>
        <w:rPr>
          <w:szCs w:val="22"/>
        </w:rPr>
      </w:pPr>
    </w:p>
    <w:p w:rsidR="0020401C" w:rsidRDefault="0020401C" w:rsidP="00C1278F">
      <w:pPr>
        <w:rPr>
          <w:szCs w:val="22"/>
        </w:rPr>
      </w:pPr>
    </w:p>
    <w:p w:rsidR="00AF41BA" w:rsidRDefault="0020401C" w:rsidP="0020401C">
      <w:pPr>
        <w:jc w:val="right"/>
        <w:rPr>
          <w:szCs w:val="22"/>
        </w:rPr>
      </w:pPr>
      <w:r>
        <w:rPr>
          <w:szCs w:val="22"/>
        </w:rPr>
        <w:sym w:font="Wingdings" w:char="F0E8"/>
      </w:r>
    </w:p>
    <w:p w:rsidR="00AF41BA" w:rsidRDefault="00AF41BA" w:rsidP="00C1278F">
      <w:pPr>
        <w:rPr>
          <w:szCs w:val="22"/>
          <w:u w:val="single"/>
        </w:rPr>
      </w:pPr>
      <w:r>
        <w:rPr>
          <w:szCs w:val="22"/>
          <w:u w:val="single"/>
        </w:rPr>
        <w:t>Bilag:</w:t>
      </w:r>
    </w:p>
    <w:p w:rsidR="00AF41BA" w:rsidRDefault="00AF41BA" w:rsidP="00A4126A">
      <w:pPr>
        <w:pStyle w:val="Opstilling-talellerbogst"/>
        <w:numPr>
          <w:ilvl w:val="0"/>
          <w:numId w:val="15"/>
        </w:numPr>
      </w:pPr>
      <w:r w:rsidRPr="00953E81">
        <w:t>Miljøstyrelsen</w:t>
      </w:r>
      <w:r>
        <w:t>s</w:t>
      </w:r>
      <w:r w:rsidRPr="00953E81">
        <w:t xml:space="preserve"> vars</w:t>
      </w:r>
      <w:r>
        <w:t xml:space="preserve">el om påbud af 8. september 2015 </w:t>
      </w:r>
    </w:p>
    <w:p w:rsidR="00AF41BA" w:rsidRDefault="00AF41BA" w:rsidP="00A4126A">
      <w:pPr>
        <w:pStyle w:val="Opstilling-talellerbogst"/>
        <w:numPr>
          <w:ilvl w:val="0"/>
          <w:numId w:val="15"/>
        </w:numPr>
      </w:pPr>
      <w:r>
        <w:lastRenderedPageBreak/>
        <w:t>Statoils tilbagemelding af 6. oktober 2015 på varslet om påbud af 8. september 2015</w:t>
      </w:r>
    </w:p>
    <w:p w:rsidR="007A4C8B" w:rsidRDefault="007A4C8B" w:rsidP="00A4126A">
      <w:pPr>
        <w:pStyle w:val="Opstilling-talellerbogst"/>
        <w:numPr>
          <w:ilvl w:val="0"/>
          <w:numId w:val="15"/>
        </w:numPr>
      </w:pPr>
      <w:r>
        <w:t>Miljøstyrelsens bemærkninger til Statoils tilbagemelding af 6. oktober 2015</w:t>
      </w:r>
    </w:p>
    <w:p w:rsidR="00AF41BA" w:rsidRDefault="00AF41BA" w:rsidP="00A4126A">
      <w:pPr>
        <w:pStyle w:val="Opstilling-talellerbogst"/>
        <w:numPr>
          <w:ilvl w:val="0"/>
          <w:numId w:val="15"/>
        </w:numPr>
      </w:pPr>
      <w:r>
        <w:t xml:space="preserve">Miljøstyrelsens reviderede varsel om påbud af 30. oktober 2015 </w:t>
      </w:r>
    </w:p>
    <w:p w:rsidR="00AF41BA" w:rsidRDefault="00AF41BA" w:rsidP="00A4126A">
      <w:pPr>
        <w:pStyle w:val="Opstilling-talellerbogst"/>
        <w:numPr>
          <w:ilvl w:val="0"/>
          <w:numId w:val="15"/>
        </w:numPr>
      </w:pPr>
      <w:r>
        <w:t>Statoils tilbagemelding af 20. november 2015 på varslet af 30. oktober 2015</w:t>
      </w:r>
    </w:p>
    <w:p w:rsidR="00A63118" w:rsidRDefault="00A63118" w:rsidP="00A4126A">
      <w:pPr>
        <w:pStyle w:val="Opstilling-talellerbogst"/>
        <w:numPr>
          <w:ilvl w:val="0"/>
          <w:numId w:val="15"/>
        </w:numPr>
      </w:pPr>
      <w:r>
        <w:t xml:space="preserve">Miljøstyrelsens bemærkninger til Statoils tilbagemelding af 20. </w:t>
      </w:r>
      <w:r w:rsidR="007A4C8B">
        <w:t>november 2015</w:t>
      </w:r>
    </w:p>
    <w:p w:rsidR="00AF41BA" w:rsidRDefault="00AF41BA" w:rsidP="00A4126A">
      <w:pPr>
        <w:pStyle w:val="Opstilling-talellerbogst"/>
        <w:numPr>
          <w:ilvl w:val="0"/>
          <w:numId w:val="15"/>
        </w:numPr>
      </w:pPr>
      <w:r>
        <w:t xml:space="preserve">Miljøstyrelsens 2. reviderede varsel om påbud af </w:t>
      </w:r>
      <w:r w:rsidR="00A63118">
        <w:t>18</w:t>
      </w:r>
      <w:r>
        <w:t xml:space="preserve">. december 2015 </w:t>
      </w:r>
    </w:p>
    <w:p w:rsidR="00AF41BA" w:rsidRDefault="00AF41BA" w:rsidP="00A4126A">
      <w:pPr>
        <w:pStyle w:val="Opstilling-talellerbogst"/>
        <w:numPr>
          <w:ilvl w:val="0"/>
          <w:numId w:val="15"/>
        </w:numPr>
      </w:pPr>
      <w:r>
        <w:t>Statoils tilbagemelding af 24. januar 2016 på 2. reviderede varsel af 20. december 2016</w:t>
      </w:r>
    </w:p>
    <w:p w:rsidR="0020401C" w:rsidRDefault="0020401C" w:rsidP="00AF41BA">
      <w:pPr>
        <w:rPr>
          <w:iCs/>
          <w:szCs w:val="20"/>
        </w:rPr>
      </w:pPr>
    </w:p>
    <w:p w:rsidR="0020401C" w:rsidRDefault="0020401C" w:rsidP="00AF41BA">
      <w:pPr>
        <w:rPr>
          <w:iCs/>
          <w:szCs w:val="20"/>
        </w:rPr>
      </w:pPr>
    </w:p>
    <w:p w:rsidR="0020401C" w:rsidRDefault="0020401C" w:rsidP="00AF41BA">
      <w:pPr>
        <w:rPr>
          <w:iCs/>
          <w:szCs w:val="20"/>
        </w:rPr>
      </w:pPr>
    </w:p>
    <w:p w:rsidR="0020401C" w:rsidRDefault="0020401C" w:rsidP="00AF41BA">
      <w:pPr>
        <w:rPr>
          <w:iCs/>
          <w:szCs w:val="20"/>
        </w:rPr>
      </w:pPr>
    </w:p>
    <w:p w:rsidR="00CA7D10" w:rsidRPr="00E0653B" w:rsidRDefault="00CA7D10" w:rsidP="00CA7D10">
      <w:pPr>
        <w:rPr>
          <w:szCs w:val="20"/>
        </w:rPr>
      </w:pPr>
      <w:bookmarkStart w:id="16" w:name="sbh_email"/>
      <w:bookmarkEnd w:id="16"/>
    </w:p>
    <w:p w:rsidR="00CA7D10" w:rsidRPr="00E0653B" w:rsidRDefault="00CA7D10" w:rsidP="00CA7D10">
      <w:pPr>
        <w:rPr>
          <w:szCs w:val="20"/>
        </w:rPr>
      </w:pPr>
      <w:r w:rsidRPr="00E0653B">
        <w:rPr>
          <w:szCs w:val="20"/>
          <w:u w:val="single"/>
        </w:rPr>
        <w:t>Kopi til</w:t>
      </w:r>
      <w:r w:rsidRPr="00E0653B">
        <w:rPr>
          <w:szCs w:val="20"/>
        </w:rPr>
        <w:t>:</w:t>
      </w:r>
    </w:p>
    <w:p w:rsidR="00F92892" w:rsidRPr="00F92892" w:rsidRDefault="00F92892" w:rsidP="00F92892">
      <w:pPr>
        <w:suppressAutoHyphens w:val="0"/>
        <w:autoSpaceDE w:val="0"/>
        <w:autoSpaceDN w:val="0"/>
        <w:adjustRightInd w:val="0"/>
        <w:spacing w:line="240" w:lineRule="auto"/>
        <w:rPr>
          <w:rFonts w:cs="Georgia"/>
          <w:color w:val="000000"/>
          <w:szCs w:val="20"/>
        </w:rPr>
      </w:pPr>
      <w:r>
        <w:rPr>
          <w:rFonts w:cs="Georgia"/>
          <w:color w:val="000000"/>
          <w:szCs w:val="20"/>
        </w:rPr>
        <w:t>Kalundborg</w:t>
      </w:r>
      <w:r w:rsidRPr="00F92892">
        <w:rPr>
          <w:rFonts w:cs="Georgia"/>
          <w:color w:val="000000"/>
          <w:szCs w:val="20"/>
        </w:rPr>
        <w:t xml:space="preserve"> Kommune, </w:t>
      </w:r>
      <w:hyperlink r:id="rId13" w:history="1">
        <w:r w:rsidR="008511CB" w:rsidRPr="009D3D37">
          <w:rPr>
            <w:rStyle w:val="Hyperlink"/>
            <w:rFonts w:cs="Georgia"/>
            <w:szCs w:val="20"/>
          </w:rPr>
          <w:t>kalundborg@kalundborg.dk</w:t>
        </w:r>
      </w:hyperlink>
      <w:r w:rsidR="008511CB">
        <w:rPr>
          <w:rFonts w:cs="Georgia"/>
          <w:color w:val="000000"/>
          <w:szCs w:val="20"/>
        </w:rPr>
        <w:t xml:space="preserve"> </w:t>
      </w:r>
    </w:p>
    <w:p w:rsidR="00F92892" w:rsidRPr="00F92892" w:rsidRDefault="00F92892" w:rsidP="00F92892">
      <w:pPr>
        <w:suppressAutoHyphens w:val="0"/>
        <w:autoSpaceDE w:val="0"/>
        <w:autoSpaceDN w:val="0"/>
        <w:adjustRightInd w:val="0"/>
        <w:spacing w:line="240" w:lineRule="auto"/>
        <w:rPr>
          <w:rFonts w:cs="Georgia"/>
          <w:color w:val="000000"/>
          <w:szCs w:val="20"/>
        </w:rPr>
      </w:pPr>
      <w:r w:rsidRPr="00F92892">
        <w:rPr>
          <w:rFonts w:cs="Georgia"/>
          <w:color w:val="000000"/>
          <w:szCs w:val="20"/>
        </w:rPr>
        <w:t xml:space="preserve">Embedslægeinstitutionen </w:t>
      </w:r>
      <w:r>
        <w:rPr>
          <w:rFonts w:cs="Georgia"/>
          <w:color w:val="000000"/>
          <w:szCs w:val="20"/>
        </w:rPr>
        <w:t>Øst</w:t>
      </w:r>
      <w:r w:rsidRPr="00F92892">
        <w:rPr>
          <w:rFonts w:cs="Georgia"/>
          <w:color w:val="000000"/>
          <w:szCs w:val="20"/>
        </w:rPr>
        <w:t xml:space="preserve">, </w:t>
      </w:r>
      <w:hyperlink r:id="rId14" w:history="1">
        <w:r w:rsidRPr="00F92892">
          <w:rPr>
            <w:rStyle w:val="Hyperlink"/>
            <w:rFonts w:cs="Arial"/>
          </w:rPr>
          <w:t>seost@sst.dk</w:t>
        </w:r>
      </w:hyperlink>
    </w:p>
    <w:p w:rsidR="00F92892" w:rsidRPr="00F92892" w:rsidRDefault="00F92892" w:rsidP="00F92892">
      <w:pPr>
        <w:suppressAutoHyphens w:val="0"/>
        <w:autoSpaceDE w:val="0"/>
        <w:autoSpaceDN w:val="0"/>
        <w:adjustRightInd w:val="0"/>
        <w:spacing w:line="240" w:lineRule="auto"/>
        <w:rPr>
          <w:rFonts w:cs="Georgia"/>
          <w:color w:val="000000"/>
          <w:szCs w:val="20"/>
        </w:rPr>
      </w:pPr>
      <w:r w:rsidRPr="00F92892">
        <w:rPr>
          <w:rFonts w:cs="Georgia"/>
          <w:color w:val="000000"/>
          <w:szCs w:val="20"/>
        </w:rPr>
        <w:t xml:space="preserve">Danmarks Naturfredningsforening, </w:t>
      </w:r>
      <w:hyperlink r:id="rId15" w:history="1">
        <w:r w:rsidR="008511CB" w:rsidRPr="009D3D37">
          <w:rPr>
            <w:rStyle w:val="Hyperlink"/>
            <w:rFonts w:cs="Georgia"/>
            <w:szCs w:val="20"/>
          </w:rPr>
          <w:t>dn@dn.dk</w:t>
        </w:r>
      </w:hyperlink>
      <w:r w:rsidR="008511CB">
        <w:rPr>
          <w:rFonts w:cs="Georgia"/>
          <w:color w:val="000000"/>
          <w:szCs w:val="20"/>
        </w:rPr>
        <w:t xml:space="preserve"> </w:t>
      </w:r>
      <w:r w:rsidRPr="00F92892">
        <w:rPr>
          <w:rFonts w:cs="Georgia"/>
          <w:color w:val="000000"/>
          <w:szCs w:val="20"/>
        </w:rPr>
        <w:t xml:space="preserve"> </w:t>
      </w:r>
    </w:p>
    <w:p w:rsidR="00AF41BA" w:rsidRPr="007A7CE5" w:rsidRDefault="00F92892" w:rsidP="00F92892">
      <w:pPr>
        <w:rPr>
          <w:b/>
          <w:szCs w:val="22"/>
        </w:rPr>
      </w:pPr>
      <w:r w:rsidRPr="00F92892">
        <w:rPr>
          <w:rFonts w:cs="Georgia"/>
          <w:color w:val="000000"/>
          <w:szCs w:val="20"/>
        </w:rPr>
        <w:t xml:space="preserve">Friluftsrådet, </w:t>
      </w:r>
      <w:hyperlink r:id="rId16" w:history="1">
        <w:r w:rsidR="008511CB" w:rsidRPr="009D3D37">
          <w:rPr>
            <w:rStyle w:val="Hyperlink"/>
            <w:rFonts w:cs="Georgia"/>
            <w:szCs w:val="20"/>
          </w:rPr>
          <w:t>fr@friluftsraadet.dk</w:t>
        </w:r>
      </w:hyperlink>
      <w:r w:rsidR="008511CB">
        <w:rPr>
          <w:rFonts w:cs="Georgia"/>
          <w:color w:val="000000"/>
          <w:szCs w:val="20"/>
        </w:rPr>
        <w:t xml:space="preserve"> </w:t>
      </w:r>
    </w:p>
    <w:sectPr w:rsidR="00AF41BA" w:rsidRPr="007A7CE5" w:rsidSect="000F62D8">
      <w:headerReference w:type="even" r:id="rId17"/>
      <w:headerReference w:type="default" r:id="rId18"/>
      <w:footerReference w:type="even" r:id="rId19"/>
      <w:footerReference w:type="default" r:id="rId20"/>
      <w:headerReference w:type="first" r:id="rId21"/>
      <w:footerReference w:type="first" r:id="rId22"/>
      <w:pgSz w:w="11906" w:h="16838" w:code="9"/>
      <w:pgMar w:top="2041" w:right="3175" w:bottom="680" w:left="1417" w:header="35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28" w:rsidRDefault="001B0C28">
      <w:r>
        <w:separator/>
      </w:r>
    </w:p>
  </w:endnote>
  <w:endnote w:type="continuationSeparator" w:id="0">
    <w:p w:rsidR="001B0C28" w:rsidRDefault="001B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8" w:rsidRDefault="001B0C28"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1B0C28" w:rsidRDefault="001B0C28" w:rsidP="00E94852">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8" w:rsidRPr="00DE7479" w:rsidRDefault="001B0C28" w:rsidP="00DE7479">
    <w:pPr>
      <w:jc w:val="right"/>
    </w:pPr>
    <w:r w:rsidRPr="00DE7479">
      <w:fldChar w:fldCharType="begin"/>
    </w:r>
    <w:r w:rsidRPr="00DE7479">
      <w:instrText xml:space="preserve"> PAGE </w:instrText>
    </w:r>
    <w:r w:rsidRPr="00DE7479">
      <w:fldChar w:fldCharType="separate"/>
    </w:r>
    <w:r w:rsidR="00154362">
      <w:rPr>
        <w:noProof/>
      </w:rPr>
      <w:t>8</w:t>
    </w:r>
    <w:r w:rsidRPr="00DE747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83" w:rsidRDefault="0002528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28" w:rsidRDefault="001B0C28">
      <w:r>
        <w:separator/>
      </w:r>
    </w:p>
  </w:footnote>
  <w:footnote w:type="continuationSeparator" w:id="0">
    <w:p w:rsidR="001B0C28" w:rsidRDefault="001B0C28">
      <w:r>
        <w:continuationSeparator/>
      </w:r>
    </w:p>
  </w:footnote>
  <w:footnote w:id="1">
    <w:p w:rsidR="00025283" w:rsidRDefault="00025283" w:rsidP="00025283">
      <w:pPr>
        <w:pStyle w:val="Fodnotetekst"/>
      </w:pPr>
      <w:r>
        <w:rPr>
          <w:rStyle w:val="Fodnotehenvisning"/>
        </w:rPr>
        <w:footnoteRef/>
      </w:r>
      <w:r>
        <w:t xml:space="preserve"> Bekendtgørelse om lov om miljøbeskyttelse. Lovbekendtgørelse nr. </w:t>
      </w:r>
      <w:r w:rsidR="0020401C">
        <w:t>1317</w:t>
      </w:r>
      <w:r w:rsidR="0013642D">
        <w:t xml:space="preserve"> </w:t>
      </w:r>
      <w:r>
        <w:t xml:space="preserve">af </w:t>
      </w:r>
      <w:r w:rsidR="0020401C">
        <w:t>19</w:t>
      </w:r>
      <w:r w:rsidR="008F2A32">
        <w:t xml:space="preserve">. </w:t>
      </w:r>
      <w:r w:rsidR="0020401C">
        <w:t>november</w:t>
      </w:r>
      <w:r>
        <w:t xml:space="preserve"> 201</w:t>
      </w:r>
      <w:r w:rsidR="0020401C">
        <w:t>5</w:t>
      </w:r>
      <w:r>
        <w:t>.</w:t>
      </w:r>
    </w:p>
  </w:footnote>
  <w:footnote w:id="2">
    <w:p w:rsidR="008F2A32" w:rsidRDefault="008F2A32">
      <w:pPr>
        <w:pStyle w:val="Fodnotetekst"/>
      </w:pPr>
      <w:r>
        <w:rPr>
          <w:rStyle w:val="Fodnotehenvisning"/>
        </w:rPr>
        <w:footnoteRef/>
      </w:r>
      <w:r>
        <w:t xml:space="preserve"> Bekendtgørelse om begrænsning af visse luftforurenende emissioner fra store fyringsanlæg nr. </w:t>
      </w:r>
      <w:r w:rsidR="0020401C">
        <w:t>513</w:t>
      </w:r>
      <w:r>
        <w:t xml:space="preserve"> af </w:t>
      </w:r>
      <w:r w:rsidR="0020401C">
        <w:t>22</w:t>
      </w:r>
      <w:r>
        <w:t xml:space="preserve">. </w:t>
      </w:r>
      <w:r w:rsidR="0020401C">
        <w:t>maj 2016</w:t>
      </w:r>
      <w:r>
        <w:t>.</w:t>
      </w:r>
    </w:p>
  </w:footnote>
  <w:footnote w:id="3">
    <w:p w:rsidR="001B0C28" w:rsidRDefault="001B0C28">
      <w:pPr>
        <w:pStyle w:val="Fodnotetekst"/>
      </w:pPr>
      <w:r>
        <w:rPr>
          <w:rStyle w:val="Fodnotehenvisning"/>
        </w:rPr>
        <w:footnoteRef/>
      </w:r>
      <w:r>
        <w:t xml:space="preserve"> Bekendtgørelse nr. 640 af 12. juni 2014 om svovlindholdet i faste og flydende brændstoffer.</w:t>
      </w:r>
    </w:p>
  </w:footnote>
  <w:footnote w:id="4">
    <w:p w:rsidR="00FA4839" w:rsidRPr="000E3A48" w:rsidRDefault="00FA4839" w:rsidP="00FA4839">
      <w:pPr>
        <w:pStyle w:val="Default"/>
        <w:rPr>
          <w:rFonts w:ascii="Georgia" w:hAnsi="Georgia"/>
          <w:sz w:val="18"/>
          <w:szCs w:val="18"/>
        </w:rPr>
      </w:pPr>
      <w:r w:rsidRPr="009E24C0">
        <w:rPr>
          <w:rStyle w:val="Fodnotehenvisning"/>
          <w:rFonts w:ascii="Georgia" w:hAnsi="Georgia"/>
          <w:sz w:val="16"/>
          <w:szCs w:val="16"/>
        </w:rPr>
        <w:footnoteRef/>
      </w:r>
      <w:r w:rsidRPr="009E24C0">
        <w:rPr>
          <w:rFonts w:ascii="Georgia" w:hAnsi="Georgia"/>
          <w:sz w:val="16"/>
          <w:szCs w:val="16"/>
        </w:rPr>
        <w:t xml:space="preserve"> Bekendtgørelse nr. 1453 om begrænsning af visse luftforurenende emissioner fra store fyringsanlæg af 20. december 2012 som ændret ved gældende bekendtgørelse </w:t>
      </w:r>
      <w:r>
        <w:rPr>
          <w:rFonts w:ascii="Georgia" w:hAnsi="Georgia"/>
          <w:sz w:val="16"/>
          <w:szCs w:val="16"/>
        </w:rPr>
        <w:t>”</w:t>
      </w:r>
      <w:r w:rsidRPr="009E24C0">
        <w:rPr>
          <w:rFonts w:ascii="Georgia" w:hAnsi="Georgia"/>
          <w:sz w:val="16"/>
          <w:szCs w:val="16"/>
        </w:rPr>
        <w:t>Bekendtgørelse om begrænsning af visse luftforurenende emissioner fra store fyringsanlæg</w:t>
      </w:r>
      <w:r>
        <w:rPr>
          <w:rFonts w:ascii="Georgia" w:hAnsi="Georgia"/>
          <w:sz w:val="16"/>
          <w:szCs w:val="16"/>
        </w:rPr>
        <w:t>”:</w:t>
      </w:r>
      <w:r w:rsidRPr="009E24C0">
        <w:rPr>
          <w:rFonts w:ascii="Georgia" w:hAnsi="Georgia"/>
          <w:sz w:val="16"/>
          <w:szCs w:val="16"/>
        </w:rPr>
        <w:t xml:space="preserve"> BEK nr</w:t>
      </w:r>
      <w:r>
        <w:rPr>
          <w:rFonts w:ascii="Georgia" w:hAnsi="Georgia"/>
          <w:sz w:val="16"/>
          <w:szCs w:val="16"/>
        </w:rPr>
        <w:t>.</w:t>
      </w:r>
      <w:r w:rsidRPr="009E24C0">
        <w:rPr>
          <w:rFonts w:ascii="Georgia" w:hAnsi="Georgia"/>
          <w:sz w:val="16"/>
          <w:szCs w:val="16"/>
        </w:rPr>
        <w:t xml:space="preserve"> </w:t>
      </w:r>
      <w:r w:rsidR="0013642D">
        <w:rPr>
          <w:rFonts w:ascii="Georgia" w:hAnsi="Georgia"/>
          <w:sz w:val="16"/>
          <w:szCs w:val="16"/>
        </w:rPr>
        <w:t>513 af 22</w:t>
      </w:r>
      <w:r w:rsidRPr="009E24C0">
        <w:rPr>
          <w:rFonts w:ascii="Georgia" w:hAnsi="Georgia"/>
          <w:sz w:val="16"/>
          <w:szCs w:val="16"/>
        </w:rPr>
        <w:t>/0</w:t>
      </w:r>
      <w:r w:rsidR="0013642D">
        <w:rPr>
          <w:rFonts w:ascii="Georgia" w:hAnsi="Georgia"/>
          <w:sz w:val="16"/>
          <w:szCs w:val="16"/>
        </w:rPr>
        <w:t>5</w:t>
      </w:r>
      <w:r w:rsidRPr="009E24C0">
        <w:rPr>
          <w:rFonts w:ascii="Georgia" w:hAnsi="Georgia"/>
          <w:sz w:val="16"/>
          <w:szCs w:val="16"/>
        </w:rPr>
        <w:t>/201</w:t>
      </w:r>
      <w:r w:rsidR="0013642D">
        <w:rPr>
          <w:rFonts w:ascii="Georgia" w:hAnsi="Georgia"/>
          <w:sz w:val="16"/>
          <w:szCs w:val="16"/>
        </w:rPr>
        <w:t>6</w:t>
      </w:r>
      <w:r>
        <w:rPr>
          <w:rFonts w:ascii="Georgia" w:hAnsi="Georgia"/>
          <w:sz w:val="16"/>
          <w:szCs w:val="16"/>
        </w:rPr>
        <w:t>.</w:t>
      </w:r>
    </w:p>
  </w:footnote>
  <w:footnote w:id="5">
    <w:p w:rsidR="00FA4839" w:rsidRDefault="00FA4839" w:rsidP="00FA4839">
      <w:pPr>
        <w:pStyle w:val="Fodnotetekst"/>
      </w:pPr>
      <w:r>
        <w:rPr>
          <w:rStyle w:val="Fodnotehenvisning"/>
        </w:rPr>
        <w:footnoteRef/>
      </w:r>
      <w:r>
        <w:t xml:space="preserve"> Jf. § 3, stk. 3 i bekendtgørelse nr. </w:t>
      </w:r>
      <w:r w:rsidR="0020401C">
        <w:t>513 af 22. maj 2016</w:t>
      </w:r>
      <w:r>
        <w:t xml:space="preserve"> om begrænsning af visse luftforurenende emissioner fra store fyringsanlæg.</w:t>
      </w:r>
    </w:p>
  </w:footnote>
  <w:footnote w:id="6">
    <w:p w:rsidR="00FA4839" w:rsidRDefault="00FA4839" w:rsidP="00FA4839">
      <w:pPr>
        <w:pStyle w:val="Fodnotetekst"/>
      </w:pPr>
      <w:r>
        <w:rPr>
          <w:rStyle w:val="Fodnotehenvisning"/>
        </w:rPr>
        <w:footnoteRef/>
      </w:r>
      <w:r>
        <w:t xml:space="preserve"> Bekendtgørelse nr. </w:t>
      </w:r>
      <w:r w:rsidR="0020401C">
        <w:t>513 af 22. maj 2016</w:t>
      </w:r>
      <w:r>
        <w:t xml:space="preserve"> om begrænsning af visse luftforurenende emissioner fra store fyringsanlæg.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83" w:rsidRDefault="0002528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83" w:rsidRDefault="00025283">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8" w:rsidRDefault="001B0C28">
    <w:pPr>
      <w:pStyle w:val="Sidehoved"/>
    </w:pPr>
    <w:r>
      <w:rPr>
        <w:noProof/>
      </w:rPr>
      <w:drawing>
        <wp:anchor distT="0" distB="0" distL="114300" distR="114300" simplePos="0" relativeHeight="251659264" behindDoc="1" locked="0" layoutInCell="1" allowOverlap="1" wp14:anchorId="635C6979" wp14:editId="6B4743B6">
          <wp:simplePos x="0" y="0"/>
          <wp:positionH relativeFrom="column">
            <wp:posOffset>4320540</wp:posOffset>
          </wp:positionH>
          <wp:positionV relativeFrom="paragraph">
            <wp:posOffset>215900</wp:posOffset>
          </wp:positionV>
          <wp:extent cx="1936800" cy="288000"/>
          <wp:effectExtent l="0" t="0" r="6350" b="0"/>
          <wp:wrapThrough wrapText="bothSides">
            <wp:wrapPolygon edited="0">
              <wp:start x="0" y="0"/>
              <wp:lineTo x="0" y="20026"/>
              <wp:lineTo x="21458" y="20026"/>
              <wp:lineTo x="21458" y="0"/>
              <wp:lineTo x="0" y="0"/>
            </wp:wrapPolygon>
          </wp:wrapThrough>
          <wp:docPr id="2" name="Billede 2" descr="http://mfvm.dk/fileadmin/user_upload/MFVM/Design/CMYK/Dansk/MIFM_CMYK_Miljoestyrelsen_DK.jpg"/>
          <wp:cNvGraphicFramePr/>
          <a:graphic xmlns:a="http://schemas.openxmlformats.org/drawingml/2006/main">
            <a:graphicData uri="http://schemas.openxmlformats.org/drawingml/2006/picture">
              <pic:pic xmlns:pic="http://schemas.openxmlformats.org/drawingml/2006/picture">
                <pic:nvPicPr>
                  <pic:cNvPr id="2" name="Billede 2" descr="http://mfvm.dk/fileadmin/user_upload/MFVM/Design/CMYK/Dansk/MIFM_CMYK_Miljoestyrelsen_D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BA342A"/>
    <w:lvl w:ilvl="0">
      <w:start w:val="1"/>
      <w:numFmt w:val="decimal"/>
      <w:lvlText w:val="%1."/>
      <w:lvlJc w:val="left"/>
      <w:pPr>
        <w:tabs>
          <w:tab w:val="num" w:pos="1492"/>
        </w:tabs>
        <w:ind w:left="1492" w:hanging="360"/>
      </w:pPr>
    </w:lvl>
  </w:abstractNum>
  <w:abstractNum w:abstractNumId="1">
    <w:nsid w:val="FFFFFF7D"/>
    <w:multiLevelType w:val="singleLevel"/>
    <w:tmpl w:val="5D0E635C"/>
    <w:lvl w:ilvl="0">
      <w:start w:val="1"/>
      <w:numFmt w:val="decimal"/>
      <w:lvlText w:val="%1."/>
      <w:lvlJc w:val="left"/>
      <w:pPr>
        <w:tabs>
          <w:tab w:val="num" w:pos="1209"/>
        </w:tabs>
        <w:ind w:left="1209" w:hanging="360"/>
      </w:pPr>
    </w:lvl>
  </w:abstractNum>
  <w:abstractNum w:abstractNumId="2">
    <w:nsid w:val="FFFFFF7E"/>
    <w:multiLevelType w:val="singleLevel"/>
    <w:tmpl w:val="E8688718"/>
    <w:lvl w:ilvl="0">
      <w:start w:val="1"/>
      <w:numFmt w:val="decimal"/>
      <w:lvlText w:val="%1."/>
      <w:lvlJc w:val="left"/>
      <w:pPr>
        <w:tabs>
          <w:tab w:val="num" w:pos="926"/>
        </w:tabs>
        <w:ind w:left="926" w:hanging="360"/>
      </w:pPr>
    </w:lvl>
  </w:abstractNum>
  <w:abstractNum w:abstractNumId="3">
    <w:nsid w:val="FFFFFF7F"/>
    <w:multiLevelType w:val="singleLevel"/>
    <w:tmpl w:val="0A1E8216"/>
    <w:lvl w:ilvl="0">
      <w:start w:val="1"/>
      <w:numFmt w:val="decimal"/>
      <w:lvlText w:val="%1."/>
      <w:lvlJc w:val="left"/>
      <w:pPr>
        <w:tabs>
          <w:tab w:val="num" w:pos="643"/>
        </w:tabs>
        <w:ind w:left="643" w:hanging="360"/>
      </w:pPr>
    </w:lvl>
  </w:abstractNum>
  <w:abstractNum w:abstractNumId="4">
    <w:nsid w:val="FFFFFF80"/>
    <w:multiLevelType w:val="singleLevel"/>
    <w:tmpl w:val="F15CDA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10C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3EEA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A8A1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92470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3420089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F596CC3"/>
    <w:multiLevelType w:val="hybridMultilevel"/>
    <w:tmpl w:val="7FF444F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1">
    <w:nsid w:val="3EF3314B"/>
    <w:multiLevelType w:val="hybridMultilevel"/>
    <w:tmpl w:val="ACC45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658144BA"/>
    <w:multiLevelType w:val="hybridMultilevel"/>
    <w:tmpl w:val="97C0234E"/>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65E4381E"/>
    <w:multiLevelType w:val="hybridMultilevel"/>
    <w:tmpl w:val="432685D2"/>
    <w:lvl w:ilvl="0" w:tplc="0406000F">
      <w:start w:val="1"/>
      <w:numFmt w:val="decimal"/>
      <w:lvlText w:val="%1."/>
      <w:lvlJc w:val="left"/>
      <w:pPr>
        <w:ind w:left="3338" w:hanging="360"/>
      </w:pPr>
    </w:lvl>
    <w:lvl w:ilvl="1" w:tplc="1C90192E">
      <w:start w:val="17"/>
      <w:numFmt w:val="bullet"/>
      <w:lvlText w:val=""/>
      <w:lvlJc w:val="left"/>
      <w:pPr>
        <w:ind w:left="4058" w:hanging="360"/>
      </w:pPr>
      <w:rPr>
        <w:rFonts w:ascii="Georgia" w:eastAsia="Times New Roman" w:hAnsi="Georgia" w:cs="Georgia" w:hint="default"/>
      </w:rPr>
    </w:lvl>
    <w:lvl w:ilvl="2" w:tplc="0406001B" w:tentative="1">
      <w:start w:val="1"/>
      <w:numFmt w:val="lowerRoman"/>
      <w:lvlText w:val="%3."/>
      <w:lvlJc w:val="right"/>
      <w:pPr>
        <w:ind w:left="4778" w:hanging="180"/>
      </w:pPr>
    </w:lvl>
    <w:lvl w:ilvl="3" w:tplc="0406000F" w:tentative="1">
      <w:start w:val="1"/>
      <w:numFmt w:val="decimal"/>
      <w:lvlText w:val="%4."/>
      <w:lvlJc w:val="left"/>
      <w:pPr>
        <w:ind w:left="5498" w:hanging="360"/>
      </w:pPr>
    </w:lvl>
    <w:lvl w:ilvl="4" w:tplc="04060019" w:tentative="1">
      <w:start w:val="1"/>
      <w:numFmt w:val="lowerLetter"/>
      <w:lvlText w:val="%5."/>
      <w:lvlJc w:val="left"/>
      <w:pPr>
        <w:ind w:left="6218" w:hanging="360"/>
      </w:pPr>
    </w:lvl>
    <w:lvl w:ilvl="5" w:tplc="0406001B" w:tentative="1">
      <w:start w:val="1"/>
      <w:numFmt w:val="lowerRoman"/>
      <w:lvlText w:val="%6."/>
      <w:lvlJc w:val="right"/>
      <w:pPr>
        <w:ind w:left="6938" w:hanging="180"/>
      </w:pPr>
    </w:lvl>
    <w:lvl w:ilvl="6" w:tplc="0406000F" w:tentative="1">
      <w:start w:val="1"/>
      <w:numFmt w:val="decimal"/>
      <w:lvlText w:val="%7."/>
      <w:lvlJc w:val="left"/>
      <w:pPr>
        <w:ind w:left="7658" w:hanging="360"/>
      </w:pPr>
    </w:lvl>
    <w:lvl w:ilvl="7" w:tplc="04060019" w:tentative="1">
      <w:start w:val="1"/>
      <w:numFmt w:val="lowerLetter"/>
      <w:lvlText w:val="%8."/>
      <w:lvlJc w:val="left"/>
      <w:pPr>
        <w:ind w:left="8378" w:hanging="360"/>
      </w:pPr>
    </w:lvl>
    <w:lvl w:ilvl="8" w:tplc="0406001B" w:tentative="1">
      <w:start w:val="1"/>
      <w:numFmt w:val="lowerRoman"/>
      <w:lvlText w:val="%9."/>
      <w:lvlJc w:val="right"/>
      <w:pPr>
        <w:ind w:left="9098" w:hanging="180"/>
      </w:pPr>
    </w:lvl>
  </w:abstractNum>
  <w:abstractNum w:abstractNumId="14">
    <w:nsid w:val="735607AE"/>
    <w:multiLevelType w:val="hybridMultilevel"/>
    <w:tmpl w:val="C15097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0"/>
  <w:doNotHyphenateCaps/>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D8"/>
    <w:rsid w:val="00001E64"/>
    <w:rsid w:val="00002D4B"/>
    <w:rsid w:val="00002EA0"/>
    <w:rsid w:val="00003636"/>
    <w:rsid w:val="00005FAA"/>
    <w:rsid w:val="00014958"/>
    <w:rsid w:val="0001528D"/>
    <w:rsid w:val="00015DFF"/>
    <w:rsid w:val="000166A0"/>
    <w:rsid w:val="00025283"/>
    <w:rsid w:val="00030051"/>
    <w:rsid w:val="00037E7E"/>
    <w:rsid w:val="00060BC5"/>
    <w:rsid w:val="000647F2"/>
    <w:rsid w:val="00070BA1"/>
    <w:rsid w:val="00073466"/>
    <w:rsid w:val="00082404"/>
    <w:rsid w:val="00096AA1"/>
    <w:rsid w:val="000A26F5"/>
    <w:rsid w:val="000A4558"/>
    <w:rsid w:val="000A7219"/>
    <w:rsid w:val="000B26E7"/>
    <w:rsid w:val="000B5461"/>
    <w:rsid w:val="000B769F"/>
    <w:rsid w:val="000C0594"/>
    <w:rsid w:val="000C13E6"/>
    <w:rsid w:val="000C3D52"/>
    <w:rsid w:val="000C45B7"/>
    <w:rsid w:val="000C62D3"/>
    <w:rsid w:val="000D0F4C"/>
    <w:rsid w:val="000D1CF4"/>
    <w:rsid w:val="000D5FBF"/>
    <w:rsid w:val="000D600E"/>
    <w:rsid w:val="000E3992"/>
    <w:rsid w:val="000E3A48"/>
    <w:rsid w:val="000E6D67"/>
    <w:rsid w:val="000F62D8"/>
    <w:rsid w:val="00101A8D"/>
    <w:rsid w:val="001062D0"/>
    <w:rsid w:val="00107A79"/>
    <w:rsid w:val="001210A9"/>
    <w:rsid w:val="00125A07"/>
    <w:rsid w:val="001354CC"/>
    <w:rsid w:val="0013642D"/>
    <w:rsid w:val="00140C71"/>
    <w:rsid w:val="0014150F"/>
    <w:rsid w:val="00141C99"/>
    <w:rsid w:val="00144670"/>
    <w:rsid w:val="0014616C"/>
    <w:rsid w:val="00150899"/>
    <w:rsid w:val="00152CB8"/>
    <w:rsid w:val="00154362"/>
    <w:rsid w:val="00156908"/>
    <w:rsid w:val="001743E7"/>
    <w:rsid w:val="0018092B"/>
    <w:rsid w:val="0018660C"/>
    <w:rsid w:val="0019527D"/>
    <w:rsid w:val="0019582B"/>
    <w:rsid w:val="001A4D56"/>
    <w:rsid w:val="001A58BF"/>
    <w:rsid w:val="001A6CB5"/>
    <w:rsid w:val="001A7E4B"/>
    <w:rsid w:val="001A7ED5"/>
    <w:rsid w:val="001B0C28"/>
    <w:rsid w:val="001B3F10"/>
    <w:rsid w:val="001B72A9"/>
    <w:rsid w:val="001C11CF"/>
    <w:rsid w:val="001C2544"/>
    <w:rsid w:val="001C417D"/>
    <w:rsid w:val="001C4328"/>
    <w:rsid w:val="001D1196"/>
    <w:rsid w:val="001D19D8"/>
    <w:rsid w:val="001E2797"/>
    <w:rsid w:val="001E38EF"/>
    <w:rsid w:val="001E7F16"/>
    <w:rsid w:val="001F20EA"/>
    <w:rsid w:val="001F3A47"/>
    <w:rsid w:val="00200B86"/>
    <w:rsid w:val="0020134B"/>
    <w:rsid w:val="0020401C"/>
    <w:rsid w:val="0020402C"/>
    <w:rsid w:val="002044E3"/>
    <w:rsid w:val="00204BF4"/>
    <w:rsid w:val="0021169E"/>
    <w:rsid w:val="00211AC9"/>
    <w:rsid w:val="00212497"/>
    <w:rsid w:val="002239C6"/>
    <w:rsid w:val="002308ED"/>
    <w:rsid w:val="00235C1F"/>
    <w:rsid w:val="002366E2"/>
    <w:rsid w:val="0024302D"/>
    <w:rsid w:val="00246437"/>
    <w:rsid w:val="00252330"/>
    <w:rsid w:val="002533CD"/>
    <w:rsid w:val="00261F80"/>
    <w:rsid w:val="002629A8"/>
    <w:rsid w:val="0026315F"/>
    <w:rsid w:val="002639DB"/>
    <w:rsid w:val="00264240"/>
    <w:rsid w:val="002654F9"/>
    <w:rsid w:val="0026773C"/>
    <w:rsid w:val="00267F76"/>
    <w:rsid w:val="00271A6E"/>
    <w:rsid w:val="0027546B"/>
    <w:rsid w:val="00284176"/>
    <w:rsid w:val="00293240"/>
    <w:rsid w:val="002933E6"/>
    <w:rsid w:val="00297A18"/>
    <w:rsid w:val="002A29B1"/>
    <w:rsid w:val="002C042D"/>
    <w:rsid w:val="002C4595"/>
    <w:rsid w:val="002C4D00"/>
    <w:rsid w:val="002D00C9"/>
    <w:rsid w:val="002D268E"/>
    <w:rsid w:val="002D7D43"/>
    <w:rsid w:val="002D7F0F"/>
    <w:rsid w:val="002F037A"/>
    <w:rsid w:val="003001A2"/>
    <w:rsid w:val="0031046D"/>
    <w:rsid w:val="00310C3C"/>
    <w:rsid w:val="00313642"/>
    <w:rsid w:val="00315AC9"/>
    <w:rsid w:val="00320951"/>
    <w:rsid w:val="00322BBE"/>
    <w:rsid w:val="00326ED5"/>
    <w:rsid w:val="00330629"/>
    <w:rsid w:val="00331970"/>
    <w:rsid w:val="00343A37"/>
    <w:rsid w:val="00345FA9"/>
    <w:rsid w:val="00350C8A"/>
    <w:rsid w:val="003558D9"/>
    <w:rsid w:val="00357C1C"/>
    <w:rsid w:val="00364469"/>
    <w:rsid w:val="00372830"/>
    <w:rsid w:val="003819FF"/>
    <w:rsid w:val="00385C06"/>
    <w:rsid w:val="00386FA2"/>
    <w:rsid w:val="00387E45"/>
    <w:rsid w:val="003A3369"/>
    <w:rsid w:val="003A44A9"/>
    <w:rsid w:val="003B1CE7"/>
    <w:rsid w:val="003B2A21"/>
    <w:rsid w:val="003B7BB6"/>
    <w:rsid w:val="003D3CB2"/>
    <w:rsid w:val="003D518E"/>
    <w:rsid w:val="003E06B4"/>
    <w:rsid w:val="003E09D1"/>
    <w:rsid w:val="003E3617"/>
    <w:rsid w:val="003F0D75"/>
    <w:rsid w:val="0040506D"/>
    <w:rsid w:val="00406260"/>
    <w:rsid w:val="00406AF1"/>
    <w:rsid w:val="0041385B"/>
    <w:rsid w:val="00415BC0"/>
    <w:rsid w:val="004232F9"/>
    <w:rsid w:val="00425E50"/>
    <w:rsid w:val="00440668"/>
    <w:rsid w:val="004421D7"/>
    <w:rsid w:val="00447B83"/>
    <w:rsid w:val="00450475"/>
    <w:rsid w:val="00457882"/>
    <w:rsid w:val="00460B5A"/>
    <w:rsid w:val="0046600E"/>
    <w:rsid w:val="00467E79"/>
    <w:rsid w:val="0047493F"/>
    <w:rsid w:val="00476722"/>
    <w:rsid w:val="00481EEB"/>
    <w:rsid w:val="00490773"/>
    <w:rsid w:val="00495993"/>
    <w:rsid w:val="00496279"/>
    <w:rsid w:val="004A3AAA"/>
    <w:rsid w:val="004A4315"/>
    <w:rsid w:val="004A51F0"/>
    <w:rsid w:val="004A7D95"/>
    <w:rsid w:val="004B5995"/>
    <w:rsid w:val="004B5AC3"/>
    <w:rsid w:val="004C237E"/>
    <w:rsid w:val="004C491E"/>
    <w:rsid w:val="004C63FE"/>
    <w:rsid w:val="004D23C9"/>
    <w:rsid w:val="004D6645"/>
    <w:rsid w:val="004E642A"/>
    <w:rsid w:val="004E7C82"/>
    <w:rsid w:val="004F34F0"/>
    <w:rsid w:val="004F4509"/>
    <w:rsid w:val="004F6651"/>
    <w:rsid w:val="00500EFC"/>
    <w:rsid w:val="00501E2E"/>
    <w:rsid w:val="00503283"/>
    <w:rsid w:val="0051781E"/>
    <w:rsid w:val="00520971"/>
    <w:rsid w:val="005267CB"/>
    <w:rsid w:val="00531869"/>
    <w:rsid w:val="00535405"/>
    <w:rsid w:val="00535B7D"/>
    <w:rsid w:val="005464D1"/>
    <w:rsid w:val="00554FAA"/>
    <w:rsid w:val="00555EAE"/>
    <w:rsid w:val="0056112A"/>
    <w:rsid w:val="00563773"/>
    <w:rsid w:val="005650F2"/>
    <w:rsid w:val="00566820"/>
    <w:rsid w:val="005672CB"/>
    <w:rsid w:val="00576B90"/>
    <w:rsid w:val="00582BAB"/>
    <w:rsid w:val="00587E09"/>
    <w:rsid w:val="00590C13"/>
    <w:rsid w:val="0059175F"/>
    <w:rsid w:val="00593069"/>
    <w:rsid w:val="0059560E"/>
    <w:rsid w:val="00596C25"/>
    <w:rsid w:val="005A01E1"/>
    <w:rsid w:val="005A220A"/>
    <w:rsid w:val="005A50B9"/>
    <w:rsid w:val="005B2C79"/>
    <w:rsid w:val="005C51A1"/>
    <w:rsid w:val="005D2B26"/>
    <w:rsid w:val="005D543F"/>
    <w:rsid w:val="005D7152"/>
    <w:rsid w:val="005E352B"/>
    <w:rsid w:val="005E4484"/>
    <w:rsid w:val="005E7F3A"/>
    <w:rsid w:val="005F61FB"/>
    <w:rsid w:val="00604DC5"/>
    <w:rsid w:val="006067F0"/>
    <w:rsid w:val="00610541"/>
    <w:rsid w:val="00610A43"/>
    <w:rsid w:val="00612296"/>
    <w:rsid w:val="006161E8"/>
    <w:rsid w:val="00623A75"/>
    <w:rsid w:val="0063273A"/>
    <w:rsid w:val="00632D29"/>
    <w:rsid w:val="00632DB3"/>
    <w:rsid w:val="00632EB9"/>
    <w:rsid w:val="00646681"/>
    <w:rsid w:val="00655780"/>
    <w:rsid w:val="00656763"/>
    <w:rsid w:val="00656C96"/>
    <w:rsid w:val="006576C7"/>
    <w:rsid w:val="006665A1"/>
    <w:rsid w:val="006706E8"/>
    <w:rsid w:val="0068783F"/>
    <w:rsid w:val="00696E85"/>
    <w:rsid w:val="006A18C5"/>
    <w:rsid w:val="006A6E9D"/>
    <w:rsid w:val="006C0D9C"/>
    <w:rsid w:val="006C515B"/>
    <w:rsid w:val="006C57A0"/>
    <w:rsid w:val="006D09A7"/>
    <w:rsid w:val="006D71F3"/>
    <w:rsid w:val="006E7F1D"/>
    <w:rsid w:val="006F4DCD"/>
    <w:rsid w:val="00701369"/>
    <w:rsid w:val="00701435"/>
    <w:rsid w:val="00702FF2"/>
    <w:rsid w:val="00703B66"/>
    <w:rsid w:val="00705EAB"/>
    <w:rsid w:val="0071066A"/>
    <w:rsid w:val="00723455"/>
    <w:rsid w:val="00724D6D"/>
    <w:rsid w:val="00734A81"/>
    <w:rsid w:val="0073754C"/>
    <w:rsid w:val="0074716F"/>
    <w:rsid w:val="00753673"/>
    <w:rsid w:val="007540BD"/>
    <w:rsid w:val="00760A17"/>
    <w:rsid w:val="00762205"/>
    <w:rsid w:val="0076323D"/>
    <w:rsid w:val="007830BE"/>
    <w:rsid w:val="007940C9"/>
    <w:rsid w:val="00796312"/>
    <w:rsid w:val="00797062"/>
    <w:rsid w:val="007A4C8B"/>
    <w:rsid w:val="007B1B23"/>
    <w:rsid w:val="007B21FA"/>
    <w:rsid w:val="007B2ADE"/>
    <w:rsid w:val="007B3940"/>
    <w:rsid w:val="007D492E"/>
    <w:rsid w:val="007E0963"/>
    <w:rsid w:val="007E3A3B"/>
    <w:rsid w:val="007E5123"/>
    <w:rsid w:val="007E51F2"/>
    <w:rsid w:val="007E5E97"/>
    <w:rsid w:val="007E7688"/>
    <w:rsid w:val="007F770C"/>
    <w:rsid w:val="00802CB9"/>
    <w:rsid w:val="00806553"/>
    <w:rsid w:val="00807BA4"/>
    <w:rsid w:val="00821133"/>
    <w:rsid w:val="008277B0"/>
    <w:rsid w:val="00832205"/>
    <w:rsid w:val="008407EC"/>
    <w:rsid w:val="0084333E"/>
    <w:rsid w:val="0084379B"/>
    <w:rsid w:val="00844CA9"/>
    <w:rsid w:val="00845435"/>
    <w:rsid w:val="008511CB"/>
    <w:rsid w:val="008559E9"/>
    <w:rsid w:val="00860D2C"/>
    <w:rsid w:val="00861CBA"/>
    <w:rsid w:val="00863B4C"/>
    <w:rsid w:val="008662EB"/>
    <w:rsid w:val="00872AC0"/>
    <w:rsid w:val="008769B9"/>
    <w:rsid w:val="00876EB8"/>
    <w:rsid w:val="00885163"/>
    <w:rsid w:val="00892B13"/>
    <w:rsid w:val="00894ED0"/>
    <w:rsid w:val="008A1C6B"/>
    <w:rsid w:val="008B1B83"/>
    <w:rsid w:val="008B2C0F"/>
    <w:rsid w:val="008B3ADA"/>
    <w:rsid w:val="008B7818"/>
    <w:rsid w:val="008C5F4A"/>
    <w:rsid w:val="008D51A8"/>
    <w:rsid w:val="008D6409"/>
    <w:rsid w:val="008E3990"/>
    <w:rsid w:val="008F272E"/>
    <w:rsid w:val="008F2A32"/>
    <w:rsid w:val="008F6B2B"/>
    <w:rsid w:val="00904365"/>
    <w:rsid w:val="00906916"/>
    <w:rsid w:val="0092514B"/>
    <w:rsid w:val="009264AA"/>
    <w:rsid w:val="009461F0"/>
    <w:rsid w:val="00953E81"/>
    <w:rsid w:val="009601F5"/>
    <w:rsid w:val="00961852"/>
    <w:rsid w:val="00966888"/>
    <w:rsid w:val="00970F21"/>
    <w:rsid w:val="00975F3B"/>
    <w:rsid w:val="0098382A"/>
    <w:rsid w:val="009943CD"/>
    <w:rsid w:val="00994A35"/>
    <w:rsid w:val="00994E91"/>
    <w:rsid w:val="009A03A2"/>
    <w:rsid w:val="009A2133"/>
    <w:rsid w:val="009A29D0"/>
    <w:rsid w:val="009B576B"/>
    <w:rsid w:val="009B7703"/>
    <w:rsid w:val="009C6BB2"/>
    <w:rsid w:val="009D3275"/>
    <w:rsid w:val="009E24C0"/>
    <w:rsid w:val="009E27B6"/>
    <w:rsid w:val="009E302C"/>
    <w:rsid w:val="009E7920"/>
    <w:rsid w:val="009F2E43"/>
    <w:rsid w:val="009F368F"/>
    <w:rsid w:val="009F4367"/>
    <w:rsid w:val="009F7B59"/>
    <w:rsid w:val="00A03CE6"/>
    <w:rsid w:val="00A03E48"/>
    <w:rsid w:val="00A11F5A"/>
    <w:rsid w:val="00A158CB"/>
    <w:rsid w:val="00A306E7"/>
    <w:rsid w:val="00A34B40"/>
    <w:rsid w:val="00A36292"/>
    <w:rsid w:val="00A36D64"/>
    <w:rsid w:val="00A4126A"/>
    <w:rsid w:val="00A5408B"/>
    <w:rsid w:val="00A556CE"/>
    <w:rsid w:val="00A6310A"/>
    <w:rsid w:val="00A63118"/>
    <w:rsid w:val="00A650F7"/>
    <w:rsid w:val="00A67D37"/>
    <w:rsid w:val="00A71C3A"/>
    <w:rsid w:val="00A72DDE"/>
    <w:rsid w:val="00A80104"/>
    <w:rsid w:val="00A857AB"/>
    <w:rsid w:val="00A923E2"/>
    <w:rsid w:val="00A964CE"/>
    <w:rsid w:val="00AB41EF"/>
    <w:rsid w:val="00AC35D6"/>
    <w:rsid w:val="00AD678B"/>
    <w:rsid w:val="00AE14B6"/>
    <w:rsid w:val="00AE5A17"/>
    <w:rsid w:val="00AF41BA"/>
    <w:rsid w:val="00AF5AF6"/>
    <w:rsid w:val="00AF633D"/>
    <w:rsid w:val="00B01302"/>
    <w:rsid w:val="00B03FF9"/>
    <w:rsid w:val="00B12C7E"/>
    <w:rsid w:val="00B13BB6"/>
    <w:rsid w:val="00B15FE2"/>
    <w:rsid w:val="00B213F5"/>
    <w:rsid w:val="00B2565D"/>
    <w:rsid w:val="00B30727"/>
    <w:rsid w:val="00B441D7"/>
    <w:rsid w:val="00B4594B"/>
    <w:rsid w:val="00B520BA"/>
    <w:rsid w:val="00B734BB"/>
    <w:rsid w:val="00B7585A"/>
    <w:rsid w:val="00B77447"/>
    <w:rsid w:val="00B77950"/>
    <w:rsid w:val="00B80700"/>
    <w:rsid w:val="00B86940"/>
    <w:rsid w:val="00B90A33"/>
    <w:rsid w:val="00B91712"/>
    <w:rsid w:val="00B91D48"/>
    <w:rsid w:val="00B932C3"/>
    <w:rsid w:val="00B966C4"/>
    <w:rsid w:val="00BA7059"/>
    <w:rsid w:val="00BA7A22"/>
    <w:rsid w:val="00BB40C8"/>
    <w:rsid w:val="00BB6985"/>
    <w:rsid w:val="00BC2AD1"/>
    <w:rsid w:val="00BC4870"/>
    <w:rsid w:val="00BC6602"/>
    <w:rsid w:val="00BD787B"/>
    <w:rsid w:val="00BE0CE4"/>
    <w:rsid w:val="00BE4B4C"/>
    <w:rsid w:val="00BE7D68"/>
    <w:rsid w:val="00BF585E"/>
    <w:rsid w:val="00C007D3"/>
    <w:rsid w:val="00C03ED1"/>
    <w:rsid w:val="00C1278F"/>
    <w:rsid w:val="00C21584"/>
    <w:rsid w:val="00C26117"/>
    <w:rsid w:val="00C3559B"/>
    <w:rsid w:val="00C35CB2"/>
    <w:rsid w:val="00C37350"/>
    <w:rsid w:val="00C41BBD"/>
    <w:rsid w:val="00C44620"/>
    <w:rsid w:val="00C460A2"/>
    <w:rsid w:val="00C57362"/>
    <w:rsid w:val="00C57CA7"/>
    <w:rsid w:val="00C617FE"/>
    <w:rsid w:val="00C6202B"/>
    <w:rsid w:val="00C63CC4"/>
    <w:rsid w:val="00C64F3D"/>
    <w:rsid w:val="00C7051E"/>
    <w:rsid w:val="00C70BEA"/>
    <w:rsid w:val="00C71B04"/>
    <w:rsid w:val="00C766CC"/>
    <w:rsid w:val="00C76B7D"/>
    <w:rsid w:val="00C8406C"/>
    <w:rsid w:val="00C87AAA"/>
    <w:rsid w:val="00CA6429"/>
    <w:rsid w:val="00CA7D10"/>
    <w:rsid w:val="00CB5C14"/>
    <w:rsid w:val="00CC2723"/>
    <w:rsid w:val="00CC6892"/>
    <w:rsid w:val="00CD31FE"/>
    <w:rsid w:val="00CD4F1D"/>
    <w:rsid w:val="00CE1EC6"/>
    <w:rsid w:val="00CE2AE9"/>
    <w:rsid w:val="00CE5201"/>
    <w:rsid w:val="00CF760D"/>
    <w:rsid w:val="00D008ED"/>
    <w:rsid w:val="00D01EDA"/>
    <w:rsid w:val="00D16472"/>
    <w:rsid w:val="00D16D7D"/>
    <w:rsid w:val="00D321C9"/>
    <w:rsid w:val="00D37FC2"/>
    <w:rsid w:val="00D86DFF"/>
    <w:rsid w:val="00D922CF"/>
    <w:rsid w:val="00D951B4"/>
    <w:rsid w:val="00D95726"/>
    <w:rsid w:val="00DA6734"/>
    <w:rsid w:val="00DB02E0"/>
    <w:rsid w:val="00DB050E"/>
    <w:rsid w:val="00DB08EA"/>
    <w:rsid w:val="00DB56B3"/>
    <w:rsid w:val="00DE24BE"/>
    <w:rsid w:val="00DE5B21"/>
    <w:rsid w:val="00DE7479"/>
    <w:rsid w:val="00DF2F94"/>
    <w:rsid w:val="00E24779"/>
    <w:rsid w:val="00E26EAA"/>
    <w:rsid w:val="00E30FCA"/>
    <w:rsid w:val="00E36157"/>
    <w:rsid w:val="00E36F97"/>
    <w:rsid w:val="00E42057"/>
    <w:rsid w:val="00E60737"/>
    <w:rsid w:val="00E62BEE"/>
    <w:rsid w:val="00E63075"/>
    <w:rsid w:val="00E644BF"/>
    <w:rsid w:val="00E73A40"/>
    <w:rsid w:val="00E81697"/>
    <w:rsid w:val="00E86D6D"/>
    <w:rsid w:val="00E928D4"/>
    <w:rsid w:val="00E9366A"/>
    <w:rsid w:val="00E94852"/>
    <w:rsid w:val="00EA4D25"/>
    <w:rsid w:val="00EA576F"/>
    <w:rsid w:val="00EB0255"/>
    <w:rsid w:val="00EB3838"/>
    <w:rsid w:val="00EB4C77"/>
    <w:rsid w:val="00EC2095"/>
    <w:rsid w:val="00EC5E51"/>
    <w:rsid w:val="00ED48AE"/>
    <w:rsid w:val="00EE4698"/>
    <w:rsid w:val="00EE65A7"/>
    <w:rsid w:val="00EF48EC"/>
    <w:rsid w:val="00EF6016"/>
    <w:rsid w:val="00F05E03"/>
    <w:rsid w:val="00F2061A"/>
    <w:rsid w:val="00F225F8"/>
    <w:rsid w:val="00F30057"/>
    <w:rsid w:val="00F34750"/>
    <w:rsid w:val="00F35E86"/>
    <w:rsid w:val="00F47B3A"/>
    <w:rsid w:val="00F602C8"/>
    <w:rsid w:val="00F62A71"/>
    <w:rsid w:val="00F7168A"/>
    <w:rsid w:val="00F77228"/>
    <w:rsid w:val="00F84AD8"/>
    <w:rsid w:val="00F90567"/>
    <w:rsid w:val="00F91352"/>
    <w:rsid w:val="00F922ED"/>
    <w:rsid w:val="00F92892"/>
    <w:rsid w:val="00FA4839"/>
    <w:rsid w:val="00FB7ADE"/>
    <w:rsid w:val="00FC0FB5"/>
    <w:rsid w:val="00FC164F"/>
    <w:rsid w:val="00FD2036"/>
    <w:rsid w:val="00FD3EBC"/>
    <w:rsid w:val="00FD4993"/>
    <w:rsid w:val="00FE0390"/>
    <w:rsid w:val="00FE45B3"/>
    <w:rsid w:val="00FE4C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79"/>
    <w:pPr>
      <w:suppressAutoHyphens/>
      <w:spacing w:line="260" w:lineRule="atLeast"/>
    </w:pPr>
    <w:rPr>
      <w:rFonts w:ascii="Georgia" w:hAnsi="Georgia"/>
      <w:szCs w:val="24"/>
    </w:rPr>
  </w:style>
  <w:style w:type="paragraph" w:styleId="Overskrift1">
    <w:name w:val="heading 1"/>
    <w:basedOn w:val="Normal"/>
    <w:next w:val="Normal"/>
    <w:qFormat/>
    <w:rsid w:val="00DE7479"/>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629A8"/>
    <w:pPr>
      <w:tabs>
        <w:tab w:val="center" w:pos="4819"/>
        <w:tab w:val="right" w:pos="9638"/>
      </w:tabs>
    </w:pPr>
  </w:style>
  <w:style w:type="paragraph" w:styleId="Sidefod">
    <w:name w:val="footer"/>
    <w:basedOn w:val="Normal"/>
    <w:link w:val="SidefodTegn"/>
    <w:rsid w:val="00DE7479"/>
    <w:pPr>
      <w:tabs>
        <w:tab w:val="center" w:pos="4819"/>
        <w:tab w:val="right" w:pos="9638"/>
      </w:tabs>
      <w:spacing w:line="168" w:lineRule="atLeast"/>
    </w:pPr>
    <w:rPr>
      <w:sz w:val="14"/>
    </w:rPr>
  </w:style>
  <w:style w:type="character" w:styleId="Sidetal">
    <w:name w:val="page number"/>
    <w:basedOn w:val="Standardskrifttypeiafsnit"/>
    <w:rsid w:val="00E94852"/>
  </w:style>
  <w:style w:type="table" w:styleId="Tabel-Gitter">
    <w:name w:val="Table Grid"/>
    <w:basedOn w:val="Tabel-Normal"/>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rsid w:val="000A7219"/>
    <w:rPr>
      <w:rFonts w:ascii="Arial" w:hAnsi="Arial"/>
      <w:sz w:val="22"/>
      <w:vertAlign w:val="superscript"/>
      <w:lang w:val="da-DK"/>
    </w:rPr>
  </w:style>
  <w:style w:type="paragraph" w:styleId="Fodnotetekst">
    <w:name w:val="footnote text"/>
    <w:basedOn w:val="Normal"/>
    <w:link w:val="FodnotetekstTegn"/>
    <w:uiPriority w:val="99"/>
    <w:rsid w:val="000A7219"/>
    <w:rPr>
      <w:sz w:val="18"/>
      <w:szCs w:val="20"/>
    </w:rPr>
  </w:style>
  <w:style w:type="character" w:customStyle="1" w:styleId="ForklarendeTekst">
    <w:name w:val="ForklarendeTekst"/>
    <w:basedOn w:val="Standardskrifttypeiafsnit"/>
    <w:rsid w:val="00DE7479"/>
    <w:rPr>
      <w:rFonts w:ascii="Georgia" w:hAnsi="Georgia"/>
      <w:i/>
      <w:color w:val="FF0000"/>
      <w:sz w:val="18"/>
      <w:u w:val="none"/>
    </w:rPr>
  </w:style>
  <w:style w:type="paragraph" w:customStyle="1" w:styleId="Forklaring">
    <w:name w:val="Forklaring"/>
    <w:basedOn w:val="Normal"/>
    <w:rsid w:val="00DE7479"/>
    <w:rPr>
      <w:i/>
      <w:color w:val="FF0000"/>
    </w:rPr>
  </w:style>
  <w:style w:type="paragraph" w:styleId="Markeringsbobletekst">
    <w:name w:val="Balloon Text"/>
    <w:basedOn w:val="Normal"/>
    <w:link w:val="MarkeringsbobletekstTegn"/>
    <w:semiHidden/>
    <w:unhideWhenUsed/>
    <w:rsid w:val="00B12C7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B12C7E"/>
    <w:rPr>
      <w:rFonts w:ascii="Tahoma" w:hAnsi="Tahoma" w:cs="Tahoma"/>
      <w:sz w:val="16"/>
      <w:szCs w:val="16"/>
    </w:rPr>
  </w:style>
  <w:style w:type="character" w:styleId="Hyperlink">
    <w:name w:val="Hyperlink"/>
    <w:basedOn w:val="Standardskrifttypeiafsnit"/>
    <w:uiPriority w:val="99"/>
    <w:unhideWhenUsed/>
    <w:rsid w:val="003B7BB6"/>
    <w:rPr>
      <w:color w:val="0000FF" w:themeColor="hyperlink"/>
      <w:u w:val="single"/>
    </w:rPr>
  </w:style>
  <w:style w:type="paragraph" w:customStyle="1" w:styleId="NavnAdr1">
    <w:name w:val=".NavnAdr 1"/>
    <w:basedOn w:val="Normal"/>
    <w:rsid w:val="00797062"/>
    <w:pPr>
      <w:tabs>
        <w:tab w:val="left" w:pos="340"/>
      </w:tabs>
      <w:suppressAutoHyphens w:val="0"/>
      <w:overflowPunct w:val="0"/>
      <w:autoSpaceDE w:val="0"/>
      <w:autoSpaceDN w:val="0"/>
      <w:adjustRightInd w:val="0"/>
      <w:spacing w:line="240" w:lineRule="auto"/>
      <w:textAlignment w:val="baseline"/>
    </w:pPr>
    <w:rPr>
      <w:rFonts w:ascii="Times New Roman" w:hAnsi="Times New Roman"/>
      <w:color w:val="000000"/>
      <w:sz w:val="18"/>
      <w:szCs w:val="20"/>
      <w:lang w:eastAsia="en-US"/>
    </w:rPr>
  </w:style>
  <w:style w:type="character" w:customStyle="1" w:styleId="SidefodTegn">
    <w:name w:val="Sidefod Tegn"/>
    <w:basedOn w:val="Standardskrifttypeiafsnit"/>
    <w:link w:val="Sidefod"/>
    <w:rsid w:val="00E86D6D"/>
    <w:rPr>
      <w:rFonts w:ascii="Georgia" w:hAnsi="Georgia"/>
      <w:sz w:val="14"/>
      <w:szCs w:val="24"/>
    </w:rPr>
  </w:style>
  <w:style w:type="character" w:customStyle="1" w:styleId="FodnotetekstTegn">
    <w:name w:val="Fodnotetekst Tegn"/>
    <w:basedOn w:val="Standardskrifttypeiafsnit"/>
    <w:link w:val="Fodnotetekst"/>
    <w:uiPriority w:val="99"/>
    <w:locked/>
    <w:rsid w:val="00CA7D10"/>
    <w:rPr>
      <w:rFonts w:ascii="Georgia" w:hAnsi="Georgia"/>
      <w:sz w:val="18"/>
    </w:rPr>
  </w:style>
  <w:style w:type="paragraph" w:customStyle="1" w:styleId="Default">
    <w:name w:val="Default"/>
    <w:rsid w:val="00CA7D10"/>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E9366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E9366A"/>
    <w:pPr>
      <w:widowControl w:val="0"/>
      <w:suppressAutoHyphens w:val="0"/>
      <w:spacing w:line="240" w:lineRule="auto"/>
      <w:ind w:left="119"/>
    </w:pPr>
    <w:rPr>
      <w:rFonts w:ascii="Calibri" w:eastAsia="Calibri" w:hAnsi="Calibri" w:cstheme="minorBidi"/>
      <w:szCs w:val="20"/>
      <w:lang w:val="en-US" w:eastAsia="en-US"/>
    </w:rPr>
  </w:style>
  <w:style w:type="character" w:customStyle="1" w:styleId="BrdtekstTegn">
    <w:name w:val="Brødtekst Tegn"/>
    <w:basedOn w:val="Standardskrifttypeiafsnit"/>
    <w:link w:val="Brdtekst"/>
    <w:uiPriority w:val="1"/>
    <w:rsid w:val="00E9366A"/>
    <w:rPr>
      <w:rFonts w:ascii="Calibri" w:eastAsia="Calibri" w:hAnsi="Calibri" w:cstheme="minorBidi"/>
      <w:lang w:val="en-US" w:eastAsia="en-US"/>
    </w:rPr>
  </w:style>
  <w:style w:type="paragraph" w:customStyle="1" w:styleId="TableParagraph">
    <w:name w:val="Table Paragraph"/>
    <w:basedOn w:val="Normal"/>
    <w:uiPriority w:val="1"/>
    <w:qFormat/>
    <w:rsid w:val="00E9366A"/>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Listeafsnit">
    <w:name w:val="List Paragraph"/>
    <w:basedOn w:val="Normal"/>
    <w:uiPriority w:val="34"/>
    <w:qFormat/>
    <w:rsid w:val="00A857AB"/>
    <w:pPr>
      <w:ind w:left="720"/>
      <w:contextualSpacing/>
    </w:pPr>
  </w:style>
  <w:style w:type="character" w:styleId="Kommentarhenvisning">
    <w:name w:val="annotation reference"/>
    <w:basedOn w:val="Standardskrifttypeiafsnit"/>
    <w:uiPriority w:val="99"/>
    <w:unhideWhenUsed/>
    <w:rsid w:val="00BC2AD1"/>
    <w:rPr>
      <w:sz w:val="16"/>
      <w:szCs w:val="16"/>
    </w:rPr>
  </w:style>
  <w:style w:type="paragraph" w:styleId="Kommentartekst">
    <w:name w:val="annotation text"/>
    <w:basedOn w:val="Normal"/>
    <w:link w:val="KommentartekstTegn"/>
    <w:uiPriority w:val="99"/>
    <w:unhideWhenUsed/>
    <w:rsid w:val="00BC2AD1"/>
    <w:pPr>
      <w:spacing w:line="240" w:lineRule="auto"/>
    </w:pPr>
    <w:rPr>
      <w:szCs w:val="20"/>
    </w:rPr>
  </w:style>
  <w:style w:type="character" w:customStyle="1" w:styleId="KommentartekstTegn">
    <w:name w:val="Kommentartekst Tegn"/>
    <w:basedOn w:val="Standardskrifttypeiafsnit"/>
    <w:link w:val="Kommentartekst"/>
    <w:uiPriority w:val="99"/>
    <w:rsid w:val="00BC2AD1"/>
    <w:rPr>
      <w:rFonts w:ascii="Georgia" w:hAnsi="Georgia"/>
    </w:rPr>
  </w:style>
  <w:style w:type="paragraph" w:styleId="Kommentaremne">
    <w:name w:val="annotation subject"/>
    <w:basedOn w:val="Kommentartekst"/>
    <w:next w:val="Kommentartekst"/>
    <w:link w:val="KommentaremneTegn"/>
    <w:semiHidden/>
    <w:unhideWhenUsed/>
    <w:rsid w:val="00BC2AD1"/>
    <w:rPr>
      <w:b/>
      <w:bCs/>
    </w:rPr>
  </w:style>
  <w:style w:type="character" w:customStyle="1" w:styleId="KommentaremneTegn">
    <w:name w:val="Kommentaremne Tegn"/>
    <w:basedOn w:val="KommentartekstTegn"/>
    <w:link w:val="Kommentaremne"/>
    <w:semiHidden/>
    <w:rsid w:val="00BC2AD1"/>
    <w:rPr>
      <w:rFonts w:ascii="Georgia" w:hAnsi="Georgia"/>
      <w:b/>
      <w:bCs/>
    </w:rPr>
  </w:style>
  <w:style w:type="paragraph" w:styleId="NormalWeb">
    <w:name w:val="Normal (Web)"/>
    <w:basedOn w:val="Normal"/>
    <w:uiPriority w:val="99"/>
    <w:semiHidden/>
    <w:unhideWhenUsed/>
    <w:rsid w:val="00496279"/>
    <w:pPr>
      <w:suppressAutoHyphens w:val="0"/>
      <w:spacing w:before="100" w:beforeAutospacing="1" w:after="100" w:afterAutospacing="1" w:line="240" w:lineRule="auto"/>
    </w:pPr>
    <w:rPr>
      <w:rFonts w:ascii="Times New Roman" w:hAnsi="Times New Roman"/>
      <w:sz w:val="24"/>
    </w:rPr>
  </w:style>
  <w:style w:type="paragraph" w:styleId="Opstilling-punkttegn">
    <w:name w:val="List Bullet"/>
    <w:basedOn w:val="Normal"/>
    <w:unhideWhenUsed/>
    <w:rsid w:val="007A4C8B"/>
    <w:pPr>
      <w:numPr>
        <w:numId w:val="1"/>
      </w:numPr>
      <w:contextualSpacing/>
    </w:pPr>
  </w:style>
  <w:style w:type="paragraph" w:styleId="Opstilling-talellerbogst">
    <w:name w:val="List Number"/>
    <w:basedOn w:val="Normal"/>
    <w:rsid w:val="00A4126A"/>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79"/>
    <w:pPr>
      <w:suppressAutoHyphens/>
      <w:spacing w:line="260" w:lineRule="atLeast"/>
    </w:pPr>
    <w:rPr>
      <w:rFonts w:ascii="Georgia" w:hAnsi="Georgia"/>
      <w:szCs w:val="24"/>
    </w:rPr>
  </w:style>
  <w:style w:type="paragraph" w:styleId="Overskrift1">
    <w:name w:val="heading 1"/>
    <w:basedOn w:val="Normal"/>
    <w:next w:val="Normal"/>
    <w:qFormat/>
    <w:rsid w:val="00DE7479"/>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629A8"/>
    <w:pPr>
      <w:tabs>
        <w:tab w:val="center" w:pos="4819"/>
        <w:tab w:val="right" w:pos="9638"/>
      </w:tabs>
    </w:pPr>
  </w:style>
  <w:style w:type="paragraph" w:styleId="Sidefod">
    <w:name w:val="footer"/>
    <w:basedOn w:val="Normal"/>
    <w:link w:val="SidefodTegn"/>
    <w:rsid w:val="00DE7479"/>
    <w:pPr>
      <w:tabs>
        <w:tab w:val="center" w:pos="4819"/>
        <w:tab w:val="right" w:pos="9638"/>
      </w:tabs>
      <w:spacing w:line="168" w:lineRule="atLeast"/>
    </w:pPr>
    <w:rPr>
      <w:sz w:val="14"/>
    </w:rPr>
  </w:style>
  <w:style w:type="character" w:styleId="Sidetal">
    <w:name w:val="page number"/>
    <w:basedOn w:val="Standardskrifttypeiafsnit"/>
    <w:rsid w:val="00E94852"/>
  </w:style>
  <w:style w:type="table" w:styleId="Tabel-Gitter">
    <w:name w:val="Table Grid"/>
    <w:basedOn w:val="Tabel-Normal"/>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rsid w:val="000A7219"/>
    <w:rPr>
      <w:rFonts w:ascii="Arial" w:hAnsi="Arial"/>
      <w:sz w:val="22"/>
      <w:vertAlign w:val="superscript"/>
      <w:lang w:val="da-DK"/>
    </w:rPr>
  </w:style>
  <w:style w:type="paragraph" w:styleId="Fodnotetekst">
    <w:name w:val="footnote text"/>
    <w:basedOn w:val="Normal"/>
    <w:link w:val="FodnotetekstTegn"/>
    <w:uiPriority w:val="99"/>
    <w:rsid w:val="000A7219"/>
    <w:rPr>
      <w:sz w:val="18"/>
      <w:szCs w:val="20"/>
    </w:rPr>
  </w:style>
  <w:style w:type="character" w:customStyle="1" w:styleId="ForklarendeTekst">
    <w:name w:val="ForklarendeTekst"/>
    <w:basedOn w:val="Standardskrifttypeiafsnit"/>
    <w:rsid w:val="00DE7479"/>
    <w:rPr>
      <w:rFonts w:ascii="Georgia" w:hAnsi="Georgia"/>
      <w:i/>
      <w:color w:val="FF0000"/>
      <w:sz w:val="18"/>
      <w:u w:val="none"/>
    </w:rPr>
  </w:style>
  <w:style w:type="paragraph" w:customStyle="1" w:styleId="Forklaring">
    <w:name w:val="Forklaring"/>
    <w:basedOn w:val="Normal"/>
    <w:rsid w:val="00DE7479"/>
    <w:rPr>
      <w:i/>
      <w:color w:val="FF0000"/>
    </w:rPr>
  </w:style>
  <w:style w:type="paragraph" w:styleId="Markeringsbobletekst">
    <w:name w:val="Balloon Text"/>
    <w:basedOn w:val="Normal"/>
    <w:link w:val="MarkeringsbobletekstTegn"/>
    <w:semiHidden/>
    <w:unhideWhenUsed/>
    <w:rsid w:val="00B12C7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B12C7E"/>
    <w:rPr>
      <w:rFonts w:ascii="Tahoma" w:hAnsi="Tahoma" w:cs="Tahoma"/>
      <w:sz w:val="16"/>
      <w:szCs w:val="16"/>
    </w:rPr>
  </w:style>
  <w:style w:type="character" w:styleId="Hyperlink">
    <w:name w:val="Hyperlink"/>
    <w:basedOn w:val="Standardskrifttypeiafsnit"/>
    <w:uiPriority w:val="99"/>
    <w:unhideWhenUsed/>
    <w:rsid w:val="003B7BB6"/>
    <w:rPr>
      <w:color w:val="0000FF" w:themeColor="hyperlink"/>
      <w:u w:val="single"/>
    </w:rPr>
  </w:style>
  <w:style w:type="paragraph" w:customStyle="1" w:styleId="NavnAdr1">
    <w:name w:val=".NavnAdr 1"/>
    <w:basedOn w:val="Normal"/>
    <w:rsid w:val="00797062"/>
    <w:pPr>
      <w:tabs>
        <w:tab w:val="left" w:pos="340"/>
      </w:tabs>
      <w:suppressAutoHyphens w:val="0"/>
      <w:overflowPunct w:val="0"/>
      <w:autoSpaceDE w:val="0"/>
      <w:autoSpaceDN w:val="0"/>
      <w:adjustRightInd w:val="0"/>
      <w:spacing w:line="240" w:lineRule="auto"/>
      <w:textAlignment w:val="baseline"/>
    </w:pPr>
    <w:rPr>
      <w:rFonts w:ascii="Times New Roman" w:hAnsi="Times New Roman"/>
      <w:color w:val="000000"/>
      <w:sz w:val="18"/>
      <w:szCs w:val="20"/>
      <w:lang w:eastAsia="en-US"/>
    </w:rPr>
  </w:style>
  <w:style w:type="character" w:customStyle="1" w:styleId="SidefodTegn">
    <w:name w:val="Sidefod Tegn"/>
    <w:basedOn w:val="Standardskrifttypeiafsnit"/>
    <w:link w:val="Sidefod"/>
    <w:rsid w:val="00E86D6D"/>
    <w:rPr>
      <w:rFonts w:ascii="Georgia" w:hAnsi="Georgia"/>
      <w:sz w:val="14"/>
      <w:szCs w:val="24"/>
    </w:rPr>
  </w:style>
  <w:style w:type="character" w:customStyle="1" w:styleId="FodnotetekstTegn">
    <w:name w:val="Fodnotetekst Tegn"/>
    <w:basedOn w:val="Standardskrifttypeiafsnit"/>
    <w:link w:val="Fodnotetekst"/>
    <w:uiPriority w:val="99"/>
    <w:locked/>
    <w:rsid w:val="00CA7D10"/>
    <w:rPr>
      <w:rFonts w:ascii="Georgia" w:hAnsi="Georgia"/>
      <w:sz w:val="18"/>
    </w:rPr>
  </w:style>
  <w:style w:type="paragraph" w:customStyle="1" w:styleId="Default">
    <w:name w:val="Default"/>
    <w:rsid w:val="00CA7D10"/>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E9366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E9366A"/>
    <w:pPr>
      <w:widowControl w:val="0"/>
      <w:suppressAutoHyphens w:val="0"/>
      <w:spacing w:line="240" w:lineRule="auto"/>
      <w:ind w:left="119"/>
    </w:pPr>
    <w:rPr>
      <w:rFonts w:ascii="Calibri" w:eastAsia="Calibri" w:hAnsi="Calibri" w:cstheme="minorBidi"/>
      <w:szCs w:val="20"/>
      <w:lang w:val="en-US" w:eastAsia="en-US"/>
    </w:rPr>
  </w:style>
  <w:style w:type="character" w:customStyle="1" w:styleId="BrdtekstTegn">
    <w:name w:val="Brødtekst Tegn"/>
    <w:basedOn w:val="Standardskrifttypeiafsnit"/>
    <w:link w:val="Brdtekst"/>
    <w:uiPriority w:val="1"/>
    <w:rsid w:val="00E9366A"/>
    <w:rPr>
      <w:rFonts w:ascii="Calibri" w:eastAsia="Calibri" w:hAnsi="Calibri" w:cstheme="minorBidi"/>
      <w:lang w:val="en-US" w:eastAsia="en-US"/>
    </w:rPr>
  </w:style>
  <w:style w:type="paragraph" w:customStyle="1" w:styleId="TableParagraph">
    <w:name w:val="Table Paragraph"/>
    <w:basedOn w:val="Normal"/>
    <w:uiPriority w:val="1"/>
    <w:qFormat/>
    <w:rsid w:val="00E9366A"/>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Listeafsnit">
    <w:name w:val="List Paragraph"/>
    <w:basedOn w:val="Normal"/>
    <w:uiPriority w:val="34"/>
    <w:qFormat/>
    <w:rsid w:val="00A857AB"/>
    <w:pPr>
      <w:ind w:left="720"/>
      <w:contextualSpacing/>
    </w:pPr>
  </w:style>
  <w:style w:type="character" w:styleId="Kommentarhenvisning">
    <w:name w:val="annotation reference"/>
    <w:basedOn w:val="Standardskrifttypeiafsnit"/>
    <w:uiPriority w:val="99"/>
    <w:unhideWhenUsed/>
    <w:rsid w:val="00BC2AD1"/>
    <w:rPr>
      <w:sz w:val="16"/>
      <w:szCs w:val="16"/>
    </w:rPr>
  </w:style>
  <w:style w:type="paragraph" w:styleId="Kommentartekst">
    <w:name w:val="annotation text"/>
    <w:basedOn w:val="Normal"/>
    <w:link w:val="KommentartekstTegn"/>
    <w:uiPriority w:val="99"/>
    <w:unhideWhenUsed/>
    <w:rsid w:val="00BC2AD1"/>
    <w:pPr>
      <w:spacing w:line="240" w:lineRule="auto"/>
    </w:pPr>
    <w:rPr>
      <w:szCs w:val="20"/>
    </w:rPr>
  </w:style>
  <w:style w:type="character" w:customStyle="1" w:styleId="KommentartekstTegn">
    <w:name w:val="Kommentartekst Tegn"/>
    <w:basedOn w:val="Standardskrifttypeiafsnit"/>
    <w:link w:val="Kommentartekst"/>
    <w:uiPriority w:val="99"/>
    <w:rsid w:val="00BC2AD1"/>
    <w:rPr>
      <w:rFonts w:ascii="Georgia" w:hAnsi="Georgia"/>
    </w:rPr>
  </w:style>
  <w:style w:type="paragraph" w:styleId="Kommentaremne">
    <w:name w:val="annotation subject"/>
    <w:basedOn w:val="Kommentartekst"/>
    <w:next w:val="Kommentartekst"/>
    <w:link w:val="KommentaremneTegn"/>
    <w:semiHidden/>
    <w:unhideWhenUsed/>
    <w:rsid w:val="00BC2AD1"/>
    <w:rPr>
      <w:b/>
      <w:bCs/>
    </w:rPr>
  </w:style>
  <w:style w:type="character" w:customStyle="1" w:styleId="KommentaremneTegn">
    <w:name w:val="Kommentaremne Tegn"/>
    <w:basedOn w:val="KommentartekstTegn"/>
    <w:link w:val="Kommentaremne"/>
    <w:semiHidden/>
    <w:rsid w:val="00BC2AD1"/>
    <w:rPr>
      <w:rFonts w:ascii="Georgia" w:hAnsi="Georgia"/>
      <w:b/>
      <w:bCs/>
    </w:rPr>
  </w:style>
  <w:style w:type="paragraph" w:styleId="NormalWeb">
    <w:name w:val="Normal (Web)"/>
    <w:basedOn w:val="Normal"/>
    <w:uiPriority w:val="99"/>
    <w:semiHidden/>
    <w:unhideWhenUsed/>
    <w:rsid w:val="00496279"/>
    <w:pPr>
      <w:suppressAutoHyphens w:val="0"/>
      <w:spacing w:before="100" w:beforeAutospacing="1" w:after="100" w:afterAutospacing="1" w:line="240" w:lineRule="auto"/>
    </w:pPr>
    <w:rPr>
      <w:rFonts w:ascii="Times New Roman" w:hAnsi="Times New Roman"/>
      <w:sz w:val="24"/>
    </w:rPr>
  </w:style>
  <w:style w:type="paragraph" w:styleId="Opstilling-punkttegn">
    <w:name w:val="List Bullet"/>
    <w:basedOn w:val="Normal"/>
    <w:unhideWhenUsed/>
    <w:rsid w:val="007A4C8B"/>
    <w:pPr>
      <w:numPr>
        <w:numId w:val="1"/>
      </w:numPr>
      <w:contextualSpacing/>
    </w:pPr>
  </w:style>
  <w:style w:type="paragraph" w:styleId="Opstilling-talellerbogst">
    <w:name w:val="List Number"/>
    <w:basedOn w:val="Normal"/>
    <w:rsid w:val="00A4126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50720">
      <w:bodyDiv w:val="1"/>
      <w:marLeft w:val="0"/>
      <w:marRight w:val="0"/>
      <w:marTop w:val="0"/>
      <w:marBottom w:val="0"/>
      <w:divBdr>
        <w:top w:val="none" w:sz="0" w:space="0" w:color="auto"/>
        <w:left w:val="none" w:sz="0" w:space="0" w:color="auto"/>
        <w:bottom w:val="none" w:sz="0" w:space="0" w:color="auto"/>
        <w:right w:val="none" w:sz="0" w:space="0" w:color="auto"/>
      </w:divBdr>
    </w:div>
    <w:div w:id="261228499">
      <w:bodyDiv w:val="1"/>
      <w:marLeft w:val="0"/>
      <w:marRight w:val="0"/>
      <w:marTop w:val="0"/>
      <w:marBottom w:val="0"/>
      <w:divBdr>
        <w:top w:val="none" w:sz="0" w:space="0" w:color="auto"/>
        <w:left w:val="none" w:sz="0" w:space="0" w:color="auto"/>
        <w:bottom w:val="none" w:sz="0" w:space="0" w:color="auto"/>
        <w:right w:val="none" w:sz="0" w:space="0" w:color="auto"/>
      </w:divBdr>
    </w:div>
    <w:div w:id="1381399994">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lundborg@kalundborg.d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mst.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r@friluftsraadet.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f-lab.dk/wp-content/uploads/2016/01/2015-78-Beregning-af-SO2-emission-fra-fyringsanl%C3%A6g-1.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n@dn.dk" TargetMode="External"/><Relationship Id="rId23" Type="http://schemas.openxmlformats.org/officeDocument/2006/relationships/fontTable" Target="fontTable.xml"/><Relationship Id="rId10" Type="http://schemas.openxmlformats.org/officeDocument/2006/relationships/image" Target="cid:image001.png@01D0E0C3.55717D9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eost@sst.d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ut\AppData\Local\Milj&#248;ministeriet\Skabeloner\Almindeligt%20bre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2B81-B93C-4A67-8036-861AD582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Almindeligt brev.dotx</Template>
  <TotalTime>5834</TotalTime>
  <Pages>10</Pages>
  <Words>3175</Words>
  <Characters>19204</Characters>
  <Application>Microsoft Office Word</Application>
  <DocSecurity>0</DocSecurity>
  <Lines>600</Lines>
  <Paragraphs>243</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
  <cp:lastModifiedBy>Kirsten Grahn Nielsen</cp:lastModifiedBy>
  <cp:revision>10</cp:revision>
  <cp:lastPrinted>2005-05-20T12:11:00Z</cp:lastPrinted>
  <dcterms:created xsi:type="dcterms:W3CDTF">2016-02-15T09:19:00Z</dcterms:created>
  <dcterms:modified xsi:type="dcterms:W3CDTF">2016-07-04T12:50:00Z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path">
    <vt:lpwstr>C:\Users\B004738\AppData\Local\Temp\Scanjour\Captia\SJ20160704124956475 [DOK4906253].DOCX</vt:lpwstr>
  </property>
  <property fmtid="{D5CDD505-2E9C-101B-9397-08002B2CF9AE}" pid="6" name="title">
    <vt:lpwstr>Påbud om nye vilkår for luftemissioner og for egenkontrol (DOK4906253)</vt:lpwstr>
  </property>
  <property fmtid="{D5CDD505-2E9C-101B-9397-08002B2CF9AE}" pid="7" name="ContentRemapped">
    <vt:lpwstr>true</vt:lpwstr>
  </property>
  <property fmtid="{D5CDD505-2E9C-101B-9397-08002B2CF9AE}" pid="8" name="command">
    <vt:lpwstr/>
  </property>
</Properties>
</file>