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583" w14:textId="77777777" w:rsidR="00B825C0" w:rsidRPr="00124F3D" w:rsidRDefault="00B825C0" w:rsidP="00B825C0">
      <w:pPr>
        <w:pStyle w:val="SB-brev-normal"/>
        <w:rPr>
          <w:szCs w:val="20"/>
        </w:rPr>
      </w:pPr>
    </w:p>
    <w:p w14:paraId="13C0FEE9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6DFFEC96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0E241C53" w14:textId="77777777" w:rsidR="005324EF" w:rsidRDefault="005324EF" w:rsidP="005324EF">
      <w:pPr>
        <w:pStyle w:val="SB-brev-normal"/>
        <w:rPr>
          <w:b/>
          <w:szCs w:val="20"/>
        </w:rPr>
      </w:pPr>
    </w:p>
    <w:p w14:paraId="1A5F49F0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034AC257" w14:textId="77777777" w:rsidTr="00B8412B">
        <w:tc>
          <w:tcPr>
            <w:tcW w:w="2552" w:type="dxa"/>
          </w:tcPr>
          <w:p w14:paraId="54A42EFD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39AB7F98" w14:textId="77777777" w:rsidR="000718ED" w:rsidRPr="00C3442A" w:rsidRDefault="005D64FA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proofErr w:type="spellStart"/>
            <w:r>
              <w:rPr>
                <w:szCs w:val="20"/>
              </w:rPr>
              <w:t>SkydebaneSamvirket</w:t>
            </w:r>
            <w:proofErr w:type="spellEnd"/>
            <w:r>
              <w:rPr>
                <w:szCs w:val="20"/>
              </w:rPr>
              <w:t xml:space="preserve"> Kær Vestermark</w:t>
            </w:r>
          </w:p>
        </w:tc>
      </w:tr>
      <w:tr w:rsidR="000718ED" w:rsidRPr="00C3442A" w14:paraId="5050AA3B" w14:textId="77777777" w:rsidTr="00B8412B">
        <w:tc>
          <w:tcPr>
            <w:tcW w:w="2552" w:type="dxa"/>
          </w:tcPr>
          <w:p w14:paraId="660E2818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48250C2B" w14:textId="77777777" w:rsidR="000718ED" w:rsidRPr="00C3442A" w:rsidRDefault="005D64FA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 xml:space="preserve">Skydebanevej </w:t>
            </w:r>
            <w:proofErr w:type="gramStart"/>
            <w:r>
              <w:rPr>
                <w:szCs w:val="20"/>
              </w:rPr>
              <w:t>7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r w:rsidR="000718ED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6400</w:t>
            </w:r>
            <w:proofErr w:type="gramEnd"/>
            <w:r w:rsidR="008B711C">
              <w:rPr>
                <w:szCs w:val="20"/>
              </w:rPr>
              <w:t xml:space="preserve">, </w:t>
            </w:r>
            <w:r w:rsidR="000718ED">
              <w:rPr>
                <w:szCs w:val="20"/>
              </w:rPr>
              <w:t xml:space="preserve"> </w:t>
            </w:r>
            <w:bookmarkStart w:id="3" w:name="postal_codes_postal_codes_name"/>
            <w:bookmarkEnd w:id="3"/>
            <w:r>
              <w:rPr>
                <w:szCs w:val="20"/>
              </w:rPr>
              <w:t>Sønderborg</w:t>
            </w:r>
          </w:p>
        </w:tc>
      </w:tr>
      <w:tr w:rsidR="00C3442A" w:rsidRPr="00C3442A" w14:paraId="72DE4868" w14:textId="77777777" w:rsidTr="00B8412B">
        <w:tc>
          <w:tcPr>
            <w:tcW w:w="2552" w:type="dxa"/>
          </w:tcPr>
          <w:p w14:paraId="419F86C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2001747B" w14:textId="77777777" w:rsidR="00C3442A" w:rsidRPr="00C3442A" w:rsidRDefault="005D64FA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35895728</w:t>
            </w:r>
          </w:p>
        </w:tc>
      </w:tr>
      <w:tr w:rsidR="00C3442A" w:rsidRPr="00C3442A" w14:paraId="5E11087B" w14:textId="77777777" w:rsidTr="00B8412B">
        <w:tc>
          <w:tcPr>
            <w:tcW w:w="2552" w:type="dxa"/>
          </w:tcPr>
          <w:p w14:paraId="548CA0B0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31FD50C9" w14:textId="77777777" w:rsidR="00C3442A" w:rsidRPr="00C3442A" w:rsidRDefault="005D64FA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1019600021</w:t>
            </w:r>
          </w:p>
        </w:tc>
      </w:tr>
      <w:tr w:rsidR="00C3442A" w:rsidRPr="00C3442A" w14:paraId="0844B6E3" w14:textId="77777777" w:rsidTr="00B8412B">
        <w:tc>
          <w:tcPr>
            <w:tcW w:w="2552" w:type="dxa"/>
          </w:tcPr>
          <w:p w14:paraId="4E7F523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0582DC29" w14:textId="77777777" w:rsidR="00C3442A" w:rsidRPr="00C3442A" w:rsidRDefault="005D64FA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J203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Udendørs skydebaner</w:t>
            </w:r>
          </w:p>
        </w:tc>
      </w:tr>
      <w:tr w:rsidR="005324EF" w:rsidRPr="00C3442A" w14:paraId="3593E4F5" w14:textId="77777777" w:rsidTr="00B8412B">
        <w:tc>
          <w:tcPr>
            <w:tcW w:w="2552" w:type="dxa"/>
          </w:tcPr>
          <w:p w14:paraId="4F28D976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6D2B6A24" w14:textId="77777777" w:rsidR="005324EF" w:rsidRDefault="005D64FA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10.11.2022</w:t>
            </w:r>
          </w:p>
        </w:tc>
      </w:tr>
      <w:tr w:rsidR="000B10C9" w:rsidRPr="00C3442A" w14:paraId="08DB49B9" w14:textId="77777777" w:rsidTr="00B8412B">
        <w:tc>
          <w:tcPr>
            <w:tcW w:w="2552" w:type="dxa"/>
          </w:tcPr>
          <w:p w14:paraId="05C36AD7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34E679CC" w14:textId="77777777" w:rsidR="000B10C9" w:rsidRDefault="005D64FA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3413D97D" w14:textId="77777777" w:rsidTr="00B8412B">
        <w:tc>
          <w:tcPr>
            <w:tcW w:w="2552" w:type="dxa"/>
          </w:tcPr>
          <w:p w14:paraId="5FA8040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4BAFD890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3F234018" w14:textId="77777777" w:rsidTr="00B8412B">
        <w:tc>
          <w:tcPr>
            <w:tcW w:w="2552" w:type="dxa"/>
          </w:tcPr>
          <w:p w14:paraId="788B6DB1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17FC24FA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525457F3" w14:textId="77777777" w:rsidTr="00B8412B">
        <w:tc>
          <w:tcPr>
            <w:tcW w:w="2552" w:type="dxa"/>
          </w:tcPr>
          <w:p w14:paraId="465EB82D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3ACC7FEC" w14:textId="3337D770" w:rsidR="00FE2BE7" w:rsidRDefault="00FB0F2C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C3442A" w:rsidRPr="00C3442A" w14:paraId="704FE15F" w14:textId="77777777" w:rsidTr="00B8412B">
        <w:tc>
          <w:tcPr>
            <w:tcW w:w="2552" w:type="dxa"/>
          </w:tcPr>
          <w:p w14:paraId="08BEEF9B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1FFAB71F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36A337BD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4385F3CB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04E69D5F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1E300B3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342A542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56EB57F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1D99E1D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3378CEE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3CA6C57E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64F34E7C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6516D17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376EF469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2E9E0E1A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008FB704" w14:textId="77777777" w:rsidR="00C3442A" w:rsidRDefault="00C3442A" w:rsidP="00C3442A">
      <w:pPr>
        <w:pStyle w:val="SB-brev-normal"/>
        <w:rPr>
          <w:szCs w:val="20"/>
        </w:rPr>
      </w:pPr>
    </w:p>
    <w:p w14:paraId="246CD771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7E91CC5C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99B3" w14:textId="77777777" w:rsidR="007A092C" w:rsidRDefault="007A092C">
      <w:r>
        <w:separator/>
      </w:r>
    </w:p>
  </w:endnote>
  <w:endnote w:type="continuationSeparator" w:id="0">
    <w:p w14:paraId="17257A6B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7816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5FD4270" wp14:editId="0FEAB076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28211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E79C" w14:textId="77777777" w:rsidR="007A092C" w:rsidRDefault="007A092C">
      <w:r>
        <w:separator/>
      </w:r>
    </w:p>
  </w:footnote>
  <w:footnote w:type="continuationSeparator" w:id="0">
    <w:p w14:paraId="619C5D89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CE28" w14:textId="77777777" w:rsidR="008D1441" w:rsidRDefault="008D1441" w:rsidP="00C84E74"/>
  <w:p w14:paraId="44A9914C" w14:textId="77777777" w:rsidR="008D1441" w:rsidRDefault="008D1441" w:rsidP="00C84E74"/>
  <w:p w14:paraId="3837F65D" w14:textId="77777777" w:rsidR="008D1441" w:rsidRDefault="008D1441" w:rsidP="00C84E74"/>
  <w:p w14:paraId="55F31AE3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0397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39805664" wp14:editId="0B7F04A9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05F4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D64FA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0F2C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A5B1B2E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2023-03-27T10:49:00Z</dcterms:created>
  <dcterms:modified xsi:type="dcterms:W3CDTF">2023-03-27T10:49:00Z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{28997E0C-8823-4A2C-B0D7-AF923DEE22FA}</vt:lpwstr>
  </property>
</Properties>
</file>