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93CB" w14:textId="77777777" w:rsidR="00514730" w:rsidRPr="00514730" w:rsidRDefault="00EA011C" w:rsidP="00514730">
      <w:pPr>
        <w:pStyle w:val="Overskrift8"/>
        <w:ind w:left="3402" w:firstLine="0"/>
        <w:jc w:val="right"/>
      </w:pPr>
      <w:r>
        <w:rPr>
          <w:noProof/>
          <w:lang w:eastAsia="da-DK"/>
        </w:rPr>
        <w:drawing>
          <wp:anchor distT="0" distB="0" distL="114300" distR="114300" simplePos="0" relativeHeight="251657728" behindDoc="0" locked="0" layoutInCell="1" allowOverlap="1" wp14:anchorId="779E6909" wp14:editId="1330635A">
            <wp:simplePos x="0" y="0"/>
            <wp:positionH relativeFrom="column">
              <wp:posOffset>3445510</wp:posOffset>
            </wp:positionH>
            <wp:positionV relativeFrom="paragraph">
              <wp:posOffset>-171450</wp:posOffset>
            </wp:positionV>
            <wp:extent cx="2886075" cy="923925"/>
            <wp:effectExtent l="0" t="0" r="9525" b="952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730">
        <w:t xml:space="preserve">               </w:t>
      </w:r>
    </w:p>
    <w:tbl>
      <w:tblPr>
        <w:tblpPr w:leftFromText="141" w:rightFromText="141" w:vertAnchor="text" w:horzAnchor="margin" w:tblpXSpec="right" w:tblpY="1381"/>
        <w:tblW w:w="379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20"/>
      </w:tblGrid>
      <w:tr w:rsidR="00514730" w:rsidRPr="00F0465B" w14:paraId="792E5CD8" w14:textId="77777777" w:rsidTr="00F0465B">
        <w:tc>
          <w:tcPr>
            <w:tcW w:w="1274" w:type="dxa"/>
            <w:tcBorders>
              <w:right w:val="nil"/>
            </w:tcBorders>
            <w:shd w:val="clear" w:color="auto" w:fill="auto"/>
          </w:tcPr>
          <w:p w14:paraId="3DE7C7DC" w14:textId="77777777" w:rsidR="00514730" w:rsidRPr="00F0465B" w:rsidRDefault="00514730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proofErr w:type="spellStart"/>
            <w:r w:rsidRPr="00F0465B">
              <w:rPr>
                <w:b/>
                <w:bCs/>
                <w:szCs w:val="20"/>
              </w:rPr>
              <w:t>Journalnr</w:t>
            </w:r>
            <w:proofErr w:type="spellEnd"/>
            <w:r w:rsidRPr="00F0465B">
              <w:rPr>
                <w:b/>
                <w:bCs/>
                <w:szCs w:val="20"/>
              </w:rPr>
              <w:t>.: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14:paraId="7FEB1916" w14:textId="1EC27FF6" w:rsidR="00514730" w:rsidRPr="00F0465B" w:rsidRDefault="003656EB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r>
              <w:t>24/733</w:t>
            </w:r>
          </w:p>
        </w:tc>
      </w:tr>
    </w:tbl>
    <w:p w14:paraId="02ACD46A" w14:textId="77777777" w:rsidR="00525A69" w:rsidRPr="00AF13E7" w:rsidRDefault="00833211" w:rsidP="00514730">
      <w:pPr>
        <w:pStyle w:val="Overskrift8"/>
        <w:ind w:left="3402" w:firstLine="0"/>
        <w:jc w:val="right"/>
        <w:rPr>
          <w:rFonts w:ascii="Tahoma" w:hAnsi="Tahoma" w:cs="Tahoma"/>
          <w:sz w:val="40"/>
        </w:rPr>
      </w:pPr>
      <w:r w:rsidRPr="00AF13E7">
        <w:rPr>
          <w:rFonts w:ascii="Tahoma" w:hAnsi="Tahoma" w:cs="Tahoma"/>
        </w:rPr>
        <w:tab/>
      </w:r>
    </w:p>
    <w:p w14:paraId="3B5DA96B" w14:textId="77777777" w:rsidR="00525A69" w:rsidRPr="00AF13E7" w:rsidRDefault="00525A69">
      <w:pPr>
        <w:ind w:left="851" w:hanging="851"/>
        <w:jc w:val="center"/>
        <w:rPr>
          <w:rFonts w:ascii="Tahoma" w:hAnsi="Tahoma" w:cs="Tahoma"/>
          <w:b/>
          <w:sz w:val="40"/>
          <w:szCs w:val="40"/>
        </w:rPr>
      </w:pPr>
    </w:p>
    <w:p w14:paraId="13394F95" w14:textId="77777777" w:rsidR="00514730" w:rsidRDefault="00514730" w:rsidP="00521B4C">
      <w:pPr>
        <w:ind w:left="0"/>
        <w:rPr>
          <w:rFonts w:ascii="Tahoma" w:hAnsi="Tahoma" w:cs="Tahoma"/>
          <w:b/>
          <w:sz w:val="56"/>
          <w:szCs w:val="56"/>
        </w:rPr>
      </w:pPr>
    </w:p>
    <w:p w14:paraId="18AECC37" w14:textId="77777777" w:rsidR="00031909" w:rsidRDefault="00031909" w:rsidP="00F86EC9">
      <w:pPr>
        <w:ind w:left="360"/>
        <w:jc w:val="center"/>
        <w:rPr>
          <w:rFonts w:ascii="Tahoma" w:hAnsi="Tahoma" w:cs="Tahoma"/>
          <w:b/>
          <w:sz w:val="56"/>
          <w:szCs w:val="56"/>
        </w:rPr>
      </w:pPr>
    </w:p>
    <w:p w14:paraId="04DD1F98" w14:textId="77777777" w:rsidR="00884F39" w:rsidRDefault="00884F39" w:rsidP="00884F39">
      <w:pPr>
        <w:ind w:left="0"/>
        <w:rPr>
          <w:rFonts w:ascii="Tahoma" w:hAnsi="Tahoma" w:cs="Tahoma"/>
          <w:b/>
          <w:sz w:val="56"/>
          <w:szCs w:val="56"/>
        </w:rPr>
      </w:pPr>
    </w:p>
    <w:p w14:paraId="3211B3E1" w14:textId="77777777" w:rsidR="00525A69" w:rsidRPr="00326C4D" w:rsidRDefault="00525A69" w:rsidP="00884F39">
      <w:pPr>
        <w:ind w:left="0"/>
        <w:jc w:val="center"/>
        <w:rPr>
          <w:rFonts w:ascii="Tahoma" w:hAnsi="Tahoma" w:cs="Tahoma"/>
          <w:b/>
          <w:sz w:val="56"/>
          <w:szCs w:val="56"/>
        </w:rPr>
      </w:pPr>
      <w:r w:rsidRPr="00326C4D">
        <w:rPr>
          <w:rFonts w:ascii="Tahoma" w:hAnsi="Tahoma" w:cs="Tahoma"/>
          <w:b/>
          <w:sz w:val="56"/>
          <w:szCs w:val="56"/>
        </w:rPr>
        <w:t>Tilsynsrapport</w:t>
      </w:r>
    </w:p>
    <w:p w14:paraId="6C2E9846" w14:textId="77777777" w:rsidR="00525A69" w:rsidRPr="00326C4D" w:rsidRDefault="00525A69" w:rsidP="00884F39">
      <w:pPr>
        <w:pStyle w:val="Overskrift6"/>
        <w:ind w:left="0" w:firstLine="0"/>
        <w:rPr>
          <w:rFonts w:ascii="Tahoma" w:hAnsi="Tahoma" w:cs="Tahoma"/>
          <w:sz w:val="40"/>
          <w:szCs w:val="40"/>
        </w:rPr>
      </w:pPr>
      <w:r w:rsidRPr="00326C4D">
        <w:rPr>
          <w:rFonts w:ascii="Tahoma" w:hAnsi="Tahoma" w:cs="Tahoma"/>
          <w:sz w:val="40"/>
          <w:szCs w:val="40"/>
        </w:rPr>
        <w:t xml:space="preserve">for </w:t>
      </w:r>
      <w:r w:rsidR="00F86EC9" w:rsidRPr="00326C4D">
        <w:rPr>
          <w:rFonts w:ascii="Tahoma" w:hAnsi="Tahoma" w:cs="Tahoma"/>
          <w:sz w:val="40"/>
          <w:szCs w:val="40"/>
        </w:rPr>
        <w:t>landbrugst</w:t>
      </w:r>
      <w:r w:rsidRPr="00326C4D">
        <w:rPr>
          <w:rFonts w:ascii="Tahoma" w:hAnsi="Tahoma" w:cs="Tahoma"/>
          <w:sz w:val="40"/>
          <w:szCs w:val="40"/>
        </w:rPr>
        <w:t>ilsyn</w:t>
      </w:r>
      <w:bookmarkStart w:id="0" w:name="ind_inspec_real_act_date"/>
      <w:bookmarkEnd w:id="0"/>
      <w:r w:rsidR="00326C4D" w:rsidRPr="00326C4D">
        <w:rPr>
          <w:rFonts w:ascii="Tahoma" w:hAnsi="Tahoma" w:cs="Tahoma"/>
          <w:sz w:val="40"/>
          <w:szCs w:val="40"/>
        </w:rPr>
        <w:t xml:space="preserve"> den 01-12-2023</w:t>
      </w:r>
    </w:p>
    <w:p w14:paraId="5294B7F4" w14:textId="77777777" w:rsidR="00BF331C" w:rsidRPr="00326C4D" w:rsidRDefault="00BF331C" w:rsidP="00BF331C">
      <w:pPr>
        <w:rPr>
          <w:rFonts w:ascii="Tahoma" w:hAnsi="Tahoma" w:cs="Tahoma"/>
        </w:rPr>
      </w:pPr>
    </w:p>
    <w:p w14:paraId="2E61F5AA" w14:textId="77777777" w:rsidR="00525A69" w:rsidRPr="00326C4D" w:rsidRDefault="00936AD1">
      <w:pPr>
        <w:ind w:left="851" w:hanging="851"/>
        <w:jc w:val="center"/>
        <w:rPr>
          <w:rFonts w:ascii="Tahoma" w:hAnsi="Tahoma" w:cs="Tahoma"/>
          <w:b/>
          <w:sz w:val="28"/>
          <w:szCs w:val="28"/>
        </w:rPr>
      </w:pPr>
      <w:bookmarkStart w:id="1" w:name="site_site_name"/>
      <w:bookmarkEnd w:id="1"/>
      <w:r w:rsidRPr="00326C4D">
        <w:rPr>
          <w:rFonts w:ascii="Tahoma" w:hAnsi="Tahoma" w:cs="Tahoma"/>
          <w:b/>
          <w:sz w:val="28"/>
          <w:szCs w:val="28"/>
        </w:rPr>
        <w:t>Sølvbakkegård Opformering ApS</w:t>
      </w:r>
    </w:p>
    <w:p w14:paraId="7F1A556B" w14:textId="77777777" w:rsidR="00936AD1" w:rsidRPr="00326C4D" w:rsidRDefault="00936AD1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  <w:r w:rsidRPr="00326C4D">
        <w:rPr>
          <w:rFonts w:ascii="Tahoma" w:hAnsi="Tahoma" w:cs="Tahoma"/>
          <w:bCs/>
          <w:sz w:val="28"/>
          <w:szCs w:val="28"/>
        </w:rPr>
        <w:t>Hovedvejen 34, Mastrup, 8586 Ørum Djurs</w:t>
      </w:r>
    </w:p>
    <w:p w14:paraId="304BE1D5" w14:textId="77777777" w:rsidR="00B356B3" w:rsidRPr="00936AD1" w:rsidRDefault="00B356B3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</w:p>
    <w:p w14:paraId="6A237ADF" w14:textId="77777777" w:rsidR="00525A69" w:rsidRPr="00AF13E7" w:rsidRDefault="0092660C" w:rsidP="00936AD1">
      <w:pPr>
        <w:ind w:left="0"/>
        <w:jc w:val="left"/>
        <w:rPr>
          <w:rFonts w:ascii="Tahoma" w:hAnsi="Tahoma" w:cs="Tahoma"/>
          <w:sz w:val="28"/>
          <w:szCs w:val="28"/>
        </w:rPr>
      </w:pPr>
      <w:bookmarkStart w:id="2" w:name="site_site_address"/>
      <w:bookmarkStart w:id="3" w:name="site_postal_codes_id"/>
      <w:bookmarkEnd w:id="2"/>
      <w:bookmarkEnd w:id="3"/>
      <w:r w:rsidRPr="00AF13E7">
        <w:rPr>
          <w:rFonts w:ascii="Tahoma" w:hAnsi="Tahoma" w:cs="Tahoma"/>
          <w:sz w:val="28"/>
          <w:szCs w:val="28"/>
        </w:rPr>
        <w:t xml:space="preserve"> </w:t>
      </w:r>
      <w:bookmarkStart w:id="4" w:name="postal_codes_postal_codes_name"/>
      <w:bookmarkEnd w:id="4"/>
    </w:p>
    <w:p w14:paraId="6E2DBCB0" w14:textId="77777777" w:rsidR="00326C4D" w:rsidRDefault="00326C4D" w:rsidP="000B1691">
      <w:pPr>
        <w:ind w:right="567"/>
        <w:rPr>
          <w:szCs w:val="24"/>
        </w:rPr>
      </w:pPr>
    </w:p>
    <w:p w14:paraId="6BAC998E" w14:textId="437C042B" w:rsidR="00AA388C" w:rsidRPr="003C3B8C" w:rsidRDefault="00936AD1" w:rsidP="000B1691">
      <w:pPr>
        <w:ind w:right="567"/>
        <w:rPr>
          <w:szCs w:val="24"/>
        </w:rPr>
      </w:pPr>
      <w:r w:rsidRPr="003C3B8C">
        <w:rPr>
          <w:szCs w:val="24"/>
        </w:rPr>
        <w:t>Til stede ved tilsyn: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  <w:r w:rsidR="003656EB" w:rsidRPr="003656EB">
        <w:rPr>
          <w:szCs w:val="24"/>
        </w:rPr>
        <w:t>Peter Kejser</w:t>
      </w:r>
    </w:p>
    <w:p w14:paraId="578BD2E6" w14:textId="77777777" w:rsidR="00936AD1" w:rsidRPr="003C3B8C" w:rsidRDefault="00936AD1" w:rsidP="000B1691">
      <w:pPr>
        <w:ind w:right="567"/>
        <w:rPr>
          <w:szCs w:val="24"/>
        </w:rPr>
      </w:pPr>
      <w:r w:rsidRPr="003C3B8C">
        <w:rPr>
          <w:szCs w:val="24"/>
        </w:rPr>
        <w:tab/>
      </w:r>
      <w:r w:rsidRPr="003C3B8C">
        <w:rPr>
          <w:szCs w:val="24"/>
        </w:rPr>
        <w:tab/>
      </w:r>
      <w:r w:rsidR="00444F5E" w:rsidRPr="003C3B8C">
        <w:rPr>
          <w:szCs w:val="24"/>
        </w:rPr>
        <w:tab/>
        <w:t>Jakob Sølvhøj Roelsgaard</w:t>
      </w:r>
      <w:r w:rsidRPr="003C3B8C">
        <w:rPr>
          <w:szCs w:val="24"/>
        </w:rPr>
        <w:t>, Norddjurs Kommune</w:t>
      </w:r>
    </w:p>
    <w:p w14:paraId="2A269434" w14:textId="77777777" w:rsidR="00936AD1" w:rsidRPr="003C3B8C" w:rsidRDefault="00936AD1" w:rsidP="000B1691">
      <w:pPr>
        <w:ind w:right="567"/>
        <w:rPr>
          <w:szCs w:val="24"/>
        </w:rPr>
      </w:pPr>
    </w:p>
    <w:p w14:paraId="25104FC8" w14:textId="77777777" w:rsidR="00936AD1" w:rsidRPr="003C3B8C" w:rsidRDefault="00936AD1" w:rsidP="000B1691">
      <w:pPr>
        <w:ind w:right="567"/>
        <w:rPr>
          <w:szCs w:val="24"/>
        </w:rPr>
      </w:pPr>
    </w:p>
    <w:p w14:paraId="56D37978" w14:textId="77777777" w:rsidR="003656EB" w:rsidRDefault="00936AD1" w:rsidP="000B1691">
      <w:pPr>
        <w:ind w:right="567"/>
        <w:rPr>
          <w:szCs w:val="24"/>
        </w:rPr>
      </w:pPr>
      <w:r w:rsidRPr="003C3B8C">
        <w:rPr>
          <w:szCs w:val="24"/>
        </w:rPr>
        <w:t>Tilsynstype:</w:t>
      </w:r>
      <w:r w:rsidRPr="003C3B8C">
        <w:rPr>
          <w:szCs w:val="24"/>
        </w:rPr>
        <w:tab/>
      </w:r>
      <w:r w:rsidRPr="003C3B8C">
        <w:rPr>
          <w:szCs w:val="24"/>
        </w:rPr>
        <w:tab/>
        <w:t>Basistilsyn</w:t>
      </w:r>
      <w:r w:rsidR="00B356B3" w:rsidRPr="003C3B8C">
        <w:rPr>
          <w:szCs w:val="24"/>
        </w:rPr>
        <w:t xml:space="preserve">. </w:t>
      </w:r>
    </w:p>
    <w:p w14:paraId="7DD16AAB" w14:textId="26B3B27F" w:rsidR="00936AD1" w:rsidRPr="003656EB" w:rsidRDefault="00B356B3" w:rsidP="003656EB">
      <w:pPr>
        <w:ind w:left="3912" w:right="567"/>
        <w:rPr>
          <w:szCs w:val="24"/>
        </w:rPr>
      </w:pPr>
      <w:r w:rsidRPr="003656EB">
        <w:rPr>
          <w:szCs w:val="24"/>
        </w:rPr>
        <w:t>Der er ført tilsyn med Stalden benyttes til karantænestald, der er ført tilsyn med dyerholdet og opbevaring af husdyrgødning</w:t>
      </w:r>
    </w:p>
    <w:p w14:paraId="1BDADB2C" w14:textId="77777777" w:rsidR="003656EB" w:rsidRPr="003C3B8C" w:rsidRDefault="003656EB" w:rsidP="003656EB">
      <w:pPr>
        <w:ind w:left="3912" w:right="567"/>
        <w:rPr>
          <w:color w:val="FF0000"/>
          <w:szCs w:val="24"/>
        </w:rPr>
      </w:pPr>
    </w:p>
    <w:p w14:paraId="65F6191B" w14:textId="77777777" w:rsidR="009338F0" w:rsidRDefault="00B356B3" w:rsidP="009338F0">
      <w:pPr>
        <w:ind w:right="567"/>
        <w:rPr>
          <w:szCs w:val="24"/>
        </w:rPr>
      </w:pPr>
      <w:r w:rsidRPr="003C3B8C">
        <w:rPr>
          <w:szCs w:val="24"/>
        </w:rPr>
        <w:t>Var tilsynet varslet?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  <w:r w:rsidRPr="003C3B8C">
        <w:rPr>
          <w:szCs w:val="24"/>
        </w:rPr>
        <w:t>Nej</w:t>
      </w:r>
    </w:p>
    <w:p w14:paraId="2D2E0BBC" w14:textId="77777777" w:rsidR="00052446" w:rsidRPr="003C3B8C" w:rsidRDefault="00052446" w:rsidP="009338F0">
      <w:pPr>
        <w:ind w:right="567"/>
        <w:rPr>
          <w:szCs w:val="24"/>
        </w:rPr>
      </w:pPr>
      <w:r>
        <w:rPr>
          <w:szCs w:val="24"/>
        </w:rPr>
        <w:t>Baggrund for tilsynet:</w:t>
      </w:r>
      <w:r>
        <w:rPr>
          <w:szCs w:val="24"/>
        </w:rPr>
        <w:tab/>
        <w:t>Miljøtilsynsbekendtgørelsen</w:t>
      </w:r>
    </w:p>
    <w:p w14:paraId="5A84E67D" w14:textId="77777777" w:rsidR="00B356B3" w:rsidRPr="003C3B8C" w:rsidRDefault="00B356B3" w:rsidP="000B1691">
      <w:pPr>
        <w:ind w:right="567"/>
        <w:rPr>
          <w:szCs w:val="24"/>
        </w:rPr>
      </w:pPr>
    </w:p>
    <w:p w14:paraId="378B3648" w14:textId="77777777" w:rsidR="00B356B3" w:rsidRPr="003C3B8C" w:rsidRDefault="00B356B3" w:rsidP="000B1691">
      <w:pPr>
        <w:ind w:right="567"/>
        <w:rPr>
          <w:szCs w:val="24"/>
        </w:rPr>
      </w:pPr>
    </w:p>
    <w:p w14:paraId="72AE3F12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CHR nr.: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  <w:t>27181</w:t>
      </w:r>
    </w:p>
    <w:p w14:paraId="21B68A5B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CVR nr.</w:t>
      </w:r>
      <w:r w:rsidR="00884F39">
        <w:rPr>
          <w:szCs w:val="24"/>
        </w:rPr>
        <w:t>:</w:t>
      </w:r>
      <w:r w:rsidRPr="003C3B8C">
        <w:rPr>
          <w:szCs w:val="24"/>
        </w:rPr>
        <w:tab/>
      </w:r>
      <w:r w:rsidRPr="003C3B8C">
        <w:rPr>
          <w:szCs w:val="24"/>
        </w:rPr>
        <w:tab/>
        <w:t>33957378</w:t>
      </w:r>
    </w:p>
    <w:p w14:paraId="72E67F6D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P nr.</w:t>
      </w:r>
      <w:r w:rsidR="00884F39">
        <w:rPr>
          <w:szCs w:val="24"/>
        </w:rPr>
        <w:t>:</w:t>
      </w:r>
      <w:r w:rsidR="00884F39">
        <w:rPr>
          <w:szCs w:val="24"/>
        </w:rPr>
        <w:tab/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  <w:r w:rsidRPr="003C3B8C">
        <w:rPr>
          <w:szCs w:val="24"/>
        </w:rPr>
        <w:t>1017166529</w:t>
      </w:r>
    </w:p>
    <w:p w14:paraId="0FB3658C" w14:textId="77777777" w:rsidR="00B356B3" w:rsidRPr="003C3B8C" w:rsidRDefault="00B356B3" w:rsidP="00E531ED">
      <w:pPr>
        <w:spacing w:line="360" w:lineRule="auto"/>
        <w:ind w:left="0" w:right="567"/>
        <w:rPr>
          <w:szCs w:val="24"/>
        </w:rPr>
      </w:pPr>
    </w:p>
    <w:p w14:paraId="704B6387" w14:textId="77777777" w:rsidR="00E531ED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Landbrugstype: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</w:p>
    <w:p w14:paraId="173630AD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HG § 1 stk. 1: Husdyrbrug der ikke har eller kan få en godkendelse, men med et dyrehold større end 75  og mindre end lig med 250 DE (IED grænsen)</w:t>
      </w:r>
    </w:p>
    <w:p w14:paraId="14F60F6D" w14:textId="77777777" w:rsidR="00D7653F" w:rsidRPr="003C3B8C" w:rsidRDefault="00D7653F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Husdyrbrug efter husdyrgodkendelsesloven er husdyrbrug med mere end 3 DE, samt mellemstore fyringsanlæg forbundet med disse husdyrbrug (kategori 2)</w:t>
      </w:r>
    </w:p>
    <w:p w14:paraId="3EBA9360" w14:textId="77777777" w:rsidR="009338F0" w:rsidRPr="003C3B8C" w:rsidRDefault="006A33C0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Kategori</w:t>
      </w:r>
      <w:r w:rsidR="00326C4D">
        <w:rPr>
          <w:szCs w:val="24"/>
        </w:rPr>
        <w:t xml:space="preserve"> </w:t>
      </w:r>
      <w:r w:rsidR="009338F0" w:rsidRPr="003C3B8C">
        <w:rPr>
          <w:szCs w:val="24"/>
        </w:rPr>
        <w:t>2</w:t>
      </w:r>
    </w:p>
    <w:p w14:paraId="16B4AE5B" w14:textId="77777777" w:rsidR="003C3B8C" w:rsidRPr="003C3B8C" w:rsidRDefault="003C3B8C" w:rsidP="000B1691">
      <w:pPr>
        <w:spacing w:line="360" w:lineRule="auto"/>
        <w:ind w:right="567"/>
        <w:rPr>
          <w:szCs w:val="24"/>
        </w:rPr>
      </w:pPr>
    </w:p>
    <w:p w14:paraId="70ED0622" w14:textId="07B8AB62" w:rsidR="0096245B" w:rsidRPr="00965FCF" w:rsidRDefault="0096245B" w:rsidP="00884F39">
      <w:pPr>
        <w:ind w:left="0" w:firstLine="567"/>
        <w:jc w:val="left"/>
        <w:rPr>
          <w:b/>
          <w:bCs/>
          <w:sz w:val="32"/>
          <w:szCs w:val="32"/>
        </w:rPr>
      </w:pPr>
      <w:r w:rsidRPr="00965FCF">
        <w:rPr>
          <w:b/>
          <w:bCs/>
          <w:sz w:val="36"/>
          <w:szCs w:val="36"/>
        </w:rPr>
        <w:t>Tilsynsrapport</w:t>
      </w:r>
    </w:p>
    <w:p w14:paraId="50114B0D" w14:textId="77777777" w:rsidR="0096245B" w:rsidRPr="003C3B8C" w:rsidRDefault="0096245B" w:rsidP="0096245B">
      <w:pPr>
        <w:ind w:right="142"/>
        <w:rPr>
          <w:szCs w:val="24"/>
        </w:rPr>
      </w:pPr>
      <w:r w:rsidRPr="003C3B8C">
        <w:rPr>
          <w:szCs w:val="24"/>
        </w:rPr>
        <w:t xml:space="preserve">Denne tilsynsrapport gennemgår landbrugets miljøforhold og er udarbejdet med henblik på at give en miljøteknisk beskrivelse og miljøvurdering af landbrugets aktiviteter. Tilsynsrapporten </w:t>
      </w:r>
      <w:r w:rsidRPr="003C3B8C">
        <w:rPr>
          <w:szCs w:val="24"/>
        </w:rPr>
        <w:lastRenderedPageBreak/>
        <w:t>er udarbejdet på baggrund af landbrugets oplysninger, tilsyn på landbruget og kommunens arkiver.</w:t>
      </w:r>
    </w:p>
    <w:p w14:paraId="4278FF93" w14:textId="77777777" w:rsidR="0096245B" w:rsidRPr="003C3B8C" w:rsidRDefault="0096245B" w:rsidP="0096245B">
      <w:pPr>
        <w:ind w:right="142"/>
        <w:rPr>
          <w:szCs w:val="24"/>
        </w:rPr>
      </w:pPr>
    </w:p>
    <w:p w14:paraId="36F179AD" w14:textId="77777777" w:rsidR="0096245B" w:rsidRPr="00965FCF" w:rsidRDefault="0096245B" w:rsidP="00884F39">
      <w:pPr>
        <w:pStyle w:val="Overskrift2"/>
        <w:ind w:left="426" w:firstLine="141"/>
        <w:rPr>
          <w:szCs w:val="32"/>
        </w:rPr>
      </w:pPr>
      <w:r w:rsidRPr="00965FCF">
        <w:rPr>
          <w:szCs w:val="32"/>
        </w:rPr>
        <w:t>Vil du vide mere</w:t>
      </w:r>
    </w:p>
    <w:p w14:paraId="68D5C26E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Norddjurs Kommune</w:t>
      </w:r>
      <w:r w:rsidRPr="003C3B8C">
        <w:rPr>
          <w:b/>
          <w:szCs w:val="24"/>
        </w:rPr>
        <w:tab/>
      </w:r>
      <w:hyperlink r:id="rId9" w:history="1">
        <w:r w:rsidRPr="003C3B8C">
          <w:rPr>
            <w:rStyle w:val="Hyperlink"/>
            <w:color w:val="auto"/>
            <w:szCs w:val="24"/>
          </w:rPr>
          <w:t>www.norddjurs.dk</w:t>
        </w:r>
      </w:hyperlink>
    </w:p>
    <w:p w14:paraId="6B90D4F8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Miljøstyrelsen (vejledninger mv.)</w:t>
      </w:r>
      <w:r w:rsidRPr="003C3B8C">
        <w:rPr>
          <w:b/>
          <w:szCs w:val="24"/>
        </w:rPr>
        <w:tab/>
      </w:r>
      <w:hyperlink r:id="rId10" w:history="1">
        <w:r w:rsidRPr="003C3B8C">
          <w:rPr>
            <w:rStyle w:val="Hyperlink"/>
            <w:color w:val="auto"/>
            <w:szCs w:val="24"/>
          </w:rPr>
          <w:t>www.mst.dk</w:t>
        </w:r>
      </w:hyperlink>
    </w:p>
    <w:p w14:paraId="2E471439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Retsinformation (lovgivning)</w:t>
      </w:r>
      <w:r w:rsidRPr="003C3B8C">
        <w:rPr>
          <w:b/>
          <w:szCs w:val="24"/>
        </w:rPr>
        <w:tab/>
      </w:r>
      <w:hyperlink r:id="rId11" w:history="1">
        <w:r w:rsidRPr="003C3B8C">
          <w:rPr>
            <w:rStyle w:val="Hyperlink"/>
            <w:color w:val="auto"/>
            <w:szCs w:val="24"/>
          </w:rPr>
          <w:t>www.retsinfo.dk</w:t>
        </w:r>
      </w:hyperlink>
    </w:p>
    <w:p w14:paraId="77DF985C" w14:textId="77777777" w:rsidR="0096245B" w:rsidRPr="003C3B8C" w:rsidRDefault="0096245B" w:rsidP="0096245B">
      <w:pPr>
        <w:tabs>
          <w:tab w:val="left" w:pos="6804"/>
        </w:tabs>
        <w:rPr>
          <w:b/>
          <w:szCs w:val="24"/>
        </w:rPr>
      </w:pPr>
      <w:r w:rsidRPr="003C3B8C">
        <w:rPr>
          <w:szCs w:val="24"/>
        </w:rPr>
        <w:t>Centralt Virksomheds Register (CVR nr.)</w:t>
      </w:r>
      <w:r w:rsidRPr="003C3B8C">
        <w:rPr>
          <w:b/>
          <w:szCs w:val="24"/>
        </w:rPr>
        <w:tab/>
      </w:r>
      <w:hyperlink r:id="rId12" w:history="1">
        <w:r w:rsidRPr="003C3B8C">
          <w:rPr>
            <w:rStyle w:val="Hyperlink"/>
            <w:color w:val="auto"/>
            <w:szCs w:val="24"/>
          </w:rPr>
          <w:t>www.cvr.dk</w:t>
        </w:r>
      </w:hyperlink>
    </w:p>
    <w:p w14:paraId="57E4F077" w14:textId="77777777" w:rsidR="0096245B" w:rsidRPr="003C3B8C" w:rsidRDefault="0096245B" w:rsidP="0096245B">
      <w:pPr>
        <w:tabs>
          <w:tab w:val="left" w:pos="6804"/>
        </w:tabs>
        <w:rPr>
          <w:szCs w:val="24"/>
        </w:rPr>
      </w:pPr>
      <w:r w:rsidRPr="003C3B8C">
        <w:rPr>
          <w:szCs w:val="24"/>
        </w:rPr>
        <w:t>Centrale husdyrregister</w:t>
      </w:r>
      <w:r w:rsidRPr="003C3B8C">
        <w:rPr>
          <w:szCs w:val="24"/>
        </w:rPr>
        <w:tab/>
      </w:r>
      <w:hyperlink r:id="rId13" w:history="1">
        <w:r w:rsidRPr="003C3B8C">
          <w:rPr>
            <w:szCs w:val="24"/>
            <w:u w:val="single"/>
          </w:rPr>
          <w:t>www.glr-chr.dk</w:t>
        </w:r>
      </w:hyperlink>
    </w:p>
    <w:p w14:paraId="04E9E691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1C3EFA48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2064081D" w14:textId="77777777" w:rsidR="00320745" w:rsidRPr="00965FCF" w:rsidRDefault="00320745" w:rsidP="000B1691">
      <w:pPr>
        <w:spacing w:line="360" w:lineRule="auto"/>
        <w:ind w:right="567"/>
        <w:rPr>
          <w:sz w:val="28"/>
          <w:szCs w:val="28"/>
        </w:rPr>
      </w:pPr>
      <w:r w:rsidRPr="00965FCF">
        <w:rPr>
          <w:sz w:val="32"/>
          <w:szCs w:val="32"/>
        </w:rPr>
        <w:t>Kontrolpunkter</w:t>
      </w:r>
    </w:p>
    <w:p w14:paraId="389803E6" w14:textId="77777777" w:rsidR="00E531ED" w:rsidRPr="00F10F04" w:rsidRDefault="00E531ED" w:rsidP="000B1691">
      <w:pPr>
        <w:spacing w:line="360" w:lineRule="auto"/>
        <w:ind w:right="567"/>
        <w:rPr>
          <w:szCs w:val="24"/>
        </w:rPr>
      </w:pPr>
      <w:r w:rsidRPr="00F10F04">
        <w:rPr>
          <w:szCs w:val="24"/>
        </w:rPr>
        <w:t>Der er ført tilsyn med følgende kontrolpunkter: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25"/>
        <w:gridCol w:w="6826"/>
      </w:tblGrid>
      <w:tr w:rsidR="00825C71" w14:paraId="44A9D0ED" w14:textId="77777777">
        <w:tc>
          <w:tcPr>
            <w:tcW w:w="1500" w:type="pct"/>
          </w:tcPr>
          <w:p w14:paraId="3ADA58D9" w14:textId="77777777" w:rsidR="00E531ED" w:rsidRPr="00E531ED" w:rsidRDefault="001140C7" w:rsidP="000B1691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658F4729" w14:textId="77777777" w:rsidR="00825C71" w:rsidRDefault="001140C7">
            <w:pPr>
              <w:jc w:val="left"/>
            </w:pPr>
            <w:r>
              <w:t>Bemærkning</w:t>
            </w:r>
          </w:p>
        </w:tc>
      </w:tr>
      <w:tr w:rsidR="00825C71" w14:paraId="25AB1FBD" w14:textId="77777777">
        <w:tc>
          <w:tcPr>
            <w:tcW w:w="0" w:type="auto"/>
          </w:tcPr>
          <w:p w14:paraId="41C0F68E" w14:textId="77777777" w:rsidR="00825C71" w:rsidRDefault="001140C7">
            <w:r>
              <w:t xml:space="preserve">B. Lovligt </w:t>
            </w:r>
            <w:r>
              <w:t>dyrehold/produktionsareal samt beskrivelse af udnyttelsen heraf</w:t>
            </w:r>
          </w:p>
        </w:tc>
        <w:tc>
          <w:tcPr>
            <w:tcW w:w="0" w:type="auto"/>
          </w:tcPr>
          <w:p w14:paraId="22BF72FD" w14:textId="77777777" w:rsidR="00825C71" w:rsidRDefault="001140C7">
            <w:r>
              <w:t>der er ikke fastsat et dyre hold, men der har været kontinnuerligt dyrehold. Pt er der ca 100 dyr i karantæne</w:t>
            </w:r>
          </w:p>
        </w:tc>
      </w:tr>
      <w:tr w:rsidR="00825C71" w14:paraId="1AC48A6F" w14:textId="77777777">
        <w:tc>
          <w:tcPr>
            <w:tcW w:w="0" w:type="auto"/>
          </w:tcPr>
          <w:p w14:paraId="30ED689B" w14:textId="77777777" w:rsidR="00825C71" w:rsidRDefault="001140C7">
            <w:r>
              <w:t>D. Logbog for gyllebeholder</w:t>
            </w:r>
          </w:p>
        </w:tc>
        <w:tc>
          <w:tcPr>
            <w:tcW w:w="0" w:type="auto"/>
          </w:tcPr>
          <w:p w14:paraId="1ED2DF12" w14:textId="77777777" w:rsidR="00825C71" w:rsidRDefault="001140C7">
            <w:r>
              <w:t>fast overdækning</w:t>
            </w:r>
          </w:p>
        </w:tc>
      </w:tr>
      <w:tr w:rsidR="00825C71" w14:paraId="4B4E231D" w14:textId="77777777">
        <w:tc>
          <w:tcPr>
            <w:tcW w:w="0" w:type="auto"/>
          </w:tcPr>
          <w:p w14:paraId="00FF9673" w14:textId="77777777" w:rsidR="00825C71" w:rsidRDefault="001140C7">
            <w:r>
              <w:t xml:space="preserve">I. Beholdere til flydende </w:t>
            </w:r>
            <w:r>
              <w:t>husdyrgødning (læsseplads, dykket indløb, pumperør, opbevaringskapacitet)</w:t>
            </w:r>
          </w:p>
        </w:tc>
        <w:tc>
          <w:tcPr>
            <w:tcW w:w="0" w:type="auto"/>
          </w:tcPr>
          <w:p w14:paraId="683B7040" w14:textId="77777777" w:rsidR="00825C71" w:rsidRDefault="001140C7">
            <w:r>
              <w:t>Der er en lille gyllebeholder på 15 m3, den tømmes efterbehol ov overføres til Hovedvejen 32</w:t>
            </w:r>
          </w:p>
        </w:tc>
      </w:tr>
      <w:tr w:rsidR="00825C71" w14:paraId="73A497CB" w14:textId="77777777">
        <w:tc>
          <w:tcPr>
            <w:tcW w:w="0" w:type="auto"/>
          </w:tcPr>
          <w:p w14:paraId="0FA5E901" w14:textId="77777777" w:rsidR="00825C71" w:rsidRDefault="001140C7">
            <w:r>
              <w:t>J. Fast overdækning på beholdere/flydelag</w:t>
            </w:r>
          </w:p>
        </w:tc>
        <w:tc>
          <w:tcPr>
            <w:tcW w:w="0" w:type="auto"/>
          </w:tcPr>
          <w:p w14:paraId="6AE87A31" w14:textId="77777777" w:rsidR="00825C71" w:rsidRDefault="00825C71"/>
        </w:tc>
      </w:tr>
      <w:tr w:rsidR="00825C71" w14:paraId="469B1438" w14:textId="77777777">
        <w:tc>
          <w:tcPr>
            <w:tcW w:w="0" w:type="auto"/>
          </w:tcPr>
          <w:p w14:paraId="0C603977" w14:textId="77777777" w:rsidR="00825C71" w:rsidRDefault="001140C7">
            <w:r>
              <w:t>K. Krav om gyllealarm og beholderbarriere</w:t>
            </w:r>
          </w:p>
        </w:tc>
        <w:tc>
          <w:tcPr>
            <w:tcW w:w="0" w:type="auto"/>
          </w:tcPr>
          <w:p w14:paraId="6289414D" w14:textId="77777777" w:rsidR="00825C71" w:rsidRDefault="001140C7">
            <w:r>
              <w:t>nej</w:t>
            </w:r>
          </w:p>
        </w:tc>
      </w:tr>
    </w:tbl>
    <w:p w14:paraId="46637BBD" w14:textId="77777777" w:rsidR="00E531ED" w:rsidRPr="00E531ED" w:rsidRDefault="00E531ED" w:rsidP="000B1691">
      <w:pPr>
        <w:spacing w:line="360" w:lineRule="auto"/>
        <w:ind w:right="567"/>
        <w:rPr>
          <w:szCs w:val="24"/>
        </w:rPr>
      </w:pPr>
    </w:p>
    <w:p w14:paraId="718EE1DE" w14:textId="77777777" w:rsidR="0096245B" w:rsidRPr="003C3B8C" w:rsidRDefault="0096245B" w:rsidP="000B1691">
      <w:pPr>
        <w:spacing w:line="360" w:lineRule="auto"/>
        <w:ind w:right="567"/>
        <w:rPr>
          <w:szCs w:val="24"/>
        </w:rPr>
      </w:pPr>
      <w:r w:rsidRPr="00965FCF">
        <w:rPr>
          <w:szCs w:val="24"/>
        </w:rPr>
        <w:t>Antal markstakke</w:t>
      </w:r>
      <w:r w:rsidRPr="003C3B8C">
        <w:rPr>
          <w:szCs w:val="24"/>
        </w:rPr>
        <w:t>: 0</w:t>
      </w:r>
    </w:p>
    <w:p w14:paraId="117BE42F" w14:textId="77777777" w:rsidR="00FC7B40" w:rsidRDefault="0096245B" w:rsidP="00D373BB">
      <w:pPr>
        <w:spacing w:line="360" w:lineRule="auto"/>
        <w:ind w:right="567"/>
        <w:rPr>
          <w:szCs w:val="24"/>
        </w:rPr>
      </w:pPr>
      <w:r w:rsidRPr="00965FCF">
        <w:rPr>
          <w:szCs w:val="24"/>
        </w:rPr>
        <w:t>Konstateret jordforurening</w:t>
      </w:r>
      <w:r w:rsidRPr="003C3B8C">
        <w:rPr>
          <w:szCs w:val="24"/>
        </w:rPr>
        <w:t>: Ikke relevant</w:t>
      </w:r>
      <w:bookmarkStart w:id="5" w:name="_Toc54669298"/>
    </w:p>
    <w:p w14:paraId="2C4D0635" w14:textId="52938633" w:rsidR="00E8446B" w:rsidRPr="00965FCF" w:rsidRDefault="00683CA5" w:rsidP="003656EB">
      <w:pPr>
        <w:spacing w:line="276" w:lineRule="auto"/>
        <w:ind w:right="567"/>
        <w:rPr>
          <w:b/>
          <w:szCs w:val="32"/>
        </w:rPr>
      </w:pPr>
      <w:r>
        <w:rPr>
          <w:szCs w:val="24"/>
        </w:rPr>
        <w:t xml:space="preserve">Indberetning af </w:t>
      </w:r>
      <w:r w:rsidRPr="003656EB">
        <w:rPr>
          <w:szCs w:val="24"/>
        </w:rPr>
        <w:t xml:space="preserve">egenkontrol: Ingen krav </w:t>
      </w:r>
      <w:bookmarkEnd w:id="5"/>
    </w:p>
    <w:p w14:paraId="21F3EE75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Delparametrene i risikovurderingen scores med 1, 3 eller 5, så delparameteren med den laveste risikoscore (score 1) er den delparameter, der har ingen eller mindst sandsynlighed eller konsekvens. De forskellige parametre vægter forskelligt i den samlede score.</w:t>
      </w:r>
    </w:p>
    <w:p w14:paraId="260FB1C2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 5 delparametre er:</w:t>
      </w:r>
    </w:p>
    <w:p w14:paraId="43231C3E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Miljøledelse, systematik og miljøforbedringer (sandsynlighed 40 %)</w:t>
      </w:r>
    </w:p>
    <w:p w14:paraId="34FF5C47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Regelefterlevelse (sandsynlighed 60 %)</w:t>
      </w:r>
    </w:p>
    <w:p w14:paraId="4383DCE5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Forhold der har betydning for at forhindre forurening fra oplagret husdyrgødning (konsekvens 33 %)</w:t>
      </w:r>
    </w:p>
    <w:p w14:paraId="34BE1383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Husdyrbrugets størrelse (konsekvens 33 %)</w:t>
      </w:r>
    </w:p>
    <w:p w14:paraId="7AFF45A7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Sårbarhed (konsekvens 34 %)</w:t>
      </w:r>
    </w:p>
    <w:p w14:paraId="2E20194C" w14:textId="77777777" w:rsidR="0096245B" w:rsidRPr="003C3B8C" w:rsidRDefault="004E25A1" w:rsidP="0096245B">
      <w:pPr>
        <w:rPr>
          <w:szCs w:val="24"/>
        </w:rPr>
      </w:pPr>
      <w:r>
        <w:rPr>
          <w:szCs w:val="24"/>
        </w:rPr>
        <w:t>Samlet r</w:t>
      </w:r>
      <w:r w:rsidR="003C3B8C" w:rsidRPr="003C3B8C">
        <w:rPr>
          <w:szCs w:val="24"/>
        </w:rPr>
        <w:t xml:space="preserve">isikoscore: </w:t>
      </w:r>
      <w:r w:rsidR="0096245B" w:rsidRPr="003C3B8C">
        <w:rPr>
          <w:szCs w:val="24"/>
        </w:rPr>
        <w:t>2,5</w:t>
      </w:r>
    </w:p>
    <w:p w14:paraId="20773561" w14:textId="77777777" w:rsidR="0096245B" w:rsidRPr="003C3B8C" w:rsidRDefault="0096245B">
      <w:pPr>
        <w:rPr>
          <w:szCs w:val="24"/>
        </w:rPr>
      </w:pPr>
    </w:p>
    <w:p w14:paraId="184789A1" w14:textId="77777777" w:rsidR="0096245B" w:rsidRPr="003C3B8C" w:rsidRDefault="0096245B">
      <w:pPr>
        <w:rPr>
          <w:szCs w:val="24"/>
        </w:rPr>
      </w:pPr>
    </w:p>
    <w:p w14:paraId="0B77B298" w14:textId="77777777" w:rsidR="0096245B" w:rsidRPr="003C3B8C" w:rsidRDefault="0096245B">
      <w:pPr>
        <w:rPr>
          <w:szCs w:val="24"/>
        </w:rPr>
      </w:pPr>
    </w:p>
    <w:p w14:paraId="0A0B212D" w14:textId="77777777" w:rsidR="00525A69" w:rsidRDefault="00E8446B">
      <w:pPr>
        <w:rPr>
          <w:szCs w:val="24"/>
        </w:rPr>
      </w:pPr>
      <w:r w:rsidRPr="003C3B8C">
        <w:rPr>
          <w:szCs w:val="24"/>
        </w:rPr>
        <w:lastRenderedPageBreak/>
        <w:t>Tilsyn u</w:t>
      </w:r>
      <w:r w:rsidR="00525A69" w:rsidRPr="003C3B8C">
        <w:rPr>
          <w:szCs w:val="24"/>
        </w:rPr>
        <w:t>dført af:</w:t>
      </w:r>
      <w:r w:rsidR="00525A69" w:rsidRPr="003C3B8C">
        <w:rPr>
          <w:szCs w:val="24"/>
        </w:rPr>
        <w:tab/>
      </w:r>
      <w:bookmarkStart w:id="6" w:name="case_officer_long_nameX2"/>
      <w:bookmarkEnd w:id="6"/>
      <w:r w:rsidR="0096245B" w:rsidRPr="003C3B8C">
        <w:rPr>
          <w:szCs w:val="24"/>
        </w:rPr>
        <w:t>Jakob Sølvhøj Roelsgaard</w:t>
      </w:r>
    </w:p>
    <w:p w14:paraId="68047869" w14:textId="77777777" w:rsidR="00AA13E9" w:rsidRPr="003656EB" w:rsidRDefault="00AA13E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Miljøs</w:t>
      </w:r>
      <w:r w:rsidRPr="003656EB">
        <w:rPr>
          <w:szCs w:val="24"/>
        </w:rPr>
        <w:t>agsbehandler</w:t>
      </w:r>
    </w:p>
    <w:p w14:paraId="0E8C55C6" w14:textId="77777777" w:rsidR="00317FA6" w:rsidRPr="003656EB" w:rsidRDefault="00024131" w:rsidP="00024131">
      <w:pPr>
        <w:rPr>
          <w:szCs w:val="24"/>
        </w:rPr>
      </w:pPr>
      <w:r w:rsidRPr="003656EB">
        <w:rPr>
          <w:szCs w:val="24"/>
        </w:rPr>
        <w:tab/>
      </w:r>
      <w:r w:rsidRPr="003656EB">
        <w:rPr>
          <w:szCs w:val="24"/>
        </w:rPr>
        <w:tab/>
      </w:r>
      <w:bookmarkStart w:id="7" w:name="case_officer_title"/>
      <w:bookmarkEnd w:id="7"/>
    </w:p>
    <w:p w14:paraId="38C3498C" w14:textId="7AD136E2" w:rsidR="00317FA6" w:rsidRPr="003656EB" w:rsidRDefault="0004797C" w:rsidP="00317FA6">
      <w:pPr>
        <w:ind w:left="1871" w:firstLine="681"/>
        <w:rPr>
          <w:szCs w:val="24"/>
        </w:rPr>
      </w:pPr>
      <w:r w:rsidRPr="003656EB">
        <w:rPr>
          <w:szCs w:val="24"/>
        </w:rPr>
        <w:t>T</w:t>
      </w:r>
      <w:r w:rsidR="00024131" w:rsidRPr="003656EB">
        <w:rPr>
          <w:szCs w:val="24"/>
        </w:rPr>
        <w:t>el</w:t>
      </w:r>
      <w:r w:rsidR="00317FA6" w:rsidRPr="003656EB">
        <w:rPr>
          <w:szCs w:val="24"/>
        </w:rPr>
        <w:t xml:space="preserve">: </w:t>
      </w:r>
      <w:bookmarkStart w:id="8" w:name="case_officer_telephone"/>
      <w:bookmarkEnd w:id="8"/>
      <w:r w:rsidR="00995A40" w:rsidRPr="003656EB">
        <w:rPr>
          <w:szCs w:val="24"/>
        </w:rPr>
        <w:t xml:space="preserve">8959 </w:t>
      </w:r>
      <w:r w:rsidR="003656EB" w:rsidRPr="003656EB">
        <w:rPr>
          <w:szCs w:val="24"/>
        </w:rPr>
        <w:t>4016</w:t>
      </w:r>
    </w:p>
    <w:p w14:paraId="36E957AD" w14:textId="6DE091EA" w:rsidR="00837C2B" w:rsidRPr="003656EB" w:rsidRDefault="0004797C" w:rsidP="00884F39">
      <w:pPr>
        <w:ind w:left="1871" w:firstLine="681"/>
        <w:rPr>
          <w:szCs w:val="24"/>
        </w:rPr>
      </w:pPr>
      <w:r w:rsidRPr="003656EB">
        <w:rPr>
          <w:szCs w:val="24"/>
        </w:rPr>
        <w:t>E</w:t>
      </w:r>
      <w:r w:rsidR="00317FA6" w:rsidRPr="003656EB">
        <w:rPr>
          <w:szCs w:val="24"/>
        </w:rPr>
        <w:t>-mail:</w:t>
      </w:r>
      <w:r w:rsidR="003656EB" w:rsidRPr="003656EB">
        <w:rPr>
          <w:szCs w:val="24"/>
        </w:rPr>
        <w:t xml:space="preserve"> Jasr</w:t>
      </w:r>
      <w:r w:rsidR="00FB1693" w:rsidRPr="003656EB">
        <w:rPr>
          <w:szCs w:val="24"/>
        </w:rPr>
        <w:t>@norddjurs.dk</w:t>
      </w:r>
    </w:p>
    <w:p w14:paraId="30D55D31" w14:textId="77777777" w:rsidR="00FB1693" w:rsidRDefault="00FB1693" w:rsidP="00884F39">
      <w:pPr>
        <w:ind w:left="1871" w:firstLine="681"/>
        <w:rPr>
          <w:szCs w:val="24"/>
        </w:rPr>
      </w:pPr>
    </w:p>
    <w:p w14:paraId="0464F65F" w14:textId="77777777" w:rsidR="00FB1693" w:rsidRDefault="00FB1693" w:rsidP="00884F39">
      <w:pPr>
        <w:ind w:left="1871" w:firstLine="681"/>
        <w:rPr>
          <w:szCs w:val="24"/>
        </w:rPr>
      </w:pPr>
    </w:p>
    <w:p w14:paraId="304C5E9F" w14:textId="77777777" w:rsidR="00FB1693" w:rsidRDefault="00FB1693" w:rsidP="00884F39">
      <w:pPr>
        <w:ind w:left="1871" w:firstLine="681"/>
        <w:rPr>
          <w:szCs w:val="24"/>
        </w:rPr>
      </w:pPr>
    </w:p>
    <w:p w14:paraId="7CD6D7DE" w14:textId="77777777" w:rsidR="00FB1693" w:rsidRDefault="00FB1693" w:rsidP="00884F39">
      <w:pPr>
        <w:ind w:left="1871" w:firstLine="681"/>
        <w:rPr>
          <w:szCs w:val="24"/>
        </w:rPr>
      </w:pPr>
    </w:p>
    <w:p w14:paraId="5924653F" w14:textId="77777777" w:rsidR="00FB1693" w:rsidRDefault="00FB1693" w:rsidP="00884F39">
      <w:pPr>
        <w:ind w:left="1871" w:firstLine="681"/>
        <w:rPr>
          <w:szCs w:val="24"/>
        </w:rPr>
      </w:pPr>
    </w:p>
    <w:p w14:paraId="644CF6A1" w14:textId="77777777" w:rsidR="00FB1693" w:rsidRPr="005C2AAF" w:rsidRDefault="00FB1693" w:rsidP="00884F39">
      <w:pPr>
        <w:ind w:left="1871" w:firstLine="681"/>
        <w:rPr>
          <w:rFonts w:ascii="Tahoma" w:hAnsi="Tahoma" w:cs="Tahoma"/>
          <w:sz w:val="20"/>
        </w:rPr>
      </w:pPr>
    </w:p>
    <w:sectPr w:rsidR="00FB1693" w:rsidRPr="005C2AAF">
      <w:headerReference w:type="default" r:id="rId14"/>
      <w:footerReference w:type="even" r:id="rId15"/>
      <w:footerReference w:type="default" r:id="rId16"/>
      <w:pgSz w:w="11907" w:h="16840" w:code="9"/>
      <w:pgMar w:top="993" w:right="992" w:bottom="1135" w:left="1134" w:header="708" w:footer="708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A6F2" w14:textId="77777777" w:rsidR="004303FA" w:rsidRDefault="004303FA">
      <w:r>
        <w:separator/>
      </w:r>
    </w:p>
  </w:endnote>
  <w:endnote w:type="continuationSeparator" w:id="0">
    <w:p w14:paraId="67A4F7FF" w14:textId="77777777" w:rsidR="004303FA" w:rsidRDefault="004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1E39" w14:textId="77777777" w:rsidR="00AF13E7" w:rsidRDefault="00AF13E7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81723D0" w14:textId="77777777" w:rsidR="00AF13E7" w:rsidRDefault="00AF13E7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9754" w14:textId="77777777" w:rsidR="00AF13E7" w:rsidRPr="005C2AAF" w:rsidRDefault="00AF13E7" w:rsidP="00FB1693">
    <w:pPr>
      <w:pStyle w:val="Sidefod"/>
      <w:framePr w:wrap="around" w:vAnchor="text" w:hAnchor="page" w:x="5686" w:y="277"/>
      <w:rPr>
        <w:rStyle w:val="Sidetal"/>
        <w:rFonts w:ascii="Tahoma" w:hAnsi="Tahoma" w:cs="Tahoma"/>
        <w:sz w:val="16"/>
        <w:szCs w:val="16"/>
      </w:rPr>
    </w:pPr>
    <w:r w:rsidRPr="005C2AAF">
      <w:rPr>
        <w:rStyle w:val="Sidetal"/>
        <w:rFonts w:ascii="Tahoma" w:hAnsi="Tahoma" w:cs="Tahoma"/>
        <w:sz w:val="16"/>
        <w:szCs w:val="16"/>
      </w:rPr>
      <w:fldChar w:fldCharType="begin"/>
    </w:r>
    <w:r w:rsidRPr="005C2AAF">
      <w:rPr>
        <w:rStyle w:val="Sidetal"/>
        <w:rFonts w:ascii="Tahoma" w:hAnsi="Tahoma" w:cs="Tahoma"/>
        <w:sz w:val="16"/>
        <w:szCs w:val="16"/>
      </w:rPr>
      <w:instrText xml:space="preserve">PAGE  </w:instrText>
    </w:r>
    <w:r w:rsidRPr="005C2AAF">
      <w:rPr>
        <w:rStyle w:val="Sidetal"/>
        <w:rFonts w:ascii="Tahoma" w:hAnsi="Tahoma" w:cs="Tahoma"/>
        <w:sz w:val="16"/>
        <w:szCs w:val="16"/>
      </w:rPr>
      <w:fldChar w:fldCharType="separate"/>
    </w:r>
    <w:r w:rsidR="00F271D9">
      <w:rPr>
        <w:rStyle w:val="Sidetal"/>
        <w:rFonts w:ascii="Tahoma" w:hAnsi="Tahoma" w:cs="Tahoma"/>
        <w:noProof/>
        <w:sz w:val="16"/>
        <w:szCs w:val="16"/>
      </w:rPr>
      <w:t>2</w:t>
    </w:r>
    <w:r w:rsidRPr="005C2AAF">
      <w:rPr>
        <w:rStyle w:val="Sidetal"/>
        <w:rFonts w:ascii="Tahoma" w:hAnsi="Tahoma" w:cs="Tahoma"/>
        <w:sz w:val="16"/>
        <w:szCs w:val="16"/>
      </w:rPr>
      <w:fldChar w:fldCharType="end"/>
    </w:r>
  </w:p>
  <w:p w14:paraId="09251782" w14:textId="77777777" w:rsidR="00AF13E7" w:rsidRPr="005C2AAF" w:rsidRDefault="00AF13E7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Tahoma" w:hAnsi="Tahoma" w:cs="Tahoma"/>
        <w:sz w:val="16"/>
        <w:szCs w:val="16"/>
      </w:rPr>
    </w:pPr>
    <w:r w:rsidRPr="005C2AAF">
      <w:rPr>
        <w:rFonts w:ascii="Tahoma" w:hAnsi="Tahoma" w:cs="Tahoma"/>
        <w:sz w:val="16"/>
        <w:szCs w:val="16"/>
      </w:rPr>
      <w:t>Tilsynsrapport for landbrugstilsyn</w:t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5253" w14:textId="77777777" w:rsidR="004303FA" w:rsidRDefault="004303FA">
      <w:r>
        <w:separator/>
      </w:r>
    </w:p>
  </w:footnote>
  <w:footnote w:type="continuationSeparator" w:id="0">
    <w:p w14:paraId="554A032F" w14:textId="77777777" w:rsidR="004303FA" w:rsidRDefault="0043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B5E0" w14:textId="77777777" w:rsidR="00AF13E7" w:rsidRDefault="00AF13E7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45pt;height:43.8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5F6B88"/>
    <w:multiLevelType w:val="hybridMultilevel"/>
    <w:tmpl w:val="4F6E7D16"/>
    <w:lvl w:ilvl="0" w:tplc="690C52A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104297">
    <w:abstractNumId w:val="1"/>
  </w:num>
  <w:num w:numId="2" w16cid:durableId="1433738814">
    <w:abstractNumId w:val="0"/>
  </w:num>
  <w:num w:numId="3" w16cid:durableId="499538920">
    <w:abstractNumId w:val="4"/>
  </w:num>
  <w:num w:numId="4" w16cid:durableId="1102798272">
    <w:abstractNumId w:val="3"/>
  </w:num>
  <w:num w:numId="5" w16cid:durableId="609778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68CEC95-7FD1-46B4-AFD3-45438BDCB5C4}"/>
  </w:docVars>
  <w:rsids>
    <w:rsidRoot w:val="005C698E"/>
    <w:rsid w:val="00004D45"/>
    <w:rsid w:val="00012698"/>
    <w:rsid w:val="000133FC"/>
    <w:rsid w:val="00024131"/>
    <w:rsid w:val="000263E3"/>
    <w:rsid w:val="00031909"/>
    <w:rsid w:val="0004797C"/>
    <w:rsid w:val="00052446"/>
    <w:rsid w:val="00065462"/>
    <w:rsid w:val="00073D38"/>
    <w:rsid w:val="0009489D"/>
    <w:rsid w:val="000A39EB"/>
    <w:rsid w:val="000B1691"/>
    <w:rsid w:val="000B29CC"/>
    <w:rsid w:val="000E6578"/>
    <w:rsid w:val="000F00C6"/>
    <w:rsid w:val="00100F01"/>
    <w:rsid w:val="00105BD5"/>
    <w:rsid w:val="00107ED6"/>
    <w:rsid w:val="001140C7"/>
    <w:rsid w:val="00130436"/>
    <w:rsid w:val="001332A6"/>
    <w:rsid w:val="00143425"/>
    <w:rsid w:val="00170773"/>
    <w:rsid w:val="00185933"/>
    <w:rsid w:val="001913EA"/>
    <w:rsid w:val="00193604"/>
    <w:rsid w:val="001A252B"/>
    <w:rsid w:val="001A2BA6"/>
    <w:rsid w:val="001C24DD"/>
    <w:rsid w:val="001D50FF"/>
    <w:rsid w:val="001E02FD"/>
    <w:rsid w:val="001F2A4A"/>
    <w:rsid w:val="001F5128"/>
    <w:rsid w:val="00205583"/>
    <w:rsid w:val="00216161"/>
    <w:rsid w:val="00230161"/>
    <w:rsid w:val="00235542"/>
    <w:rsid w:val="00242521"/>
    <w:rsid w:val="00243EA7"/>
    <w:rsid w:val="00245772"/>
    <w:rsid w:val="002473A8"/>
    <w:rsid w:val="0027419A"/>
    <w:rsid w:val="00274AA6"/>
    <w:rsid w:val="002819CF"/>
    <w:rsid w:val="00284E58"/>
    <w:rsid w:val="00297C42"/>
    <w:rsid w:val="002B1D7B"/>
    <w:rsid w:val="002B2F58"/>
    <w:rsid w:val="002B40EA"/>
    <w:rsid w:val="002B6873"/>
    <w:rsid w:val="002C0D92"/>
    <w:rsid w:val="002C7BB6"/>
    <w:rsid w:val="002F027C"/>
    <w:rsid w:val="002F6674"/>
    <w:rsid w:val="00317FA6"/>
    <w:rsid w:val="00320745"/>
    <w:rsid w:val="00326C4D"/>
    <w:rsid w:val="00332B79"/>
    <w:rsid w:val="00342F22"/>
    <w:rsid w:val="0034594C"/>
    <w:rsid w:val="003466AB"/>
    <w:rsid w:val="00351346"/>
    <w:rsid w:val="00355813"/>
    <w:rsid w:val="003656EB"/>
    <w:rsid w:val="00371446"/>
    <w:rsid w:val="0038164A"/>
    <w:rsid w:val="003830D2"/>
    <w:rsid w:val="00394D69"/>
    <w:rsid w:val="003964FB"/>
    <w:rsid w:val="003A4C67"/>
    <w:rsid w:val="003B4A1C"/>
    <w:rsid w:val="003C3B8C"/>
    <w:rsid w:val="003E68A7"/>
    <w:rsid w:val="003F1243"/>
    <w:rsid w:val="003F5179"/>
    <w:rsid w:val="00400B85"/>
    <w:rsid w:val="004048BD"/>
    <w:rsid w:val="00405E6E"/>
    <w:rsid w:val="004152AD"/>
    <w:rsid w:val="004175A4"/>
    <w:rsid w:val="0042258B"/>
    <w:rsid w:val="00423ADB"/>
    <w:rsid w:val="00424339"/>
    <w:rsid w:val="004254C9"/>
    <w:rsid w:val="004303FA"/>
    <w:rsid w:val="00444F5E"/>
    <w:rsid w:val="0045283C"/>
    <w:rsid w:val="00455969"/>
    <w:rsid w:val="004654B4"/>
    <w:rsid w:val="0048059F"/>
    <w:rsid w:val="00486213"/>
    <w:rsid w:val="00492B06"/>
    <w:rsid w:val="004A168F"/>
    <w:rsid w:val="004A2731"/>
    <w:rsid w:val="004A6EE3"/>
    <w:rsid w:val="004B4CAC"/>
    <w:rsid w:val="004D03CB"/>
    <w:rsid w:val="004E158F"/>
    <w:rsid w:val="004E25A1"/>
    <w:rsid w:val="004E2D6E"/>
    <w:rsid w:val="004E7C27"/>
    <w:rsid w:val="00512DEE"/>
    <w:rsid w:val="00514730"/>
    <w:rsid w:val="00515CC5"/>
    <w:rsid w:val="00520220"/>
    <w:rsid w:val="00521B4C"/>
    <w:rsid w:val="00525A69"/>
    <w:rsid w:val="00531226"/>
    <w:rsid w:val="00542BF3"/>
    <w:rsid w:val="0055629D"/>
    <w:rsid w:val="00560F93"/>
    <w:rsid w:val="00561420"/>
    <w:rsid w:val="0056168A"/>
    <w:rsid w:val="00562619"/>
    <w:rsid w:val="00573944"/>
    <w:rsid w:val="00575C23"/>
    <w:rsid w:val="00577D24"/>
    <w:rsid w:val="00584E8B"/>
    <w:rsid w:val="005B36D4"/>
    <w:rsid w:val="005C2AAF"/>
    <w:rsid w:val="005C33AC"/>
    <w:rsid w:val="005C698E"/>
    <w:rsid w:val="005C6C6B"/>
    <w:rsid w:val="005D7055"/>
    <w:rsid w:val="005E1542"/>
    <w:rsid w:val="005E278E"/>
    <w:rsid w:val="00612CBB"/>
    <w:rsid w:val="006213DC"/>
    <w:rsid w:val="00623E3C"/>
    <w:rsid w:val="006326CC"/>
    <w:rsid w:val="006346C4"/>
    <w:rsid w:val="0064732F"/>
    <w:rsid w:val="00653D88"/>
    <w:rsid w:val="00661494"/>
    <w:rsid w:val="00663957"/>
    <w:rsid w:val="00683CA5"/>
    <w:rsid w:val="006A0EA8"/>
    <w:rsid w:val="006A33C0"/>
    <w:rsid w:val="006A50F9"/>
    <w:rsid w:val="006C260A"/>
    <w:rsid w:val="006C296E"/>
    <w:rsid w:val="006C332C"/>
    <w:rsid w:val="006C3B40"/>
    <w:rsid w:val="006C7E84"/>
    <w:rsid w:val="006D357C"/>
    <w:rsid w:val="006D3810"/>
    <w:rsid w:val="006F131F"/>
    <w:rsid w:val="006F733E"/>
    <w:rsid w:val="00703C9E"/>
    <w:rsid w:val="00710B4B"/>
    <w:rsid w:val="00720565"/>
    <w:rsid w:val="0073586E"/>
    <w:rsid w:val="00740DC5"/>
    <w:rsid w:val="007421B2"/>
    <w:rsid w:val="0074348F"/>
    <w:rsid w:val="00774361"/>
    <w:rsid w:val="00785381"/>
    <w:rsid w:val="0078788C"/>
    <w:rsid w:val="007A4EDC"/>
    <w:rsid w:val="007B09EB"/>
    <w:rsid w:val="007C29C7"/>
    <w:rsid w:val="007E5757"/>
    <w:rsid w:val="007E591F"/>
    <w:rsid w:val="007F6D38"/>
    <w:rsid w:val="00825C71"/>
    <w:rsid w:val="00826019"/>
    <w:rsid w:val="00833211"/>
    <w:rsid w:val="00833D87"/>
    <w:rsid w:val="00837C2B"/>
    <w:rsid w:val="00853DE1"/>
    <w:rsid w:val="00856115"/>
    <w:rsid w:val="008573AA"/>
    <w:rsid w:val="00867772"/>
    <w:rsid w:val="00875250"/>
    <w:rsid w:val="00876973"/>
    <w:rsid w:val="00877986"/>
    <w:rsid w:val="00884F39"/>
    <w:rsid w:val="008B7379"/>
    <w:rsid w:val="008B7999"/>
    <w:rsid w:val="008D74E7"/>
    <w:rsid w:val="008E0FBF"/>
    <w:rsid w:val="008E14B3"/>
    <w:rsid w:val="00906519"/>
    <w:rsid w:val="00916836"/>
    <w:rsid w:val="00922A0A"/>
    <w:rsid w:val="0092660C"/>
    <w:rsid w:val="0093098D"/>
    <w:rsid w:val="00931AC8"/>
    <w:rsid w:val="00931F09"/>
    <w:rsid w:val="009338F0"/>
    <w:rsid w:val="00936AD1"/>
    <w:rsid w:val="00951021"/>
    <w:rsid w:val="0096245B"/>
    <w:rsid w:val="00965FCF"/>
    <w:rsid w:val="0098219A"/>
    <w:rsid w:val="0098683B"/>
    <w:rsid w:val="00995A40"/>
    <w:rsid w:val="009A3865"/>
    <w:rsid w:val="009A7667"/>
    <w:rsid w:val="009C576E"/>
    <w:rsid w:val="009E3FBA"/>
    <w:rsid w:val="009F1005"/>
    <w:rsid w:val="00A106FF"/>
    <w:rsid w:val="00A11C1C"/>
    <w:rsid w:val="00A24AF9"/>
    <w:rsid w:val="00A33E45"/>
    <w:rsid w:val="00A41C45"/>
    <w:rsid w:val="00A450C6"/>
    <w:rsid w:val="00A45906"/>
    <w:rsid w:val="00A45983"/>
    <w:rsid w:val="00A640A2"/>
    <w:rsid w:val="00A64370"/>
    <w:rsid w:val="00A654A7"/>
    <w:rsid w:val="00A85494"/>
    <w:rsid w:val="00A87424"/>
    <w:rsid w:val="00A87436"/>
    <w:rsid w:val="00A95A93"/>
    <w:rsid w:val="00AA13E9"/>
    <w:rsid w:val="00AA388C"/>
    <w:rsid w:val="00AD020A"/>
    <w:rsid w:val="00AE0507"/>
    <w:rsid w:val="00AF13E7"/>
    <w:rsid w:val="00B10187"/>
    <w:rsid w:val="00B14372"/>
    <w:rsid w:val="00B24B11"/>
    <w:rsid w:val="00B356B3"/>
    <w:rsid w:val="00B36BC0"/>
    <w:rsid w:val="00B4293D"/>
    <w:rsid w:val="00B4434F"/>
    <w:rsid w:val="00B476BE"/>
    <w:rsid w:val="00B5122B"/>
    <w:rsid w:val="00B74F50"/>
    <w:rsid w:val="00B753D1"/>
    <w:rsid w:val="00B96B01"/>
    <w:rsid w:val="00B96BB2"/>
    <w:rsid w:val="00BA0836"/>
    <w:rsid w:val="00BC306A"/>
    <w:rsid w:val="00BD01F5"/>
    <w:rsid w:val="00BE741F"/>
    <w:rsid w:val="00BF331C"/>
    <w:rsid w:val="00C03E26"/>
    <w:rsid w:val="00C10A0B"/>
    <w:rsid w:val="00C14FB9"/>
    <w:rsid w:val="00C27EE1"/>
    <w:rsid w:val="00C305DF"/>
    <w:rsid w:val="00C37C19"/>
    <w:rsid w:val="00C52022"/>
    <w:rsid w:val="00C62228"/>
    <w:rsid w:val="00C63C72"/>
    <w:rsid w:val="00C715DC"/>
    <w:rsid w:val="00C73CD5"/>
    <w:rsid w:val="00C7466A"/>
    <w:rsid w:val="00C80311"/>
    <w:rsid w:val="00CB75CD"/>
    <w:rsid w:val="00CC0504"/>
    <w:rsid w:val="00CD681C"/>
    <w:rsid w:val="00CE614F"/>
    <w:rsid w:val="00D02360"/>
    <w:rsid w:val="00D34AA6"/>
    <w:rsid w:val="00D373BB"/>
    <w:rsid w:val="00D474A1"/>
    <w:rsid w:val="00D5081E"/>
    <w:rsid w:val="00D53139"/>
    <w:rsid w:val="00D5673C"/>
    <w:rsid w:val="00D72C29"/>
    <w:rsid w:val="00D7653F"/>
    <w:rsid w:val="00D77B71"/>
    <w:rsid w:val="00D87245"/>
    <w:rsid w:val="00D91DF6"/>
    <w:rsid w:val="00DA096C"/>
    <w:rsid w:val="00DA6F7C"/>
    <w:rsid w:val="00DC309E"/>
    <w:rsid w:val="00DE5F9E"/>
    <w:rsid w:val="00DF34E1"/>
    <w:rsid w:val="00DF4468"/>
    <w:rsid w:val="00E22C04"/>
    <w:rsid w:val="00E31694"/>
    <w:rsid w:val="00E42125"/>
    <w:rsid w:val="00E50922"/>
    <w:rsid w:val="00E5126F"/>
    <w:rsid w:val="00E531ED"/>
    <w:rsid w:val="00E65A0E"/>
    <w:rsid w:val="00E71718"/>
    <w:rsid w:val="00E719F4"/>
    <w:rsid w:val="00E814C6"/>
    <w:rsid w:val="00E83C85"/>
    <w:rsid w:val="00E8446B"/>
    <w:rsid w:val="00E856AD"/>
    <w:rsid w:val="00E90960"/>
    <w:rsid w:val="00EA011C"/>
    <w:rsid w:val="00EA04D3"/>
    <w:rsid w:val="00EB396D"/>
    <w:rsid w:val="00EC3A0B"/>
    <w:rsid w:val="00ED13D5"/>
    <w:rsid w:val="00ED1DA4"/>
    <w:rsid w:val="00EE4AB8"/>
    <w:rsid w:val="00F01645"/>
    <w:rsid w:val="00F02E33"/>
    <w:rsid w:val="00F0465B"/>
    <w:rsid w:val="00F10F04"/>
    <w:rsid w:val="00F23A9F"/>
    <w:rsid w:val="00F271D9"/>
    <w:rsid w:val="00F27DD0"/>
    <w:rsid w:val="00F31313"/>
    <w:rsid w:val="00F316D0"/>
    <w:rsid w:val="00F3608F"/>
    <w:rsid w:val="00F41A27"/>
    <w:rsid w:val="00F46E40"/>
    <w:rsid w:val="00F569EB"/>
    <w:rsid w:val="00F56E37"/>
    <w:rsid w:val="00F86EC9"/>
    <w:rsid w:val="00FB1693"/>
    <w:rsid w:val="00FC18F7"/>
    <w:rsid w:val="00FC7B40"/>
    <w:rsid w:val="00FD187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4F352597"/>
  <w15:chartTrackingRefBased/>
  <w15:docId w15:val="{D12CE394-48CC-42AD-8674-57B1B1E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93098D"/>
    <w:rPr>
      <w:b/>
      <w:sz w:val="32"/>
      <w:lang w:eastAsia="en-US"/>
    </w:rPr>
  </w:style>
  <w:style w:type="paragraph" w:customStyle="1" w:styleId="Skriftbrev">
    <w:name w:val="Skrift_brev"/>
    <w:basedOn w:val="Normal"/>
    <w:rsid w:val="00514730"/>
    <w:pPr>
      <w:ind w:left="0"/>
      <w:jc w:val="left"/>
    </w:pPr>
    <w:rPr>
      <w:rFonts w:ascii="Trebuchet MS" w:hAnsi="Trebuchet MS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21B2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421B2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21B2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1B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1B2"/>
    <w:rPr>
      <w:rFonts w:ascii="Segoe UI" w:hAnsi="Segoe UI" w:cs="Segoe UI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FB1693"/>
    <w:rPr>
      <w:sz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FB169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E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lr-chr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vr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sinfo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djurs.d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1FD0-5D42-4CE7-B466-3F7FE7D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3</Pages>
  <Words>366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2983</CharactersWithSpaces>
  <SharedDoc>false</SharedDoc>
  <HLinks>
    <vt:vector size="30" baseType="variant"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6750243</vt:i4>
      </vt:variant>
      <vt:variant>
        <vt:i4>9</vt:i4>
      </vt:variant>
      <vt:variant>
        <vt:i4>0</vt:i4>
      </vt:variant>
      <vt:variant>
        <vt:i4>5</vt:i4>
      </vt:variant>
      <vt:variant>
        <vt:lpwstr>http://www.retsinfo.dk/</vt:lpwstr>
      </vt:variant>
      <vt:variant>
        <vt:lpwstr/>
      </vt:variant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http://www.norddjurs.dk/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cp:lastModifiedBy>Jakob Sølvhøj Roelsgaard</cp:lastModifiedBy>
  <cp:revision>2</cp:revision>
  <cp:lastPrinted>2005-05-04T09:21:00Z</cp:lastPrinted>
  <dcterms:created xsi:type="dcterms:W3CDTF">2024-01-22T13:03:00Z</dcterms:created>
  <dcterms:modified xsi:type="dcterms:W3CDTF">2024-01-22T13:03:00Z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{2F8F5629-B46A-4955-B852-EDD2416CB6D6}</vt:lpwstr>
  </property>
</Properties>
</file>