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3BA" w:rsidRDefault="00DB03BA" w:rsidP="00E2308C"/>
    <w:p w:rsidR="00D40A14" w:rsidRDefault="00D40A14" w:rsidP="00E2308C"/>
    <w:p w:rsidR="00D40A14" w:rsidRDefault="00D40A14" w:rsidP="00E2308C"/>
    <w:p w:rsidR="00D40A14" w:rsidRDefault="00D40A14" w:rsidP="00E2308C"/>
    <w:p w:rsidR="00D40A14" w:rsidRPr="005F7AA0" w:rsidRDefault="00D40A14" w:rsidP="00E2308C"/>
    <w:p w:rsidR="005F7AA0" w:rsidRDefault="005F7AA0" w:rsidP="00E2308C">
      <w:pPr>
        <w:sectPr w:rsidR="005F7AA0" w:rsidSect="005F7AA0">
          <w:headerReference w:type="first" r:id="rId8"/>
          <w:pgSz w:w="11906" w:h="16838"/>
          <w:pgMar w:top="851" w:right="851" w:bottom="851" w:left="1418" w:header="850" w:footer="737" w:gutter="0"/>
          <w:cols w:space="227"/>
          <w:titlePg/>
          <w:docGrid w:linePitch="360"/>
        </w:sectPr>
      </w:pPr>
    </w:p>
    <w:p w:rsidR="00B51095" w:rsidRDefault="00B51095" w:rsidP="00E2308C">
      <w:bookmarkStart w:id="0" w:name="bmkStart"/>
      <w:bookmarkEnd w:id="0"/>
    </w:p>
    <w:p w:rsidR="00C77780" w:rsidRDefault="00C77780" w:rsidP="00E2308C"/>
    <w:p w:rsidR="00C77780" w:rsidRDefault="00C77780" w:rsidP="00E2308C"/>
    <w:p w:rsidR="00C77780" w:rsidRDefault="00C77780" w:rsidP="00E2308C"/>
    <w:p w:rsidR="00C77780" w:rsidRDefault="00C77780" w:rsidP="00E2308C"/>
    <w:p w:rsidR="00C77780" w:rsidRDefault="00C77780" w:rsidP="00E2308C"/>
    <w:p w:rsidR="00C77780" w:rsidRDefault="00C77780" w:rsidP="00E2308C"/>
    <w:p w:rsidR="00C77780" w:rsidRDefault="00C77780" w:rsidP="00E2308C"/>
    <w:p w:rsidR="00C77780" w:rsidRDefault="00C77780" w:rsidP="00E2308C"/>
    <w:p w:rsidR="00C77780" w:rsidRDefault="00C77780" w:rsidP="00E2308C"/>
    <w:p w:rsidR="00C77780" w:rsidRDefault="00C77780" w:rsidP="00E2308C"/>
    <w:p w:rsidR="00C77780" w:rsidRDefault="00C77780" w:rsidP="00E2308C"/>
    <w:p w:rsidR="00C77780" w:rsidRDefault="00C77780" w:rsidP="00E2308C"/>
    <w:p w:rsidR="00C77780" w:rsidRDefault="00C77780" w:rsidP="00E2308C"/>
    <w:p w:rsidR="00C77780" w:rsidRDefault="00C77780" w:rsidP="00E2308C"/>
    <w:p w:rsidR="00C77780" w:rsidRDefault="00C77780" w:rsidP="00E2308C"/>
    <w:p w:rsidR="00C77780" w:rsidRDefault="00C77780" w:rsidP="00E2308C"/>
    <w:p w:rsidR="00C77780" w:rsidRDefault="00C77780" w:rsidP="00E2308C"/>
    <w:p w:rsidR="00C77780" w:rsidRDefault="00C7778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8461D0" w:rsidRDefault="008461D0" w:rsidP="00E2308C"/>
    <w:p w:rsidR="00C77780" w:rsidRPr="008461D0" w:rsidRDefault="000C7794" w:rsidP="00E2308C">
      <w:pPr>
        <w:rPr>
          <w:b/>
          <w:sz w:val="32"/>
          <w:szCs w:val="32"/>
        </w:rPr>
      </w:pPr>
      <w:r w:rsidRPr="008461D0">
        <w:rPr>
          <w:b/>
          <w:sz w:val="32"/>
          <w:szCs w:val="32"/>
        </w:rPr>
        <w:t>Tillæg til miljøgodkendelse og VVM-screeningsafgørelse</w:t>
      </w:r>
    </w:p>
    <w:p w:rsidR="000C7794" w:rsidRPr="008461D0" w:rsidRDefault="000C7794" w:rsidP="008461D0">
      <w:pPr>
        <w:ind w:left="2608" w:firstLine="1304"/>
        <w:rPr>
          <w:b/>
          <w:sz w:val="32"/>
          <w:szCs w:val="32"/>
        </w:rPr>
      </w:pPr>
      <w:r w:rsidRPr="008461D0">
        <w:rPr>
          <w:b/>
          <w:sz w:val="32"/>
          <w:szCs w:val="32"/>
        </w:rPr>
        <w:lastRenderedPageBreak/>
        <w:t>Juli 2022</w:t>
      </w:r>
    </w:p>
    <w:p w:rsidR="000C7794" w:rsidRPr="008461D0" w:rsidRDefault="000C7794" w:rsidP="00E2308C">
      <w:pPr>
        <w:rPr>
          <w:b/>
          <w:sz w:val="32"/>
          <w:szCs w:val="32"/>
          <w:lang w:val="en-GB"/>
        </w:rPr>
      </w:pPr>
      <w:r w:rsidRPr="008461D0">
        <w:rPr>
          <w:b/>
          <w:sz w:val="32"/>
          <w:szCs w:val="32"/>
          <w:lang w:val="en-GB"/>
        </w:rPr>
        <w:t>Kerry Ingredients &amp; Flavours/Cremo Ingredients A/S</w:t>
      </w:r>
    </w:p>
    <w:p w:rsidR="000C7794" w:rsidRPr="008461D0" w:rsidRDefault="000C7794" w:rsidP="00E2308C">
      <w:pPr>
        <w:rPr>
          <w:b/>
          <w:sz w:val="32"/>
          <w:szCs w:val="32"/>
        </w:rPr>
      </w:pPr>
      <w:r w:rsidRPr="008461D0">
        <w:rPr>
          <w:b/>
          <w:sz w:val="32"/>
          <w:szCs w:val="32"/>
        </w:rPr>
        <w:t>Toftegårdsvej 3, 5620 Glamsbjerg</w:t>
      </w:r>
    </w:p>
    <w:p w:rsidR="000C7794" w:rsidRPr="008461D0" w:rsidRDefault="000C7794" w:rsidP="00E2308C">
      <w:pPr>
        <w:rPr>
          <w:b/>
          <w:sz w:val="32"/>
          <w:szCs w:val="32"/>
        </w:rPr>
      </w:pPr>
    </w:p>
    <w:p w:rsidR="00C77780" w:rsidRDefault="00C77780" w:rsidP="00E2308C"/>
    <w:p w:rsidR="00C77780" w:rsidRDefault="00C77780" w:rsidP="00E2308C"/>
    <w:p w:rsidR="00046511" w:rsidRDefault="00046511" w:rsidP="00E2308C">
      <w:r>
        <w:br w:type="page"/>
      </w:r>
    </w:p>
    <w:tbl>
      <w:tblPr>
        <w:tblStyle w:val="Tabel-Gitter"/>
        <w:tblW w:w="0" w:type="auto"/>
        <w:tblLook w:val="01E0" w:firstRow="1" w:lastRow="1" w:firstColumn="1" w:lastColumn="1" w:noHBand="0" w:noVBand="0"/>
      </w:tblPr>
      <w:tblGrid>
        <w:gridCol w:w="2808"/>
        <w:gridCol w:w="6516"/>
      </w:tblGrid>
      <w:tr w:rsidR="00F96B36" w:rsidRPr="00AC370A" w:rsidTr="00F55B94">
        <w:tc>
          <w:tcPr>
            <w:tcW w:w="2808" w:type="dxa"/>
          </w:tcPr>
          <w:p w:rsidR="00F96B36" w:rsidRPr="00AC370A" w:rsidRDefault="00F96B36" w:rsidP="00E2308C">
            <w:r>
              <w:lastRenderedPageBreak/>
              <w:t>Tillægget og VVM-screeningsafgørelsen</w:t>
            </w:r>
            <w:r w:rsidRPr="00AC370A">
              <w:t xml:space="preserve"> omfatter:</w:t>
            </w:r>
          </w:p>
        </w:tc>
        <w:tc>
          <w:tcPr>
            <w:tcW w:w="6516" w:type="dxa"/>
          </w:tcPr>
          <w:p w:rsidR="00F96B36" w:rsidRPr="00AC370A" w:rsidRDefault="00F96B36" w:rsidP="00486850">
            <w:pPr>
              <w:rPr>
                <w:sz w:val="22"/>
              </w:rPr>
            </w:pPr>
            <w:bookmarkStart w:id="1" w:name="godkomfat"/>
            <w:bookmarkStart w:id="2" w:name="navnTO"/>
            <w:bookmarkEnd w:id="1"/>
            <w:bookmarkEnd w:id="2"/>
            <w:r>
              <w:t>Tillæg til m</w:t>
            </w:r>
            <w:r w:rsidRPr="00AC370A">
              <w:t xml:space="preserve">iljøgodkendelse og </w:t>
            </w:r>
            <w:r w:rsidR="008461D0">
              <w:t>VVM-</w:t>
            </w:r>
            <w:r>
              <w:t>screeningsafgørelse vedr.</w:t>
            </w:r>
            <w:r w:rsidR="008461D0">
              <w:t xml:space="preserve"> udskiftning af gasbrændere </w:t>
            </w:r>
            <w:r w:rsidR="00486850">
              <w:t>til brændere til både olie og gas</w:t>
            </w:r>
            <w:r w:rsidR="008461D0">
              <w:t xml:space="preserve"> samt etablering af 50 m</w:t>
            </w:r>
            <w:r w:rsidR="008461D0" w:rsidRPr="008461D0">
              <w:rPr>
                <w:vertAlign w:val="superscript"/>
              </w:rPr>
              <w:t>3</w:t>
            </w:r>
            <w:r w:rsidR="008461D0">
              <w:t xml:space="preserve"> olietank</w:t>
            </w:r>
            <w:r>
              <w:t xml:space="preserve"> </w:t>
            </w:r>
          </w:p>
        </w:tc>
      </w:tr>
      <w:tr w:rsidR="00F96B36" w:rsidRPr="007042D2" w:rsidTr="00F55B94">
        <w:tc>
          <w:tcPr>
            <w:tcW w:w="2808" w:type="dxa"/>
          </w:tcPr>
          <w:p w:rsidR="00F96B36" w:rsidRPr="00AC370A" w:rsidRDefault="00F96B36" w:rsidP="00E2308C">
            <w:r w:rsidRPr="00AC370A">
              <w:t>Beliggende på:</w:t>
            </w:r>
          </w:p>
        </w:tc>
        <w:tc>
          <w:tcPr>
            <w:tcW w:w="6516" w:type="dxa"/>
          </w:tcPr>
          <w:p w:rsidR="00F96B36" w:rsidRPr="006634EF" w:rsidRDefault="00F96B36" w:rsidP="00E2308C">
            <w:bookmarkStart w:id="3" w:name="beliggendepaa"/>
            <w:bookmarkEnd w:id="3"/>
            <w:r>
              <w:t>Toftegårdsvej 3, 5620 Glamsbjerg.</w:t>
            </w:r>
          </w:p>
          <w:p w:rsidR="00F96B36" w:rsidRPr="007042D2" w:rsidRDefault="00F96B36" w:rsidP="00E2308C">
            <w:pPr>
              <w:rPr>
                <w:sz w:val="22"/>
                <w:lang w:val="en-GB"/>
              </w:rPr>
            </w:pPr>
            <w:r w:rsidRPr="007042D2">
              <w:rPr>
                <w:lang w:val="en-GB"/>
              </w:rPr>
              <w:t>Matr. nr. 23</w:t>
            </w:r>
            <w:r>
              <w:rPr>
                <w:lang w:val="en-GB"/>
              </w:rPr>
              <w:t>q</w:t>
            </w:r>
            <w:r w:rsidRPr="007042D2">
              <w:rPr>
                <w:lang w:val="en-GB"/>
              </w:rPr>
              <w:t>, Køng by, Køng.</w:t>
            </w:r>
          </w:p>
        </w:tc>
      </w:tr>
      <w:tr w:rsidR="00F96B36" w:rsidRPr="006F0C5C" w:rsidTr="00F55B94">
        <w:tc>
          <w:tcPr>
            <w:tcW w:w="2808" w:type="dxa"/>
          </w:tcPr>
          <w:p w:rsidR="00F96B36" w:rsidRPr="00AC370A" w:rsidRDefault="00F96B36" w:rsidP="00E2308C">
            <w:r w:rsidRPr="00AC370A">
              <w:t xml:space="preserve">Godkendelsen er </w:t>
            </w:r>
          </w:p>
          <w:p w:rsidR="00F96B36" w:rsidRPr="00AC370A" w:rsidRDefault="00F96B36" w:rsidP="00E2308C">
            <w:r w:rsidRPr="00AC370A">
              <w:t>meddelt til:</w:t>
            </w:r>
            <w:r w:rsidRPr="00AC370A">
              <w:tab/>
            </w:r>
          </w:p>
        </w:tc>
        <w:tc>
          <w:tcPr>
            <w:tcW w:w="6516" w:type="dxa"/>
          </w:tcPr>
          <w:p w:rsidR="00F96B36" w:rsidRPr="00AC370A" w:rsidRDefault="00F96B36" w:rsidP="00E2308C">
            <w:bookmarkStart w:id="4" w:name="godkmeddelttil"/>
            <w:bookmarkEnd w:id="4"/>
          </w:p>
          <w:p w:rsidR="00F96B36" w:rsidRPr="006F0C5C" w:rsidRDefault="00F96B36" w:rsidP="00E2308C">
            <w:pPr>
              <w:rPr>
                <w:lang w:val="en-GB"/>
              </w:rPr>
            </w:pPr>
            <w:r w:rsidRPr="006F0C5C">
              <w:rPr>
                <w:lang w:val="en-GB"/>
              </w:rPr>
              <w:t>Kerry Ingredients &amp; Flavours/Cremo Ingredients A/S</w:t>
            </w:r>
          </w:p>
        </w:tc>
      </w:tr>
      <w:tr w:rsidR="00F96B36" w:rsidRPr="00AC370A" w:rsidTr="00F55B94">
        <w:tc>
          <w:tcPr>
            <w:tcW w:w="2808" w:type="dxa"/>
          </w:tcPr>
          <w:p w:rsidR="00F96B36" w:rsidRPr="00AC370A" w:rsidRDefault="00F96B36" w:rsidP="00E2308C">
            <w:r w:rsidRPr="00AC370A">
              <w:t>CVR-nr.:</w:t>
            </w:r>
          </w:p>
        </w:tc>
        <w:tc>
          <w:tcPr>
            <w:tcW w:w="6516" w:type="dxa"/>
          </w:tcPr>
          <w:p w:rsidR="00F96B36" w:rsidRPr="006F0C5C" w:rsidRDefault="00F96B36" w:rsidP="00E2308C">
            <w:r w:rsidRPr="006F0C5C">
              <w:t>2768</w:t>
            </w:r>
            <w:r>
              <w:t xml:space="preserve"> </w:t>
            </w:r>
            <w:r w:rsidRPr="006F0C5C">
              <w:t>8470</w:t>
            </w:r>
          </w:p>
        </w:tc>
      </w:tr>
      <w:tr w:rsidR="00F96B36" w:rsidRPr="00AC370A" w:rsidTr="00F55B94">
        <w:tc>
          <w:tcPr>
            <w:tcW w:w="2808" w:type="dxa"/>
          </w:tcPr>
          <w:p w:rsidR="00F96B36" w:rsidRPr="00AC370A" w:rsidRDefault="00F96B36" w:rsidP="00E2308C">
            <w:r w:rsidRPr="00AC370A">
              <w:t>P-nr.:</w:t>
            </w:r>
          </w:p>
        </w:tc>
        <w:tc>
          <w:tcPr>
            <w:tcW w:w="6516" w:type="dxa"/>
          </w:tcPr>
          <w:p w:rsidR="00F96B36" w:rsidRPr="00AC370A" w:rsidRDefault="00F96B36" w:rsidP="00E2308C">
            <w:pPr>
              <w:rPr>
                <w:sz w:val="22"/>
              </w:rPr>
            </w:pPr>
            <w:r>
              <w:t>1010508963</w:t>
            </w:r>
          </w:p>
        </w:tc>
      </w:tr>
      <w:tr w:rsidR="00F96B36" w:rsidRPr="007042D2" w:rsidTr="00F55B94">
        <w:tc>
          <w:tcPr>
            <w:tcW w:w="2808" w:type="dxa"/>
          </w:tcPr>
          <w:p w:rsidR="00F96B36" w:rsidRPr="00AC370A" w:rsidRDefault="00F96B36" w:rsidP="00E2308C">
            <w:r w:rsidRPr="00AC370A">
              <w:t>Grundejer:</w:t>
            </w:r>
          </w:p>
        </w:tc>
        <w:tc>
          <w:tcPr>
            <w:tcW w:w="6516" w:type="dxa"/>
          </w:tcPr>
          <w:p w:rsidR="00F96B36" w:rsidRPr="006F0C5C" w:rsidRDefault="00F96B36" w:rsidP="00E2308C">
            <w:bookmarkStart w:id="5" w:name="grundejer"/>
            <w:bookmarkEnd w:id="5"/>
            <w:r w:rsidRPr="006F0C5C">
              <w:t>Cremo Ingredients A/S</w:t>
            </w:r>
            <w:r>
              <w:t>, Toftegårdsvej 3, 5620 Glamsbjerg.</w:t>
            </w:r>
          </w:p>
        </w:tc>
      </w:tr>
    </w:tbl>
    <w:p w:rsidR="00620128" w:rsidRDefault="00620128" w:rsidP="00E2308C"/>
    <w:p w:rsidR="00E2308C" w:rsidRDefault="00E2308C" w:rsidP="00E2308C"/>
    <w:p w:rsidR="00E2308C" w:rsidRDefault="00E2308C" w:rsidP="00E2308C"/>
    <w:p w:rsidR="00E2308C" w:rsidRDefault="00E2308C" w:rsidP="00E2308C"/>
    <w:p w:rsidR="00E2308C" w:rsidRDefault="00E2308C" w:rsidP="00E2308C"/>
    <w:p w:rsidR="00E2308C" w:rsidRDefault="00E2308C" w:rsidP="00E2308C"/>
    <w:p w:rsidR="00E2308C" w:rsidRDefault="00E2308C" w:rsidP="00E2308C"/>
    <w:tbl>
      <w:tblPr>
        <w:tblStyle w:val="Tabel-Gitter"/>
        <w:tblpPr w:leftFromText="141" w:rightFromText="141" w:tblpY="1254"/>
        <w:tblW w:w="6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3"/>
      </w:tblGrid>
      <w:tr w:rsidR="00620128" w:rsidRPr="00DC6BBC" w:rsidTr="00E44577">
        <w:trPr>
          <w:trHeight w:val="2558"/>
        </w:trPr>
        <w:tc>
          <w:tcPr>
            <w:tcW w:w="6803" w:type="dxa"/>
          </w:tcPr>
          <w:p w:rsidR="00620128" w:rsidRPr="006F0C5C" w:rsidRDefault="00620128" w:rsidP="00E2308C">
            <w:pPr>
              <w:rPr>
                <w:highlight w:val="yellow"/>
                <w:lang w:val="en-GB"/>
              </w:rPr>
            </w:pPr>
            <w:r w:rsidRPr="006F0C5C">
              <w:rPr>
                <w:lang w:val="en-GB"/>
              </w:rPr>
              <w:t>Kerry Ingredients &amp; Flavours/Cremo Ingredients A/S</w:t>
            </w:r>
          </w:p>
          <w:p w:rsidR="00620128" w:rsidRDefault="00620128" w:rsidP="00E2308C">
            <w:r>
              <w:t>Toftegårdsvej 3</w:t>
            </w:r>
          </w:p>
          <w:p w:rsidR="00620128" w:rsidRPr="006F0C5C" w:rsidRDefault="00620128" w:rsidP="00E2308C">
            <w:r>
              <w:t>5620 Glamsbjerg</w:t>
            </w:r>
          </w:p>
          <w:p w:rsidR="00620128" w:rsidRPr="00DC6BBC" w:rsidRDefault="00620128" w:rsidP="00E2308C"/>
        </w:tc>
      </w:tr>
    </w:tbl>
    <w:tbl>
      <w:tblPr>
        <w:tblStyle w:val="Tabel-Gitter"/>
        <w:tblW w:w="0" w:type="auto"/>
        <w:tblInd w:w="-113" w:type="dxa"/>
        <w:tblLook w:val="01E0" w:firstRow="1" w:lastRow="1" w:firstColumn="1" w:lastColumn="1" w:noHBand="0" w:noVBand="0"/>
      </w:tblPr>
      <w:tblGrid>
        <w:gridCol w:w="1008"/>
        <w:gridCol w:w="1980"/>
        <w:gridCol w:w="5400"/>
      </w:tblGrid>
      <w:tr w:rsidR="00620128" w:rsidRPr="00DC6BBC" w:rsidTr="00620128">
        <w:trPr>
          <w:trHeight w:val="714"/>
        </w:trPr>
        <w:tc>
          <w:tcPr>
            <w:tcW w:w="1008" w:type="dxa"/>
          </w:tcPr>
          <w:p w:rsidR="00620128" w:rsidRPr="00DC6BBC" w:rsidRDefault="00620128" w:rsidP="00E2308C">
            <w:r w:rsidRPr="00DC6BBC">
              <w:t>Sags id:</w:t>
            </w:r>
          </w:p>
        </w:tc>
        <w:tc>
          <w:tcPr>
            <w:tcW w:w="1980" w:type="dxa"/>
          </w:tcPr>
          <w:p w:rsidR="00620128" w:rsidRPr="00DC6BBC" w:rsidRDefault="00620128" w:rsidP="00E2308C">
            <w:bookmarkStart w:id="6" w:name="journalnr"/>
            <w:bookmarkEnd w:id="6"/>
            <w:r>
              <w:t>22/9763</w:t>
            </w:r>
          </w:p>
        </w:tc>
        <w:tc>
          <w:tcPr>
            <w:tcW w:w="5400" w:type="dxa"/>
          </w:tcPr>
          <w:p w:rsidR="00620128" w:rsidRPr="00DC6BBC" w:rsidRDefault="00620128" w:rsidP="00E2308C">
            <w:bookmarkStart w:id="7" w:name="brevhoved"/>
            <w:bookmarkEnd w:id="7"/>
            <w:r w:rsidRPr="00DC6BBC">
              <w:t>Sagsbehandler:</w:t>
            </w:r>
            <w:r w:rsidRPr="00DC6BBC">
              <w:tab/>
            </w:r>
            <w:r>
              <w:t>Dorthe Toft</w:t>
            </w:r>
          </w:p>
          <w:p w:rsidR="00620128" w:rsidRPr="00DC6BBC" w:rsidRDefault="00620128" w:rsidP="00E2308C"/>
        </w:tc>
      </w:tr>
    </w:tbl>
    <w:p w:rsidR="00620128" w:rsidRPr="000324F7" w:rsidRDefault="00620128" w:rsidP="00E2308C">
      <w:r w:rsidRPr="000324F7">
        <w:rPr>
          <w:noProof/>
          <w:lang w:eastAsia="da-DK"/>
        </w:rPr>
        <w:drawing>
          <wp:anchor distT="0" distB="0" distL="0" distR="0" simplePos="0" relativeHeight="251661312" behindDoc="1" locked="0" layoutInCell="1" allowOverlap="1">
            <wp:simplePos x="0" y="0"/>
            <wp:positionH relativeFrom="page">
              <wp:posOffset>5129530</wp:posOffset>
            </wp:positionH>
            <wp:positionV relativeFrom="page">
              <wp:posOffset>520065</wp:posOffset>
            </wp:positionV>
            <wp:extent cx="1828165" cy="712470"/>
            <wp:effectExtent l="0" t="0" r="635" b="0"/>
            <wp:wrapNone/>
            <wp:docPr id="2" name="Billed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165"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0128" w:rsidRPr="000324F7" w:rsidRDefault="00620128" w:rsidP="00E2308C"/>
    <w:p w:rsidR="00620128" w:rsidRPr="000324F7" w:rsidRDefault="00620128" w:rsidP="00E2308C"/>
    <w:p w:rsidR="00620128" w:rsidRPr="000324F7" w:rsidRDefault="00620128" w:rsidP="00E2308C"/>
    <w:p w:rsidR="00620128" w:rsidRPr="000324F7" w:rsidRDefault="00620128" w:rsidP="00E2308C"/>
    <w:p w:rsidR="00620128" w:rsidRPr="000324F7" w:rsidRDefault="00620128" w:rsidP="00E2308C"/>
    <w:p w:rsidR="00620128" w:rsidRPr="000324F7" w:rsidRDefault="00620128" w:rsidP="00E2308C"/>
    <w:p w:rsidR="00620128" w:rsidRPr="000324F7" w:rsidRDefault="00620128" w:rsidP="00E2308C"/>
    <w:p w:rsidR="00620128" w:rsidRPr="000324F7" w:rsidRDefault="00620128" w:rsidP="00E2308C"/>
    <w:p w:rsidR="00620128" w:rsidRPr="000324F7" w:rsidRDefault="00620128" w:rsidP="00E2308C"/>
    <w:p w:rsidR="00620128" w:rsidRPr="000324F7" w:rsidRDefault="00620128" w:rsidP="00E2308C"/>
    <w:p w:rsidR="00620128" w:rsidRPr="000324F7" w:rsidRDefault="00620128" w:rsidP="00E2308C"/>
    <w:p w:rsidR="00620128" w:rsidRPr="000324F7" w:rsidRDefault="00620128" w:rsidP="00E2308C"/>
    <w:p w:rsidR="00620128" w:rsidRDefault="00620128" w:rsidP="00E2308C"/>
    <w:p w:rsidR="00620128" w:rsidRDefault="00620128" w:rsidP="00E2308C"/>
    <w:p w:rsidR="00620128" w:rsidRDefault="00620128" w:rsidP="00E2308C"/>
    <w:p w:rsidR="00620128" w:rsidRDefault="00620128" w:rsidP="00E2308C"/>
    <w:p w:rsidR="00620128" w:rsidRDefault="00620128" w:rsidP="00E2308C">
      <w:bookmarkStart w:id="8" w:name="_GoBack"/>
      <w:bookmarkEnd w:id="8"/>
    </w:p>
    <w:p w:rsidR="00E2308C" w:rsidRDefault="00E2308C" w:rsidP="00E2308C"/>
    <w:p w:rsidR="00E2308C" w:rsidRDefault="00E2308C" w:rsidP="00E2308C"/>
    <w:p w:rsidR="005F248A" w:rsidRPr="008461D0" w:rsidRDefault="00620128" w:rsidP="00E2308C">
      <w:pPr>
        <w:rPr>
          <w:b/>
          <w:sz w:val="28"/>
          <w:szCs w:val="28"/>
        </w:rPr>
      </w:pPr>
      <w:r w:rsidRPr="008461D0">
        <w:rPr>
          <w:b/>
          <w:sz w:val="28"/>
          <w:szCs w:val="28"/>
        </w:rPr>
        <w:t>Tillæg til miljøgodkendelse og VVM-screeningsafgørelse</w:t>
      </w:r>
      <w:r w:rsidR="005F248A" w:rsidRPr="008461D0">
        <w:rPr>
          <w:b/>
          <w:sz w:val="28"/>
          <w:szCs w:val="28"/>
        </w:rPr>
        <w:t>,</w:t>
      </w:r>
    </w:p>
    <w:p w:rsidR="005F248A" w:rsidRPr="008461D0" w:rsidRDefault="005F248A" w:rsidP="00E2308C">
      <w:pPr>
        <w:rPr>
          <w:b/>
          <w:sz w:val="28"/>
          <w:szCs w:val="28"/>
        </w:rPr>
      </w:pPr>
      <w:r w:rsidRPr="008461D0">
        <w:rPr>
          <w:b/>
          <w:sz w:val="28"/>
          <w:szCs w:val="28"/>
        </w:rPr>
        <w:lastRenderedPageBreak/>
        <w:t>som omhandler udskiftning af gasbrændere med oliebrændere,</w:t>
      </w:r>
    </w:p>
    <w:p w:rsidR="00620128" w:rsidRPr="008461D0" w:rsidRDefault="005F248A" w:rsidP="00E2308C">
      <w:pPr>
        <w:rPr>
          <w:b/>
          <w:sz w:val="28"/>
          <w:szCs w:val="28"/>
        </w:rPr>
      </w:pPr>
      <w:r w:rsidRPr="008461D0">
        <w:rPr>
          <w:b/>
          <w:sz w:val="28"/>
          <w:szCs w:val="28"/>
        </w:rPr>
        <w:t>samt etablering af fyringsolietank på 50 m</w:t>
      </w:r>
      <w:r w:rsidRPr="008461D0">
        <w:rPr>
          <w:b/>
          <w:sz w:val="28"/>
          <w:szCs w:val="28"/>
          <w:vertAlign w:val="superscript"/>
        </w:rPr>
        <w:t>3</w:t>
      </w:r>
      <w:r w:rsidRPr="008461D0">
        <w:rPr>
          <w:b/>
          <w:sz w:val="28"/>
          <w:szCs w:val="28"/>
        </w:rPr>
        <w:t>.</w:t>
      </w:r>
    </w:p>
    <w:p w:rsidR="00620128" w:rsidRPr="008461D0" w:rsidRDefault="00620128" w:rsidP="00E2308C">
      <w:pPr>
        <w:rPr>
          <w:b/>
          <w:sz w:val="28"/>
          <w:szCs w:val="28"/>
        </w:rPr>
      </w:pPr>
    </w:p>
    <w:p w:rsidR="00620128" w:rsidRPr="000324F7" w:rsidRDefault="00620128" w:rsidP="00E2308C"/>
    <w:p w:rsidR="00620128" w:rsidRPr="002E7784" w:rsidRDefault="00620128" w:rsidP="00E2308C">
      <w:pPr>
        <w:rPr>
          <w:sz w:val="22"/>
        </w:rPr>
      </w:pPr>
      <w:r>
        <w:t xml:space="preserve">Der meddeles hermed tillæg til miljøgodkendelse </w:t>
      </w:r>
      <w:r w:rsidR="005F248A">
        <w:t xml:space="preserve">og </w:t>
      </w:r>
      <w:r>
        <w:t xml:space="preserve">afgørelse om, at der ikke skal udarbejdes </w:t>
      </w:r>
      <w:r w:rsidR="005F248A">
        <w:t>en miljøkonsekvensrapport til det ansøgte projekt</w:t>
      </w:r>
    </w:p>
    <w:p w:rsidR="00620128" w:rsidRDefault="00620128" w:rsidP="00E2308C"/>
    <w:p w:rsidR="00620128" w:rsidRDefault="00620128" w:rsidP="00E2308C"/>
    <w:p w:rsidR="00620128" w:rsidRDefault="00620128" w:rsidP="00E2308C"/>
    <w:p w:rsidR="00620128" w:rsidRDefault="00620128" w:rsidP="00E2308C"/>
    <w:p w:rsidR="00620128" w:rsidRDefault="00620128" w:rsidP="00E2308C"/>
    <w:p w:rsidR="00620128" w:rsidRPr="000324F7" w:rsidRDefault="00620128" w:rsidP="00E2308C"/>
    <w:p w:rsidR="00620128" w:rsidRPr="000324F7" w:rsidRDefault="00620128" w:rsidP="00E2308C"/>
    <w:p w:rsidR="00620128" w:rsidRPr="000324F7" w:rsidRDefault="00620128" w:rsidP="00E2308C">
      <w:r w:rsidRPr="000324F7">
        <w:t>Dato:</w:t>
      </w:r>
      <w:r w:rsidRPr="000324F7">
        <w:tab/>
      </w:r>
      <w:r w:rsidR="00FC7DA8">
        <w:t>11. juli 2022</w:t>
      </w:r>
    </w:p>
    <w:p w:rsidR="00620128" w:rsidRPr="000324F7" w:rsidRDefault="00620128" w:rsidP="00E2308C"/>
    <w:p w:rsidR="00620128" w:rsidRDefault="00620128" w:rsidP="00E2308C"/>
    <w:p w:rsidR="00620128" w:rsidRDefault="00620128" w:rsidP="00E2308C"/>
    <w:p w:rsidR="00620128" w:rsidRDefault="00620128" w:rsidP="00E2308C"/>
    <w:p w:rsidR="00620128" w:rsidRPr="000324F7" w:rsidRDefault="00620128" w:rsidP="00E2308C"/>
    <w:p w:rsidR="00620128" w:rsidRPr="000324F7" w:rsidRDefault="00620128" w:rsidP="00E2308C"/>
    <w:p w:rsidR="00620128" w:rsidRPr="000324F7" w:rsidRDefault="00620128" w:rsidP="00E2308C"/>
    <w:tbl>
      <w:tblPr>
        <w:tblW w:w="0" w:type="auto"/>
        <w:tblInd w:w="-38" w:type="dxa"/>
        <w:tblLayout w:type="fixed"/>
        <w:tblCellMar>
          <w:left w:w="70" w:type="dxa"/>
          <w:right w:w="70" w:type="dxa"/>
        </w:tblCellMar>
        <w:tblLook w:val="0000" w:firstRow="0" w:lastRow="0" w:firstColumn="0" w:lastColumn="0" w:noHBand="0" w:noVBand="0"/>
      </w:tblPr>
      <w:tblGrid>
        <w:gridCol w:w="1456"/>
        <w:gridCol w:w="7652"/>
      </w:tblGrid>
      <w:tr w:rsidR="00620128" w:rsidRPr="000324F7" w:rsidTr="002C7311">
        <w:tc>
          <w:tcPr>
            <w:tcW w:w="1456" w:type="dxa"/>
            <w:tcBorders>
              <w:top w:val="nil"/>
              <w:left w:val="nil"/>
              <w:bottom w:val="nil"/>
              <w:right w:val="nil"/>
            </w:tcBorders>
          </w:tcPr>
          <w:p w:rsidR="00620128" w:rsidRDefault="008461D0" w:rsidP="00E2308C">
            <w:r>
              <w:t>Godkendt</w:t>
            </w:r>
            <w:r w:rsidR="002C7311">
              <w:t>:</w:t>
            </w:r>
          </w:p>
          <w:p w:rsidR="00620128" w:rsidRPr="000324F7" w:rsidRDefault="00620128" w:rsidP="00E2308C"/>
        </w:tc>
        <w:tc>
          <w:tcPr>
            <w:tcW w:w="7652" w:type="dxa"/>
            <w:tcBorders>
              <w:top w:val="nil"/>
              <w:left w:val="nil"/>
              <w:bottom w:val="nil"/>
              <w:right w:val="nil"/>
            </w:tcBorders>
          </w:tcPr>
          <w:p w:rsidR="008461D0" w:rsidRDefault="008461D0" w:rsidP="008461D0">
            <w:r>
              <w:t>Dorthe Toft</w:t>
            </w:r>
          </w:p>
          <w:p w:rsidR="00620128" w:rsidRPr="000324F7" w:rsidRDefault="008461D0" w:rsidP="008461D0">
            <w:r>
              <w:t>Miljøsagsbehandler</w:t>
            </w:r>
          </w:p>
        </w:tc>
      </w:tr>
      <w:tr w:rsidR="00620128" w:rsidRPr="000324F7" w:rsidTr="002C7311">
        <w:tc>
          <w:tcPr>
            <w:tcW w:w="1456" w:type="dxa"/>
            <w:tcBorders>
              <w:top w:val="nil"/>
              <w:left w:val="nil"/>
              <w:bottom w:val="nil"/>
              <w:right w:val="nil"/>
            </w:tcBorders>
          </w:tcPr>
          <w:p w:rsidR="00620128" w:rsidRPr="000324F7" w:rsidRDefault="00620128" w:rsidP="00E2308C"/>
        </w:tc>
        <w:tc>
          <w:tcPr>
            <w:tcW w:w="7652" w:type="dxa"/>
            <w:tcBorders>
              <w:top w:val="nil"/>
              <w:left w:val="nil"/>
              <w:bottom w:val="nil"/>
              <w:right w:val="nil"/>
            </w:tcBorders>
          </w:tcPr>
          <w:p w:rsidR="005F248A" w:rsidRPr="000324F7" w:rsidRDefault="005F248A" w:rsidP="00E2308C">
            <w:pPr>
              <w:rPr>
                <w:sz w:val="20"/>
                <w:szCs w:val="20"/>
              </w:rPr>
            </w:pPr>
          </w:p>
        </w:tc>
      </w:tr>
    </w:tbl>
    <w:p w:rsidR="00620128" w:rsidRPr="000324F7" w:rsidRDefault="00620128" w:rsidP="00E2308C"/>
    <w:p w:rsidR="00620128" w:rsidRPr="000324F7" w:rsidRDefault="00620128" w:rsidP="00E2308C"/>
    <w:p w:rsidR="00620128" w:rsidRPr="000324F7" w:rsidRDefault="00620128" w:rsidP="00E2308C"/>
    <w:p w:rsidR="00620128" w:rsidRPr="000324F7" w:rsidRDefault="00620128" w:rsidP="00E2308C"/>
    <w:p w:rsidR="00620128" w:rsidRDefault="00620128" w:rsidP="00E2308C"/>
    <w:p w:rsidR="00620128" w:rsidRDefault="00620128" w:rsidP="00E2308C"/>
    <w:p w:rsidR="00620128" w:rsidRPr="000324F7" w:rsidRDefault="00620128" w:rsidP="00E2308C"/>
    <w:p w:rsidR="00620128" w:rsidRPr="000324F7" w:rsidRDefault="00620128" w:rsidP="00E2308C"/>
    <w:p w:rsidR="00620128" w:rsidRPr="000324F7" w:rsidRDefault="00620128" w:rsidP="00E2308C"/>
    <w:p w:rsidR="00620128" w:rsidRPr="000324F7" w:rsidRDefault="00620128" w:rsidP="00E2308C"/>
    <w:p w:rsidR="00620128" w:rsidRPr="00D36F2B" w:rsidRDefault="00620128" w:rsidP="00E2308C">
      <w:r w:rsidRPr="00D36F2B">
        <w:t xml:space="preserve">Annonceret den </w:t>
      </w:r>
      <w:r w:rsidR="00FC7DA8">
        <w:rPr>
          <w:sz w:val="20"/>
          <w:szCs w:val="20"/>
        </w:rPr>
        <w:t>12. juli 2022</w:t>
      </w:r>
    </w:p>
    <w:p w:rsidR="00620128" w:rsidRPr="00D36F2B" w:rsidRDefault="00620128" w:rsidP="00E2308C"/>
    <w:p w:rsidR="00620128" w:rsidRPr="00D36F2B" w:rsidRDefault="00620128" w:rsidP="00E2308C">
      <w:r w:rsidRPr="00D36F2B">
        <w:t xml:space="preserve">Klagefristen udløber den </w:t>
      </w:r>
      <w:r w:rsidR="00FC7DA8">
        <w:t>9. august 2022</w:t>
      </w:r>
    </w:p>
    <w:p w:rsidR="00620128" w:rsidRPr="00D36F2B" w:rsidRDefault="00620128" w:rsidP="00E2308C"/>
    <w:p w:rsidR="00620128" w:rsidRPr="00D36F2B" w:rsidRDefault="00620128" w:rsidP="00E2308C">
      <w:r w:rsidRPr="00D36F2B">
        <w:lastRenderedPageBreak/>
        <w:t xml:space="preserve">Søgsmålsfristen udløber den </w:t>
      </w:r>
      <w:r w:rsidR="00FC7DA8">
        <w:t>12. januar 2023</w:t>
      </w:r>
    </w:p>
    <w:p w:rsidR="00620128" w:rsidRPr="000324F7" w:rsidRDefault="00620128" w:rsidP="00E2308C"/>
    <w:p w:rsidR="00E2308C" w:rsidRDefault="00F96B36" w:rsidP="00E2308C">
      <w:r>
        <w:br w:type="page"/>
      </w:r>
    </w:p>
    <w:p w:rsidR="00E2308C" w:rsidRDefault="00E2308C" w:rsidP="00E2308C">
      <w:pPr>
        <w:pStyle w:val="Overskrift2"/>
      </w:pPr>
      <w:r w:rsidRPr="00E2308C">
        <w:lastRenderedPageBreak/>
        <w:t>Sammendrag</w:t>
      </w:r>
    </w:p>
    <w:p w:rsidR="001B584C" w:rsidRDefault="00E2308C" w:rsidP="00E2308C">
      <w:pPr>
        <w:rPr>
          <w:rFonts w:eastAsia="Times New Roman" w:cs="Times New Roman"/>
          <w:lang w:eastAsia="da-DK"/>
        </w:rPr>
      </w:pPr>
      <w:r>
        <w:t>Der meddeles et tillæg til miljøgodkendelse til Kerry Ingredients &amp; Flavours/Cremo Ingredients A/S, hvor en integreret biaktivitet er omfattet af liste</w:t>
      </w:r>
      <w:r>
        <w:lastRenderedPageBreak/>
        <w:t>punkt ”G201 Kraftproducerende anlæg, varmeproducerende anlæg, gasturbineanlæg og gasmotoranlæg med en samlet indfyret effekt på mel</w:t>
      </w:r>
      <w:r>
        <w:lastRenderedPageBreak/>
        <w:t>lem 5 MW og 50 MW” i godkendelsesbekendtgørelsen</w:t>
      </w:r>
      <w:r>
        <w:rPr>
          <w:rStyle w:val="Fodnotehenvisning"/>
        </w:rPr>
        <w:footnoteReference w:id="1"/>
      </w:r>
      <w:r>
        <w:t>.</w:t>
      </w:r>
      <w:r w:rsidR="001B584C">
        <w:t xml:space="preserve"> </w:t>
      </w:r>
      <w:r w:rsidR="001B584C" w:rsidRPr="001B584C">
        <w:rPr>
          <w:rFonts w:eastAsia="Times New Roman" w:cs="Times New Roman"/>
          <w:lang w:eastAsia="da-DK"/>
        </w:rPr>
        <w:t xml:space="preserve">Virksomhedens hovedaktivitet er fremstilling af ostepulver. </w:t>
      </w:r>
      <w:r w:rsidR="001B584C" w:rsidRPr="001B584C">
        <w:rPr>
          <w:rFonts w:eastAsia="Times New Roman" w:cs="Times New Roman"/>
          <w:lang w:eastAsia="da-DK"/>
        </w:rPr>
        <w:lastRenderedPageBreak/>
        <w:t>Kommunen er godkendende og tilsynsførende myndighed.</w:t>
      </w:r>
    </w:p>
    <w:p w:rsidR="001B584C" w:rsidRDefault="001B584C" w:rsidP="00E2308C">
      <w:pPr>
        <w:rPr>
          <w:rFonts w:eastAsia="Times New Roman" w:cs="Times New Roman"/>
          <w:lang w:eastAsia="da-DK"/>
        </w:rPr>
      </w:pPr>
      <w:r>
        <w:rPr>
          <w:rFonts w:eastAsia="Times New Roman" w:cs="Times New Roman"/>
          <w:lang w:eastAsia="da-DK"/>
        </w:rPr>
        <w:t>Dette er et tillæg til miljøgodkendelse meddelt i juli 2012.</w:t>
      </w:r>
      <w:r w:rsidR="006755F9">
        <w:rPr>
          <w:rFonts w:eastAsia="Times New Roman" w:cs="Times New Roman"/>
          <w:lang w:eastAsia="da-DK"/>
        </w:rPr>
        <w:t xml:space="preserve"> Godkendelsen meddelt i juli 2012 er fortsat gældende. Dog er spildevandstilladelsen revideret i 2019.</w:t>
      </w:r>
    </w:p>
    <w:p w:rsidR="001B584C" w:rsidRDefault="001B584C" w:rsidP="00E2308C">
      <w:pPr>
        <w:rPr>
          <w:rFonts w:eastAsia="Times New Roman" w:cs="Times New Roman"/>
          <w:lang w:eastAsia="da-DK"/>
        </w:rPr>
      </w:pPr>
    </w:p>
    <w:p w:rsidR="001B584C" w:rsidRDefault="001B584C" w:rsidP="00E2308C">
      <w:r>
        <w:t xml:space="preserve">Tillægget meddeles til udskiftning af gasbrændere med </w:t>
      </w:r>
      <w:r w:rsidR="00486850">
        <w:t>brændere til både olie og gas</w:t>
      </w:r>
      <w:r>
        <w:t xml:space="preserve"> </w:t>
      </w:r>
      <w:r w:rsidR="00486850">
        <w:t xml:space="preserve">samt </w:t>
      </w:r>
      <w:r>
        <w:t>installation af fyringsolietank på 50 m</w:t>
      </w:r>
      <w:r w:rsidRPr="001B584C">
        <w:rPr>
          <w:vertAlign w:val="superscript"/>
        </w:rPr>
        <w:t>3</w:t>
      </w:r>
    </w:p>
    <w:p w:rsidR="001B584C" w:rsidRDefault="001B584C" w:rsidP="00E2308C"/>
    <w:p w:rsidR="001B584C" w:rsidRDefault="001B584C" w:rsidP="00E2308C">
      <w:r>
        <w:lastRenderedPageBreak/>
        <w:t xml:space="preserve">Forudsætningerne for tillægget, herunder miljømæssig vurdering af ansøgningen findes i miljøteknisk redegørelse af </w:t>
      </w:r>
      <w:r w:rsidR="00FC7DA8">
        <w:t xml:space="preserve">11. juli </w:t>
      </w:r>
      <w:r>
        <w:t>2022. Redegørelsen er vedlagt.</w:t>
      </w:r>
    </w:p>
    <w:p w:rsidR="001B584C" w:rsidRDefault="001B584C" w:rsidP="00E2308C"/>
    <w:p w:rsidR="001B584C" w:rsidRDefault="001B584C" w:rsidP="00E2308C">
      <w:r>
        <w:lastRenderedPageBreak/>
        <w:t>I redegørelsen konkluderes det, at ændringen kan etableres og drives uden væsentlige gener eller risici for omgivelserne, når følgende vilkår overholdes.</w:t>
      </w:r>
      <w:r w:rsidR="005E320F">
        <w:t xml:space="preserve"> De fleste vilkår er standardvil</w:t>
      </w:r>
      <w:r w:rsidR="005E320F">
        <w:lastRenderedPageBreak/>
        <w:t xml:space="preserve">kår fra </w:t>
      </w:r>
      <w:r w:rsidR="0097140C">
        <w:t>Standardvilkårsbekendtgørelsen.</w:t>
      </w:r>
      <w:r w:rsidR="0097140C">
        <w:rPr>
          <w:rStyle w:val="Fodnotehenvisning"/>
        </w:rPr>
        <w:footnoteReference w:id="2"/>
      </w:r>
      <w:r w:rsidR="008A49E4">
        <w:t xml:space="preserve"> Standardvilkår er mærket med (s).</w:t>
      </w:r>
    </w:p>
    <w:p w:rsidR="001B584C" w:rsidRDefault="001B584C" w:rsidP="00E2308C"/>
    <w:p w:rsidR="00ED6CB7" w:rsidRDefault="00ED6CB7" w:rsidP="00E2308C">
      <w:r>
        <w:lastRenderedPageBreak/>
        <w:t>Samtidigt afgøres det</w:t>
      </w:r>
      <w:r w:rsidR="007532CA">
        <w:t>,</w:t>
      </w:r>
      <w:r>
        <w:t xml:space="preserve"> at der ikke skal udarbejdes en miljø</w:t>
      </w:r>
      <w:r>
        <w:lastRenderedPageBreak/>
        <w:t>konsekvensrapport jf. miljøvurderingsloven</w:t>
      </w:r>
      <w:r>
        <w:rPr>
          <w:rStyle w:val="Fodnotehenvisning"/>
        </w:rPr>
        <w:footnoteReference w:id="3"/>
      </w:r>
      <w:r>
        <w:t xml:space="preserve"> over ændringerne. Afgørelsen træffes på </w:t>
      </w:r>
      <w:r>
        <w:lastRenderedPageBreak/>
        <w:t>baggrund af VVM-screeningsskema, indsendt sammen med ansøgning om miljøgodkendelse. Screeningsskemaet er vedlagt som bilag til denne afgørelse.</w:t>
      </w:r>
    </w:p>
    <w:p w:rsidR="00ED6CB7" w:rsidRDefault="00ED6CB7" w:rsidP="00E2308C"/>
    <w:p w:rsidR="00ED6CB7" w:rsidRDefault="00ED6CB7" w:rsidP="00ED6CB7">
      <w:pPr>
        <w:pStyle w:val="Overskrift2"/>
      </w:pPr>
      <w:r>
        <w:lastRenderedPageBreak/>
        <w:t>Kommunens afgørelse</w:t>
      </w:r>
    </w:p>
    <w:p w:rsidR="00CF2C3B" w:rsidRPr="00FC7DA8" w:rsidRDefault="00ED6CB7" w:rsidP="00ED6CB7">
      <w:r w:rsidRPr="00FC7DA8">
        <w:t xml:space="preserve">Assens Kommune meddeler hermed tillæg til miljøgodkendelse til Kerry Ingredients &amp; Flavours/Cremo Ingredients </w:t>
      </w:r>
      <w:r w:rsidRPr="00FC7DA8">
        <w:lastRenderedPageBreak/>
        <w:t>A/S efter Miljøbeskyttelseslovens</w:t>
      </w:r>
      <w:r w:rsidRPr="00FC7DA8">
        <w:rPr>
          <w:rStyle w:val="Fodnotehenvisning"/>
        </w:rPr>
        <w:footnoteReference w:id="4"/>
      </w:r>
      <w:r w:rsidRPr="00FC7DA8">
        <w:t xml:space="preserve"> kapitel 5 og afgørelse om at der ikke skal udarbejdes en miljøkonsekvensrapport efter Miljøvurderingsloven.</w:t>
      </w:r>
    </w:p>
    <w:p w:rsidR="00D95250" w:rsidRPr="00FC7DA8" w:rsidRDefault="00D95250" w:rsidP="00ED6CB7">
      <w:r w:rsidRPr="00FC7DA8">
        <w:lastRenderedPageBreak/>
        <w:t>De krav, der fremgår af Olietankbekendtgørelsen</w:t>
      </w:r>
      <w:r w:rsidRPr="00FC7DA8">
        <w:rPr>
          <w:rStyle w:val="Fodnotehenvisning"/>
        </w:rPr>
        <w:footnoteReference w:id="5"/>
      </w:r>
      <w:r w:rsidRPr="00FC7DA8">
        <w:t>, gælder foruden de vilkår, der fastsættes i denne afgørelse.</w:t>
      </w:r>
    </w:p>
    <w:p w:rsidR="005E320F" w:rsidRPr="00FC7DA8" w:rsidRDefault="005E320F" w:rsidP="00ED6CB7"/>
    <w:p w:rsidR="009B463F" w:rsidRDefault="009B463F" w:rsidP="00ED6CB7">
      <w:pPr>
        <w:rPr>
          <w:sz w:val="22"/>
          <w:szCs w:val="22"/>
        </w:rPr>
      </w:pPr>
    </w:p>
    <w:p w:rsidR="009B463F" w:rsidRDefault="009B463F" w:rsidP="009B463F">
      <w:pPr>
        <w:pStyle w:val="Overskrift3"/>
      </w:pPr>
      <w:r>
        <w:t>Generelt</w:t>
      </w:r>
    </w:p>
    <w:p w:rsidR="009B463F" w:rsidRDefault="009B463F" w:rsidP="009B463F"/>
    <w:p w:rsidR="009B463F" w:rsidRDefault="009B463F" w:rsidP="009B463F">
      <w:r>
        <w:t xml:space="preserve">1. Ved driftsophør skal virksomheden forinden orientere tilsynsmyndigheden herom og </w:t>
      </w:r>
      <w:r>
        <w:lastRenderedPageBreak/>
        <w:t>træffe de nødvendige foranstaltninger for at undgå forureningsfare og for at efterlade stedet i tilfredsstillende tilstand.</w:t>
      </w:r>
      <w:r w:rsidR="008A49E4">
        <w:t>(s)</w:t>
      </w:r>
    </w:p>
    <w:p w:rsidR="009B463F" w:rsidRDefault="009B463F" w:rsidP="009B463F"/>
    <w:p w:rsidR="009B463F" w:rsidRDefault="009B463F" w:rsidP="009B463F">
      <w:r>
        <w:lastRenderedPageBreak/>
        <w:t>2. Hvor der i vilkårene anvendes betegnelsen "tæt belægning" menes en fast belægning, der i løbet af påvirkningstiden er uigennemtrængelig for de forurenende stoffer, der håndteres på arealet.</w:t>
      </w:r>
      <w:r w:rsidR="008A49E4">
        <w:t>(s)</w:t>
      </w:r>
    </w:p>
    <w:p w:rsidR="009B463F" w:rsidRDefault="009B463F" w:rsidP="009B463F"/>
    <w:p w:rsidR="00CF2C3B" w:rsidRDefault="00CF2C3B" w:rsidP="00ED6CB7">
      <w:pPr>
        <w:rPr>
          <w:sz w:val="22"/>
          <w:szCs w:val="22"/>
        </w:rPr>
      </w:pPr>
    </w:p>
    <w:p w:rsidR="00CF2C3B" w:rsidRDefault="00CF2C3B" w:rsidP="00ED6CB7">
      <w:pPr>
        <w:rPr>
          <w:sz w:val="22"/>
          <w:szCs w:val="22"/>
        </w:rPr>
      </w:pPr>
    </w:p>
    <w:p w:rsidR="00CF2C3B" w:rsidRDefault="00CF2C3B" w:rsidP="00CF2C3B">
      <w:pPr>
        <w:pStyle w:val="Overskrift3"/>
      </w:pPr>
      <w:r w:rsidRPr="00CF2C3B">
        <w:t xml:space="preserve">Beskyttelse af jord, grundvand og </w:t>
      </w:r>
      <w:r w:rsidR="009B463F">
        <w:t>overfladevand</w:t>
      </w:r>
    </w:p>
    <w:p w:rsidR="00CF2C3B" w:rsidRDefault="00CF2C3B" w:rsidP="00CF2C3B"/>
    <w:p w:rsidR="00CF2C3B" w:rsidRDefault="00CF2C3B" w:rsidP="00965089">
      <w:pPr>
        <w:pStyle w:val="Listeafsnit"/>
        <w:numPr>
          <w:ilvl w:val="0"/>
          <w:numId w:val="11"/>
        </w:numPr>
      </w:pPr>
      <w:r>
        <w:lastRenderedPageBreak/>
        <w:t>Tankpladsen, hvor fyringsolietanken opstilles skal indrettes som oplyst i ansøgningsmaterialet</w:t>
      </w:r>
    </w:p>
    <w:p w:rsidR="00CF2C3B" w:rsidRDefault="00CF2C3B" w:rsidP="00965089">
      <w:pPr>
        <w:pStyle w:val="Listeafsnit"/>
        <w:numPr>
          <w:ilvl w:val="0"/>
          <w:numId w:val="12"/>
        </w:numPr>
      </w:pPr>
      <w:r>
        <w:t>Pladsen skal indhegnes og være aflåst, så uvedkommende ikke kan få adgang til tanken.</w:t>
      </w:r>
    </w:p>
    <w:p w:rsidR="00CF2C3B" w:rsidRDefault="00CF2C3B" w:rsidP="00965089">
      <w:pPr>
        <w:pStyle w:val="Listeafsnit"/>
        <w:numPr>
          <w:ilvl w:val="0"/>
          <w:numId w:val="12"/>
        </w:numPr>
      </w:pPr>
      <w:r>
        <w:lastRenderedPageBreak/>
        <w:t>Tanken skal være forsynet med en spildbakke. Bakken skal være afproppet, når der sker påfyldning af tanken.</w:t>
      </w:r>
    </w:p>
    <w:p w:rsidR="00CF2C3B" w:rsidRDefault="00CF2C3B" w:rsidP="00965089">
      <w:pPr>
        <w:pStyle w:val="Listeafsnit"/>
        <w:numPr>
          <w:ilvl w:val="0"/>
          <w:numId w:val="12"/>
        </w:numPr>
      </w:pPr>
      <w:r>
        <w:t>Evt. spild i bakken skal opsamles med kattegrus el. lignende og bortskaffes som farligt affald.</w:t>
      </w:r>
    </w:p>
    <w:p w:rsidR="00C50621" w:rsidRDefault="00C50621" w:rsidP="00965089">
      <w:pPr>
        <w:pStyle w:val="Listeafsnit"/>
        <w:numPr>
          <w:ilvl w:val="0"/>
          <w:numId w:val="12"/>
        </w:numPr>
      </w:pPr>
      <w:r>
        <w:lastRenderedPageBreak/>
        <w:t>Opsamlingsmateriale skal være tilgængelig tæt på tanken.</w:t>
      </w:r>
    </w:p>
    <w:p w:rsidR="00363EDF" w:rsidRDefault="00363EDF" w:rsidP="00965089">
      <w:pPr>
        <w:pStyle w:val="Listeafsnit"/>
        <w:numPr>
          <w:ilvl w:val="0"/>
          <w:numId w:val="12"/>
        </w:numPr>
      </w:pPr>
      <w:r>
        <w:t>Tanken skal placeres på fast underlag.</w:t>
      </w:r>
    </w:p>
    <w:p w:rsidR="00AC343E" w:rsidRDefault="00AC343E" w:rsidP="00AC343E">
      <w:pPr>
        <w:pStyle w:val="Listeafsnit"/>
      </w:pPr>
    </w:p>
    <w:p w:rsidR="00CF2C3B" w:rsidRDefault="00CF2C3B" w:rsidP="00CF2C3B"/>
    <w:p w:rsidR="009B463F" w:rsidRDefault="009B463F" w:rsidP="009B463F">
      <w:pPr>
        <w:pStyle w:val="Overskrift3"/>
      </w:pPr>
      <w:r>
        <w:lastRenderedPageBreak/>
        <w:t>Indretning og drift</w:t>
      </w:r>
    </w:p>
    <w:p w:rsidR="009B463F" w:rsidRDefault="009B463F" w:rsidP="009B463F"/>
    <w:p w:rsidR="009B463F" w:rsidRDefault="002C7311" w:rsidP="009B463F">
      <w:r>
        <w:t>9</w:t>
      </w:r>
      <w:r w:rsidR="009B463F">
        <w:t xml:space="preserve">. I afkast, hvor der er fastsat en emissionsgrænse, skal der være etableret målesteder med indretning og placering som anført i MEL-22 Kvalitet i </w:t>
      </w:r>
      <w:r w:rsidR="009B463F">
        <w:lastRenderedPageBreak/>
        <w:t xml:space="preserve">Emissionsmålinger (Miljøstyrelsens anbefalede metoder, der findes på hjemmesiden for Miljøstyrelsens Referencelaboratorium for måling af emissioner til luften: www.ref-lab.dk ). Målestederne skal være placeret, sådan at det sikres, at de </w:t>
      </w:r>
      <w:r w:rsidR="009B463F">
        <w:lastRenderedPageBreak/>
        <w:t>fastsatte emissionsgrænseværdier kan dokumenteres overholdt.</w:t>
      </w:r>
      <w:r w:rsidR="008A49E4">
        <w:t>(s)</w:t>
      </w:r>
    </w:p>
    <w:p w:rsidR="009B463F" w:rsidRDefault="009B463F" w:rsidP="009B463F"/>
    <w:p w:rsidR="009B463F" w:rsidRDefault="002C7311" w:rsidP="009B463F">
      <w:r w:rsidRPr="009D03E7">
        <w:t>10</w:t>
      </w:r>
      <w:r w:rsidR="009B463F" w:rsidRPr="009D03E7">
        <w:t xml:space="preserve">. </w:t>
      </w:r>
      <w:r w:rsidR="009D03E7" w:rsidRPr="009D03E7">
        <w:t>Afkasthøjderne skal</w:t>
      </w:r>
      <w:r w:rsidR="009D03E7">
        <w:t xml:space="preserve"> være følgende:</w:t>
      </w:r>
    </w:p>
    <w:p w:rsidR="009D03E7" w:rsidRDefault="009D03E7" w:rsidP="009B463F"/>
    <w:p w:rsidR="009D03E7" w:rsidRDefault="009D03E7" w:rsidP="009B463F">
      <w:r>
        <w:lastRenderedPageBreak/>
        <w:t>Dampkedel:</w:t>
      </w:r>
      <w:r>
        <w:tab/>
      </w:r>
      <w:r>
        <w:tab/>
        <w:t>10 meter over terræn</w:t>
      </w:r>
    </w:p>
    <w:p w:rsidR="009D03E7" w:rsidRDefault="009D03E7" w:rsidP="009B463F">
      <w:r>
        <w:t>Tårn 3:</w:t>
      </w:r>
      <w:r>
        <w:tab/>
      </w:r>
      <w:r>
        <w:tab/>
        <w:t>24 meter over terræn</w:t>
      </w:r>
    </w:p>
    <w:p w:rsidR="009D03E7" w:rsidRDefault="009D03E7" w:rsidP="009B463F">
      <w:r>
        <w:t>Tårn 4:</w:t>
      </w:r>
      <w:r>
        <w:tab/>
      </w:r>
      <w:r>
        <w:tab/>
        <w:t>24 meter over terræn</w:t>
      </w:r>
    </w:p>
    <w:p w:rsidR="009B463F" w:rsidRDefault="009B463F" w:rsidP="009B463F"/>
    <w:p w:rsidR="00CF2C3B" w:rsidRPr="00CF2C3B" w:rsidRDefault="002C7311" w:rsidP="009B463F">
      <w:r>
        <w:lastRenderedPageBreak/>
        <w:t>11</w:t>
      </w:r>
      <w:r w:rsidR="009B463F">
        <w:t xml:space="preserve">. Fuelolie, orimulsion og andre brændsler af tilsvarende kvalitet må ikke anvendes i brændere med en indfyret effekt, der er mindre end 2 MW. Kul, petcoke og brunkul må ikke anvendes i anlæg med en </w:t>
      </w:r>
      <w:r w:rsidR="009B463F">
        <w:lastRenderedPageBreak/>
        <w:t>indfyret effekt, der er mindre end 5 MW.</w:t>
      </w:r>
      <w:r w:rsidR="008A49E4">
        <w:t xml:space="preserve"> (s)</w:t>
      </w:r>
    </w:p>
    <w:p w:rsidR="009B463F" w:rsidRDefault="009B463F" w:rsidP="00CF2C3B">
      <w:pPr>
        <w:pStyle w:val="Overskrift3"/>
      </w:pPr>
    </w:p>
    <w:p w:rsidR="00CF2C3B" w:rsidRDefault="009B463F" w:rsidP="00CF2C3B">
      <w:pPr>
        <w:pStyle w:val="Overskrift3"/>
      </w:pPr>
      <w:r>
        <w:t>Luftforurening</w:t>
      </w:r>
    </w:p>
    <w:p w:rsidR="00CF2C3B" w:rsidRDefault="00CF2C3B" w:rsidP="00CF2C3B">
      <w:pPr>
        <w:pStyle w:val="Overskrift3"/>
      </w:pPr>
    </w:p>
    <w:p w:rsidR="00CF2C3B" w:rsidRPr="008A49E4" w:rsidRDefault="00CF2C3B" w:rsidP="002C7311">
      <w:pPr>
        <w:pStyle w:val="Talliste"/>
        <w:numPr>
          <w:ilvl w:val="0"/>
          <w:numId w:val="6"/>
        </w:numPr>
        <w:rPr>
          <w:sz w:val="24"/>
        </w:rPr>
      </w:pPr>
      <w:r w:rsidRPr="008A49E4">
        <w:rPr>
          <w:sz w:val="24"/>
        </w:rPr>
        <w:t>Kedelanlægget skal overholde emissionsgrænseværdier anført i tabel 1</w:t>
      </w:r>
    </w:p>
    <w:p w:rsidR="00CF2C3B" w:rsidRDefault="00CF2C3B" w:rsidP="00CF2C3B">
      <w:pPr>
        <w:ind w:firstLine="1304"/>
        <w:rPr>
          <w:rFonts w:eastAsia="Arial Unicode MS"/>
          <w:i/>
          <w:iCs/>
        </w:rPr>
      </w:pPr>
    </w:p>
    <w:p w:rsidR="00CF2C3B" w:rsidRPr="00D3616E" w:rsidRDefault="00CF2C3B" w:rsidP="00CF2C3B">
      <w:pPr>
        <w:ind w:firstLine="1304"/>
        <w:rPr>
          <w:rFonts w:eastAsia="Arial Unicode MS"/>
        </w:rPr>
      </w:pPr>
      <w:r w:rsidRPr="004A5D8D">
        <w:rPr>
          <w:rFonts w:eastAsia="Arial Unicode MS"/>
          <w:i/>
          <w:iCs/>
        </w:rPr>
        <w:t xml:space="preserve">Tabel 1. </w:t>
      </w:r>
      <w:r w:rsidRPr="00D3616E">
        <w:rPr>
          <w:rFonts w:eastAsia="Arial Unicode MS"/>
        </w:rPr>
        <w:t xml:space="preserve">Emissionsgrænseværdier for kedelanlæg </w:t>
      </w:r>
    </w:p>
    <w:tbl>
      <w:tblPr>
        <w:tblW w:w="7401" w:type="dxa"/>
        <w:tblInd w:w="1129" w:type="dxa"/>
        <w:tblLayout w:type="fixed"/>
        <w:tblCellMar>
          <w:left w:w="70" w:type="dxa"/>
          <w:right w:w="70" w:type="dxa"/>
        </w:tblCellMar>
        <w:tblLook w:val="0000" w:firstRow="0" w:lastRow="0" w:firstColumn="0" w:lastColumn="0" w:noHBand="0" w:noVBand="0"/>
      </w:tblPr>
      <w:tblGrid>
        <w:gridCol w:w="1461"/>
        <w:gridCol w:w="1968"/>
        <w:gridCol w:w="1632"/>
        <w:gridCol w:w="2340"/>
      </w:tblGrid>
      <w:tr w:rsidR="00CF2C3B" w:rsidRPr="009C354E" w:rsidTr="00AA458C">
        <w:tc>
          <w:tcPr>
            <w:tcW w:w="1461" w:type="dxa"/>
            <w:vMerge w:val="restart"/>
            <w:tcBorders>
              <w:top w:val="single" w:sz="4" w:space="0" w:color="auto"/>
              <w:left w:val="single" w:sz="4" w:space="0" w:color="auto"/>
              <w:right w:val="single" w:sz="4" w:space="0" w:color="auto"/>
            </w:tcBorders>
          </w:tcPr>
          <w:p w:rsidR="00CF2C3B" w:rsidRPr="009C354E" w:rsidRDefault="00CF2C3B" w:rsidP="007531C1">
            <w:pPr>
              <w:rPr>
                <w:rFonts w:eastAsia="Arial Unicode MS"/>
                <w:sz w:val="22"/>
                <w:szCs w:val="22"/>
              </w:rPr>
            </w:pPr>
            <w:r w:rsidRPr="009C354E">
              <w:rPr>
                <w:rFonts w:eastAsia="Arial Unicode MS"/>
                <w:b/>
                <w:bCs/>
                <w:sz w:val="22"/>
                <w:szCs w:val="22"/>
              </w:rPr>
              <w:t xml:space="preserve">Brændsel </w:t>
            </w:r>
          </w:p>
          <w:p w:rsidR="00CF2C3B" w:rsidRPr="009C354E" w:rsidRDefault="00CF2C3B" w:rsidP="007531C1">
            <w:pPr>
              <w:rPr>
                <w:rFonts w:eastAsia="Arial Unicode MS"/>
                <w:sz w:val="22"/>
                <w:szCs w:val="22"/>
              </w:rPr>
            </w:pPr>
            <w:r w:rsidRPr="009C354E">
              <w:rPr>
                <w:rFonts w:eastAsia="Arial Unicode MS"/>
                <w:sz w:val="22"/>
                <w:szCs w:val="22"/>
              </w:rPr>
              <w:t xml:space="preserve">  </w:t>
            </w:r>
          </w:p>
        </w:tc>
        <w:tc>
          <w:tcPr>
            <w:tcW w:w="1968" w:type="dxa"/>
            <w:vMerge w:val="restart"/>
            <w:tcBorders>
              <w:top w:val="single" w:sz="4" w:space="0" w:color="auto"/>
              <w:left w:val="single" w:sz="4" w:space="0" w:color="auto"/>
              <w:right w:val="single" w:sz="4" w:space="0" w:color="auto"/>
            </w:tcBorders>
          </w:tcPr>
          <w:p w:rsidR="00CF2C3B" w:rsidRPr="009C354E" w:rsidRDefault="00CF2C3B" w:rsidP="007531C1">
            <w:pPr>
              <w:jc w:val="center"/>
              <w:rPr>
                <w:rFonts w:eastAsia="Arial Unicode MS"/>
                <w:sz w:val="22"/>
                <w:szCs w:val="22"/>
              </w:rPr>
            </w:pPr>
            <w:r w:rsidRPr="009C354E">
              <w:rPr>
                <w:rFonts w:eastAsia="Arial Unicode MS"/>
                <w:b/>
                <w:bCs/>
                <w:sz w:val="22"/>
                <w:szCs w:val="22"/>
              </w:rPr>
              <w:t xml:space="preserve">Indfyret effekt </w:t>
            </w:r>
          </w:p>
          <w:p w:rsidR="00CF2C3B" w:rsidRPr="009C354E" w:rsidRDefault="00CF2C3B" w:rsidP="007531C1">
            <w:pPr>
              <w:jc w:val="center"/>
              <w:rPr>
                <w:rFonts w:eastAsia="Arial Unicode MS"/>
                <w:sz w:val="22"/>
                <w:szCs w:val="22"/>
              </w:rPr>
            </w:pPr>
            <w:r w:rsidRPr="009C354E">
              <w:rPr>
                <w:rFonts w:eastAsia="Arial Unicode MS"/>
                <w:sz w:val="22"/>
                <w:szCs w:val="22"/>
              </w:rPr>
              <w:t xml:space="preserve">  </w:t>
            </w:r>
          </w:p>
        </w:tc>
        <w:tc>
          <w:tcPr>
            <w:tcW w:w="3972" w:type="dxa"/>
            <w:gridSpan w:val="2"/>
            <w:tcBorders>
              <w:top w:val="single" w:sz="6" w:space="0" w:color="000000"/>
              <w:left w:val="single" w:sz="4" w:space="0" w:color="auto"/>
              <w:bottom w:val="single" w:sz="6" w:space="0" w:color="000000"/>
              <w:right w:val="single" w:sz="6" w:space="0" w:color="000000"/>
            </w:tcBorders>
          </w:tcPr>
          <w:p w:rsidR="00CF2C3B" w:rsidRPr="009C354E" w:rsidRDefault="00CF2C3B" w:rsidP="007531C1">
            <w:pPr>
              <w:jc w:val="center"/>
              <w:rPr>
                <w:rFonts w:eastAsia="Arial Unicode MS"/>
                <w:sz w:val="22"/>
                <w:szCs w:val="22"/>
              </w:rPr>
            </w:pPr>
            <w:r w:rsidRPr="009C354E">
              <w:rPr>
                <w:rFonts w:eastAsia="Arial Unicode MS"/>
                <w:b/>
                <w:bCs/>
                <w:sz w:val="22"/>
                <w:szCs w:val="22"/>
              </w:rPr>
              <w:t xml:space="preserve">Emissionsgrænseværdier </w:t>
            </w:r>
          </w:p>
          <w:p w:rsidR="00CF2C3B" w:rsidRPr="009C354E" w:rsidRDefault="00CF2C3B" w:rsidP="007531C1">
            <w:pPr>
              <w:jc w:val="center"/>
              <w:rPr>
                <w:rFonts w:eastAsia="Arial Unicode MS"/>
                <w:sz w:val="22"/>
                <w:szCs w:val="22"/>
              </w:rPr>
            </w:pPr>
            <w:r w:rsidRPr="009C354E">
              <w:rPr>
                <w:rFonts w:eastAsia="Arial Unicode MS"/>
                <w:sz w:val="22"/>
                <w:szCs w:val="22"/>
              </w:rPr>
              <w:t>mg/normal m</w:t>
            </w:r>
            <w:r w:rsidRPr="009C354E">
              <w:rPr>
                <w:rFonts w:eastAsia="Arial Unicode MS"/>
                <w:sz w:val="22"/>
                <w:szCs w:val="22"/>
                <w:vertAlign w:val="superscript"/>
              </w:rPr>
              <w:t>3</w:t>
            </w:r>
            <w:r w:rsidR="000E0B71">
              <w:rPr>
                <w:rFonts w:eastAsia="Arial Unicode MS"/>
                <w:sz w:val="22"/>
                <w:szCs w:val="22"/>
              </w:rPr>
              <w:t xml:space="preserve"> ved 3</w:t>
            </w:r>
            <w:r w:rsidRPr="009C354E">
              <w:rPr>
                <w:rFonts w:eastAsia="Arial Unicode MS"/>
                <w:sz w:val="22"/>
                <w:szCs w:val="22"/>
              </w:rPr>
              <w:t xml:space="preserve"> % O</w:t>
            </w:r>
            <w:r w:rsidRPr="009C354E">
              <w:rPr>
                <w:rFonts w:eastAsia="Arial Unicode MS"/>
                <w:sz w:val="22"/>
                <w:szCs w:val="22"/>
                <w:vertAlign w:val="subscript"/>
              </w:rPr>
              <w:t>2</w:t>
            </w:r>
            <w:r w:rsidRPr="009C354E">
              <w:rPr>
                <w:rFonts w:eastAsia="Arial Unicode MS"/>
                <w:sz w:val="22"/>
                <w:szCs w:val="22"/>
              </w:rPr>
              <w:t xml:space="preserve"> tør røggas </w:t>
            </w:r>
          </w:p>
        </w:tc>
      </w:tr>
      <w:tr w:rsidR="00CF2C3B" w:rsidRPr="009C354E" w:rsidTr="00AA458C">
        <w:tc>
          <w:tcPr>
            <w:tcW w:w="1461" w:type="dxa"/>
            <w:vMerge/>
            <w:tcBorders>
              <w:left w:val="single" w:sz="4" w:space="0" w:color="auto"/>
              <w:bottom w:val="single" w:sz="4" w:space="0" w:color="auto"/>
              <w:right w:val="single" w:sz="4" w:space="0" w:color="auto"/>
            </w:tcBorders>
          </w:tcPr>
          <w:p w:rsidR="00CF2C3B" w:rsidRPr="009C354E" w:rsidRDefault="00CF2C3B" w:rsidP="007531C1">
            <w:pPr>
              <w:rPr>
                <w:rFonts w:eastAsia="Arial Unicode MS"/>
                <w:sz w:val="22"/>
                <w:szCs w:val="22"/>
              </w:rPr>
            </w:pPr>
          </w:p>
        </w:tc>
        <w:tc>
          <w:tcPr>
            <w:tcW w:w="1968" w:type="dxa"/>
            <w:vMerge/>
            <w:tcBorders>
              <w:left w:val="single" w:sz="4" w:space="0" w:color="auto"/>
              <w:bottom w:val="single" w:sz="4" w:space="0" w:color="auto"/>
              <w:right w:val="single" w:sz="4" w:space="0" w:color="auto"/>
            </w:tcBorders>
          </w:tcPr>
          <w:p w:rsidR="00CF2C3B" w:rsidRPr="009C354E" w:rsidRDefault="00CF2C3B" w:rsidP="007531C1">
            <w:pPr>
              <w:jc w:val="center"/>
              <w:rPr>
                <w:rFonts w:eastAsia="Arial Unicode MS"/>
                <w:sz w:val="22"/>
                <w:szCs w:val="22"/>
              </w:rPr>
            </w:pPr>
          </w:p>
        </w:tc>
        <w:tc>
          <w:tcPr>
            <w:tcW w:w="1632" w:type="dxa"/>
            <w:tcBorders>
              <w:top w:val="single" w:sz="6" w:space="0" w:color="000000"/>
              <w:left w:val="single" w:sz="6" w:space="0" w:color="000000"/>
              <w:bottom w:val="single" w:sz="6" w:space="0" w:color="000000"/>
              <w:right w:val="single" w:sz="6" w:space="0" w:color="000000"/>
            </w:tcBorders>
          </w:tcPr>
          <w:p w:rsidR="00CF2C3B" w:rsidRPr="00D22290" w:rsidRDefault="00CF2C3B" w:rsidP="007531C1">
            <w:pPr>
              <w:jc w:val="center"/>
              <w:rPr>
                <w:rFonts w:eastAsia="Arial Unicode MS"/>
                <w:b/>
                <w:sz w:val="22"/>
                <w:szCs w:val="22"/>
                <w:lang w:val="en-GB"/>
              </w:rPr>
            </w:pPr>
            <w:r w:rsidRPr="00D22290">
              <w:rPr>
                <w:rFonts w:eastAsia="Arial Unicode MS"/>
                <w:b/>
                <w:sz w:val="22"/>
                <w:szCs w:val="22"/>
                <w:lang w:val="en-GB"/>
              </w:rPr>
              <w:t xml:space="preserve">CO </w:t>
            </w:r>
          </w:p>
        </w:tc>
        <w:tc>
          <w:tcPr>
            <w:tcW w:w="2340" w:type="dxa"/>
            <w:tcBorders>
              <w:top w:val="single" w:sz="6" w:space="0" w:color="000000"/>
              <w:left w:val="single" w:sz="6" w:space="0" w:color="000000"/>
              <w:bottom w:val="single" w:sz="6" w:space="0" w:color="000000"/>
              <w:right w:val="single" w:sz="6" w:space="0" w:color="000000"/>
            </w:tcBorders>
          </w:tcPr>
          <w:p w:rsidR="00CF2C3B" w:rsidRPr="009C354E" w:rsidRDefault="00CF2C3B" w:rsidP="007531C1">
            <w:pPr>
              <w:jc w:val="center"/>
              <w:rPr>
                <w:rFonts w:eastAsia="Arial Unicode MS"/>
                <w:sz w:val="22"/>
                <w:szCs w:val="22"/>
                <w:lang w:val="en-GB"/>
              </w:rPr>
            </w:pPr>
            <w:r w:rsidRPr="00D22290">
              <w:rPr>
                <w:rFonts w:eastAsia="Arial Unicode MS"/>
                <w:b/>
                <w:sz w:val="22"/>
                <w:szCs w:val="22"/>
                <w:lang w:val="en-GB"/>
              </w:rPr>
              <w:t>NO</w:t>
            </w:r>
            <w:r w:rsidRPr="00D22290">
              <w:rPr>
                <w:rFonts w:eastAsia="Arial Unicode MS"/>
                <w:b/>
                <w:sz w:val="22"/>
                <w:szCs w:val="22"/>
                <w:vertAlign w:val="subscript"/>
                <w:lang w:val="en-GB"/>
              </w:rPr>
              <w:t>x</w:t>
            </w:r>
            <w:r w:rsidRPr="009C354E">
              <w:rPr>
                <w:rFonts w:eastAsia="Arial Unicode MS"/>
                <w:sz w:val="22"/>
                <w:szCs w:val="22"/>
                <w:lang w:val="en-GB"/>
              </w:rPr>
              <w:t xml:space="preserve"> regnet som NO</w:t>
            </w:r>
            <w:r w:rsidRPr="009C354E">
              <w:rPr>
                <w:rFonts w:eastAsia="Arial Unicode MS"/>
                <w:sz w:val="22"/>
                <w:szCs w:val="22"/>
                <w:vertAlign w:val="subscript"/>
                <w:lang w:val="en-GB"/>
              </w:rPr>
              <w:t>2</w:t>
            </w:r>
            <w:r w:rsidRPr="009C354E">
              <w:rPr>
                <w:rFonts w:eastAsia="Arial Unicode MS"/>
                <w:sz w:val="22"/>
                <w:szCs w:val="22"/>
                <w:lang w:val="en-GB"/>
              </w:rPr>
              <w:t xml:space="preserve"> </w:t>
            </w:r>
          </w:p>
        </w:tc>
      </w:tr>
      <w:tr w:rsidR="00CF2C3B" w:rsidRPr="009C354E" w:rsidTr="00AA458C">
        <w:trPr>
          <w:trHeight w:val="128"/>
        </w:trPr>
        <w:tc>
          <w:tcPr>
            <w:tcW w:w="1461" w:type="dxa"/>
            <w:tcBorders>
              <w:top w:val="nil"/>
              <w:left w:val="single" w:sz="4" w:space="0" w:color="auto"/>
              <w:bottom w:val="single" w:sz="4" w:space="0" w:color="auto"/>
              <w:right w:val="single" w:sz="4" w:space="0" w:color="auto"/>
            </w:tcBorders>
          </w:tcPr>
          <w:p w:rsidR="00CF2C3B" w:rsidRPr="009C354E" w:rsidRDefault="00CF2C3B" w:rsidP="007531C1">
            <w:pPr>
              <w:spacing w:line="128" w:lineRule="atLeast"/>
              <w:rPr>
                <w:rFonts w:eastAsia="Arial Unicode MS"/>
                <w:sz w:val="22"/>
                <w:szCs w:val="22"/>
                <w:lang w:val="en-GB"/>
              </w:rPr>
            </w:pPr>
            <w:r w:rsidRPr="009C354E">
              <w:rPr>
                <w:rFonts w:eastAsia="Arial Unicode MS"/>
                <w:sz w:val="22"/>
                <w:szCs w:val="22"/>
                <w:lang w:val="en-GB"/>
              </w:rPr>
              <w:t> </w:t>
            </w:r>
          </w:p>
          <w:p w:rsidR="00CF2C3B" w:rsidRDefault="00CF2C3B" w:rsidP="007531C1">
            <w:pPr>
              <w:spacing w:line="128" w:lineRule="atLeast"/>
              <w:rPr>
                <w:rFonts w:eastAsia="Arial Unicode MS"/>
                <w:sz w:val="22"/>
                <w:szCs w:val="22"/>
              </w:rPr>
            </w:pPr>
            <w:r>
              <w:rPr>
                <w:rFonts w:eastAsia="Arial Unicode MS"/>
                <w:sz w:val="22"/>
                <w:szCs w:val="22"/>
              </w:rPr>
              <w:t>Naturgas</w:t>
            </w:r>
          </w:p>
          <w:p w:rsidR="00AA458C" w:rsidRPr="009C354E" w:rsidRDefault="00AA458C" w:rsidP="007531C1">
            <w:pPr>
              <w:spacing w:line="128" w:lineRule="atLeast"/>
              <w:rPr>
                <w:rFonts w:eastAsia="Arial Unicode MS"/>
                <w:sz w:val="22"/>
                <w:szCs w:val="22"/>
              </w:rPr>
            </w:pPr>
          </w:p>
        </w:tc>
        <w:tc>
          <w:tcPr>
            <w:tcW w:w="1968" w:type="dxa"/>
            <w:tcBorders>
              <w:top w:val="single" w:sz="6" w:space="0" w:color="000000"/>
              <w:left w:val="single" w:sz="4" w:space="0" w:color="auto"/>
              <w:bottom w:val="single" w:sz="4" w:space="0" w:color="auto"/>
              <w:right w:val="single" w:sz="6" w:space="0" w:color="000000"/>
            </w:tcBorders>
          </w:tcPr>
          <w:p w:rsidR="00CF2C3B" w:rsidRPr="009C354E" w:rsidRDefault="00CF2C3B" w:rsidP="007531C1">
            <w:pPr>
              <w:spacing w:line="128" w:lineRule="atLeast"/>
              <w:jc w:val="center"/>
              <w:rPr>
                <w:rFonts w:eastAsia="Arial Unicode MS"/>
                <w:sz w:val="22"/>
                <w:szCs w:val="22"/>
              </w:rPr>
            </w:pPr>
          </w:p>
          <w:p w:rsidR="00CF2C3B" w:rsidRPr="009C354E" w:rsidRDefault="00531024" w:rsidP="007531C1">
            <w:pPr>
              <w:spacing w:line="128" w:lineRule="atLeast"/>
              <w:jc w:val="center"/>
              <w:rPr>
                <w:rFonts w:eastAsia="Arial Unicode MS"/>
                <w:sz w:val="22"/>
                <w:szCs w:val="22"/>
              </w:rPr>
            </w:pPr>
            <w:r>
              <w:rPr>
                <w:rFonts w:eastAsia="Arial Unicode MS"/>
                <w:sz w:val="22"/>
                <w:szCs w:val="22"/>
              </w:rPr>
              <w:t>7,5 MW</w:t>
            </w:r>
            <w:r w:rsidR="00CF2C3B" w:rsidRPr="009C354E">
              <w:rPr>
                <w:rFonts w:eastAsia="Arial Unicode MS"/>
                <w:sz w:val="22"/>
                <w:szCs w:val="22"/>
              </w:rPr>
              <w:t xml:space="preserve"> </w:t>
            </w:r>
          </w:p>
        </w:tc>
        <w:tc>
          <w:tcPr>
            <w:tcW w:w="1632" w:type="dxa"/>
            <w:tcBorders>
              <w:top w:val="single" w:sz="6" w:space="0" w:color="000000"/>
              <w:left w:val="single" w:sz="6" w:space="0" w:color="000000"/>
              <w:bottom w:val="single" w:sz="4" w:space="0" w:color="auto"/>
              <w:right w:val="single" w:sz="6" w:space="0" w:color="000000"/>
            </w:tcBorders>
          </w:tcPr>
          <w:p w:rsidR="00CF2C3B" w:rsidRPr="009C354E" w:rsidRDefault="00CF2C3B" w:rsidP="007531C1">
            <w:pPr>
              <w:spacing w:line="128" w:lineRule="atLeast"/>
              <w:jc w:val="center"/>
              <w:rPr>
                <w:rFonts w:eastAsia="Arial Unicode MS"/>
                <w:sz w:val="22"/>
                <w:szCs w:val="22"/>
              </w:rPr>
            </w:pPr>
          </w:p>
          <w:p w:rsidR="00CF2C3B" w:rsidRPr="009C354E" w:rsidRDefault="000E0B71" w:rsidP="007531C1">
            <w:pPr>
              <w:spacing w:line="128" w:lineRule="atLeast"/>
              <w:jc w:val="center"/>
              <w:rPr>
                <w:rFonts w:eastAsia="Arial Unicode MS"/>
                <w:sz w:val="22"/>
                <w:szCs w:val="22"/>
              </w:rPr>
            </w:pPr>
            <w:r>
              <w:rPr>
                <w:rFonts w:eastAsia="Arial Unicode MS"/>
                <w:sz w:val="22"/>
                <w:szCs w:val="22"/>
              </w:rPr>
              <w:t>125</w:t>
            </w:r>
          </w:p>
        </w:tc>
        <w:tc>
          <w:tcPr>
            <w:tcW w:w="2340" w:type="dxa"/>
            <w:tcBorders>
              <w:top w:val="single" w:sz="6" w:space="0" w:color="000000"/>
              <w:left w:val="single" w:sz="6" w:space="0" w:color="000000"/>
              <w:bottom w:val="single" w:sz="4" w:space="0" w:color="auto"/>
              <w:right w:val="single" w:sz="6" w:space="0" w:color="000000"/>
            </w:tcBorders>
          </w:tcPr>
          <w:p w:rsidR="00CF2C3B" w:rsidRPr="009C354E" w:rsidRDefault="00CF2C3B" w:rsidP="007531C1">
            <w:pPr>
              <w:spacing w:line="128" w:lineRule="atLeast"/>
              <w:jc w:val="center"/>
              <w:rPr>
                <w:rFonts w:eastAsia="Arial Unicode MS"/>
                <w:sz w:val="22"/>
                <w:szCs w:val="22"/>
              </w:rPr>
            </w:pPr>
          </w:p>
          <w:p w:rsidR="00CF2C3B" w:rsidRPr="009C354E" w:rsidRDefault="000E0B71" w:rsidP="007531C1">
            <w:pPr>
              <w:spacing w:line="128" w:lineRule="atLeast"/>
              <w:jc w:val="center"/>
              <w:rPr>
                <w:rFonts w:eastAsia="Arial Unicode MS"/>
                <w:sz w:val="22"/>
                <w:szCs w:val="22"/>
              </w:rPr>
            </w:pPr>
            <w:r>
              <w:rPr>
                <w:rFonts w:eastAsia="Arial Unicode MS"/>
                <w:sz w:val="22"/>
                <w:szCs w:val="22"/>
              </w:rPr>
              <w:t>100</w:t>
            </w:r>
            <w:r w:rsidR="00CF2C3B" w:rsidRPr="009C354E">
              <w:rPr>
                <w:rFonts w:eastAsia="Arial Unicode MS"/>
                <w:sz w:val="22"/>
                <w:szCs w:val="22"/>
              </w:rPr>
              <w:t xml:space="preserve"> </w:t>
            </w:r>
          </w:p>
        </w:tc>
      </w:tr>
      <w:tr w:rsidR="00CF2C3B" w:rsidRPr="009C354E" w:rsidTr="00AA458C">
        <w:trPr>
          <w:trHeight w:val="128"/>
        </w:trPr>
        <w:tc>
          <w:tcPr>
            <w:tcW w:w="1461" w:type="dxa"/>
            <w:tcBorders>
              <w:top w:val="single" w:sz="4" w:space="0" w:color="auto"/>
              <w:left w:val="single" w:sz="4" w:space="0" w:color="auto"/>
              <w:bottom w:val="single" w:sz="4" w:space="0" w:color="auto"/>
              <w:right w:val="single" w:sz="4" w:space="0" w:color="auto"/>
            </w:tcBorders>
          </w:tcPr>
          <w:p w:rsidR="00AA458C" w:rsidRDefault="00AA458C" w:rsidP="007531C1">
            <w:pPr>
              <w:spacing w:line="128" w:lineRule="atLeast"/>
              <w:rPr>
                <w:rFonts w:eastAsia="Arial Unicode MS"/>
                <w:sz w:val="22"/>
                <w:szCs w:val="22"/>
                <w:lang w:val="en-GB"/>
              </w:rPr>
            </w:pPr>
          </w:p>
          <w:p w:rsidR="00CF2C3B" w:rsidRPr="009C354E" w:rsidRDefault="00AA458C" w:rsidP="007531C1">
            <w:pPr>
              <w:spacing w:line="128" w:lineRule="atLeast"/>
              <w:rPr>
                <w:rFonts w:eastAsia="Arial Unicode MS"/>
                <w:sz w:val="22"/>
                <w:szCs w:val="22"/>
                <w:lang w:val="en-GB"/>
              </w:rPr>
            </w:pPr>
            <w:r>
              <w:rPr>
                <w:rFonts w:eastAsia="Arial Unicode MS"/>
                <w:sz w:val="22"/>
                <w:szCs w:val="22"/>
                <w:lang w:val="en-GB"/>
              </w:rPr>
              <w:t>Fyringsolie</w:t>
            </w:r>
          </w:p>
        </w:tc>
        <w:tc>
          <w:tcPr>
            <w:tcW w:w="1968" w:type="dxa"/>
            <w:tcBorders>
              <w:top w:val="single" w:sz="4" w:space="0" w:color="auto"/>
              <w:left w:val="single" w:sz="4" w:space="0" w:color="auto"/>
              <w:bottom w:val="single" w:sz="4" w:space="0" w:color="auto"/>
              <w:right w:val="single" w:sz="4" w:space="0" w:color="auto"/>
            </w:tcBorders>
          </w:tcPr>
          <w:p w:rsidR="00CF2C3B" w:rsidRDefault="00CF2C3B" w:rsidP="007531C1">
            <w:pPr>
              <w:spacing w:line="128" w:lineRule="atLeast"/>
              <w:jc w:val="center"/>
              <w:rPr>
                <w:rFonts w:eastAsia="Arial Unicode MS"/>
                <w:sz w:val="22"/>
                <w:szCs w:val="22"/>
              </w:rPr>
            </w:pPr>
          </w:p>
          <w:p w:rsidR="00AA458C" w:rsidRPr="009C354E" w:rsidRDefault="00531024" w:rsidP="00531024">
            <w:pPr>
              <w:spacing w:line="128" w:lineRule="atLeast"/>
              <w:jc w:val="center"/>
              <w:rPr>
                <w:rFonts w:eastAsia="Arial Unicode MS"/>
                <w:sz w:val="22"/>
                <w:szCs w:val="22"/>
              </w:rPr>
            </w:pPr>
            <w:r>
              <w:rPr>
                <w:rFonts w:eastAsia="Arial Unicode MS"/>
                <w:sz w:val="22"/>
                <w:szCs w:val="22"/>
              </w:rPr>
              <w:t>7</w:t>
            </w:r>
            <w:r w:rsidR="00AA458C">
              <w:rPr>
                <w:rFonts w:eastAsia="Arial Unicode MS"/>
                <w:sz w:val="22"/>
                <w:szCs w:val="22"/>
              </w:rPr>
              <w:t>,</w:t>
            </w:r>
            <w:r>
              <w:rPr>
                <w:rFonts w:eastAsia="Arial Unicode MS"/>
                <w:sz w:val="22"/>
                <w:szCs w:val="22"/>
              </w:rPr>
              <w:t>5</w:t>
            </w:r>
            <w:r w:rsidR="00AA458C">
              <w:rPr>
                <w:rFonts w:eastAsia="Arial Unicode MS"/>
                <w:sz w:val="22"/>
                <w:szCs w:val="22"/>
              </w:rPr>
              <w:t xml:space="preserve"> MW</w:t>
            </w:r>
          </w:p>
        </w:tc>
        <w:tc>
          <w:tcPr>
            <w:tcW w:w="1632" w:type="dxa"/>
            <w:tcBorders>
              <w:top w:val="single" w:sz="4" w:space="0" w:color="auto"/>
              <w:left w:val="single" w:sz="4" w:space="0" w:color="auto"/>
              <w:bottom w:val="single" w:sz="4" w:space="0" w:color="auto"/>
              <w:right w:val="single" w:sz="4" w:space="0" w:color="auto"/>
            </w:tcBorders>
          </w:tcPr>
          <w:p w:rsidR="00CF2C3B" w:rsidRDefault="00CF2C3B" w:rsidP="007531C1">
            <w:pPr>
              <w:spacing w:line="128" w:lineRule="atLeast"/>
              <w:jc w:val="center"/>
              <w:rPr>
                <w:rFonts w:eastAsia="Arial Unicode MS"/>
                <w:sz w:val="22"/>
                <w:szCs w:val="22"/>
              </w:rPr>
            </w:pPr>
          </w:p>
          <w:p w:rsidR="00AA458C" w:rsidRPr="009C354E" w:rsidRDefault="000E0B71" w:rsidP="007531C1">
            <w:pPr>
              <w:spacing w:line="128" w:lineRule="atLeast"/>
              <w:jc w:val="center"/>
              <w:rPr>
                <w:rFonts w:eastAsia="Arial Unicode MS"/>
                <w:sz w:val="22"/>
                <w:szCs w:val="22"/>
              </w:rPr>
            </w:pPr>
            <w:r>
              <w:rPr>
                <w:rFonts w:eastAsia="Arial Unicode MS"/>
                <w:sz w:val="22"/>
                <w:szCs w:val="22"/>
              </w:rPr>
              <w:t>165</w:t>
            </w:r>
          </w:p>
        </w:tc>
        <w:tc>
          <w:tcPr>
            <w:tcW w:w="2340" w:type="dxa"/>
            <w:tcBorders>
              <w:top w:val="single" w:sz="4" w:space="0" w:color="auto"/>
              <w:left w:val="single" w:sz="4" w:space="0" w:color="auto"/>
              <w:bottom w:val="single" w:sz="4" w:space="0" w:color="auto"/>
              <w:right w:val="single" w:sz="4" w:space="0" w:color="auto"/>
            </w:tcBorders>
          </w:tcPr>
          <w:p w:rsidR="00CF2C3B" w:rsidRDefault="00CF2C3B" w:rsidP="007531C1">
            <w:pPr>
              <w:spacing w:line="128" w:lineRule="atLeast"/>
              <w:jc w:val="center"/>
              <w:rPr>
                <w:rFonts w:eastAsia="Arial Unicode MS"/>
                <w:sz w:val="22"/>
                <w:szCs w:val="22"/>
              </w:rPr>
            </w:pPr>
          </w:p>
          <w:p w:rsidR="00AA458C" w:rsidRDefault="000E0B71" w:rsidP="007531C1">
            <w:pPr>
              <w:spacing w:line="128" w:lineRule="atLeast"/>
              <w:jc w:val="center"/>
              <w:rPr>
                <w:rFonts w:eastAsia="Arial Unicode MS"/>
                <w:sz w:val="22"/>
                <w:szCs w:val="22"/>
              </w:rPr>
            </w:pPr>
            <w:r>
              <w:rPr>
                <w:rFonts w:eastAsia="Arial Unicode MS"/>
                <w:sz w:val="22"/>
                <w:szCs w:val="22"/>
              </w:rPr>
              <w:t>180</w:t>
            </w:r>
          </w:p>
          <w:p w:rsidR="00AA458C" w:rsidRPr="009C354E" w:rsidRDefault="00AA458C" w:rsidP="007531C1">
            <w:pPr>
              <w:spacing w:line="128" w:lineRule="atLeast"/>
              <w:jc w:val="center"/>
              <w:rPr>
                <w:rFonts w:eastAsia="Arial Unicode MS"/>
                <w:sz w:val="22"/>
                <w:szCs w:val="22"/>
              </w:rPr>
            </w:pPr>
          </w:p>
        </w:tc>
      </w:tr>
    </w:tbl>
    <w:p w:rsidR="00CF2C3B" w:rsidRPr="00D3616E" w:rsidRDefault="00CF2C3B" w:rsidP="00CF2C3B">
      <w:pPr>
        <w:ind w:left="1304"/>
      </w:pPr>
    </w:p>
    <w:p w:rsidR="00CF2C3B" w:rsidRPr="00D3616E" w:rsidRDefault="00CF2C3B" w:rsidP="00CF2C3B">
      <w:pPr>
        <w:ind w:left="284"/>
      </w:pPr>
    </w:p>
    <w:p w:rsidR="00CF2C3B" w:rsidRPr="006C0E0D" w:rsidRDefault="00CF2C3B" w:rsidP="00CF2C3B">
      <w:pPr>
        <w:ind w:left="1304"/>
        <w:jc w:val="both"/>
        <w:rPr>
          <w:rFonts w:cs="Arial"/>
        </w:rPr>
      </w:pPr>
      <w:r w:rsidRPr="006C0E0D">
        <w:rPr>
          <w:rFonts w:cs="Arial"/>
        </w:rPr>
        <w:lastRenderedPageBreak/>
        <w:t>Alle afkast skal være opadrettede.</w:t>
      </w:r>
      <w:r w:rsidR="006C0E0D">
        <w:rPr>
          <w:rFonts w:cs="Arial"/>
        </w:rPr>
        <w:t>(s)</w:t>
      </w:r>
    </w:p>
    <w:p w:rsidR="00CF2C3B" w:rsidRPr="006C0E0D" w:rsidRDefault="00CF2C3B" w:rsidP="00CF2C3B">
      <w:pPr>
        <w:ind w:left="1304" w:firstLine="5"/>
        <w:jc w:val="both"/>
      </w:pPr>
    </w:p>
    <w:p w:rsidR="00AC4415" w:rsidRDefault="00CF2C3B" w:rsidP="002C7311">
      <w:pPr>
        <w:pStyle w:val="Listeafsnit"/>
        <w:numPr>
          <w:ilvl w:val="0"/>
          <w:numId w:val="6"/>
        </w:numPr>
        <w:jc w:val="both"/>
      </w:pPr>
      <w:r w:rsidRPr="006C0E0D">
        <w:t>Virksomheden må ikke give anledning til dif</w:t>
      </w:r>
      <w:r w:rsidR="00363EDF" w:rsidRPr="006C0E0D">
        <w:t xml:space="preserve">fuse </w:t>
      </w:r>
      <w:r w:rsidR="002C7311" w:rsidRPr="006C0E0D">
        <w:t>emissioner af de i vilkår 12</w:t>
      </w:r>
      <w:r w:rsidRPr="006C0E0D">
        <w:t xml:space="preserve"> nævnte stoffer. Diffuse emissioner er </w:t>
      </w:r>
      <w:r w:rsidRPr="006C0E0D">
        <w:lastRenderedPageBreak/>
        <w:t>udledninger, der ikke sker via veldefinerede afkast.</w:t>
      </w:r>
      <w:r w:rsidR="006C0E0D">
        <w:t>(s)</w:t>
      </w:r>
    </w:p>
    <w:p w:rsidR="00965089" w:rsidRDefault="00AC4415" w:rsidP="002C7311">
      <w:pPr>
        <w:pStyle w:val="Listeafsnit"/>
        <w:numPr>
          <w:ilvl w:val="0"/>
          <w:numId w:val="6"/>
        </w:numPr>
        <w:jc w:val="both"/>
      </w:pPr>
      <w:r>
        <w:t xml:space="preserve">Anlæggets samlede indfyrede effekt må ikke overstige </w:t>
      </w:r>
      <w:r w:rsidR="00531024">
        <w:t>7,5</w:t>
      </w:r>
      <w:r>
        <w:t xml:space="preserve"> MW</w:t>
      </w:r>
      <w:r w:rsidR="0004277C">
        <w:t>. Anlægget skal være programmeret så effekten ikke kan øges.</w:t>
      </w:r>
    </w:p>
    <w:p w:rsidR="00CF2C3B" w:rsidRPr="006C0E0D" w:rsidRDefault="00CF2C3B" w:rsidP="00965089">
      <w:pPr>
        <w:pStyle w:val="Listeafsnit"/>
        <w:jc w:val="both"/>
      </w:pPr>
    </w:p>
    <w:p w:rsidR="00363EDF" w:rsidRDefault="00363EDF" w:rsidP="00AC343E">
      <w:pPr>
        <w:pStyle w:val="Listeafsnit"/>
        <w:jc w:val="both"/>
        <w:rPr>
          <w:sz w:val="22"/>
          <w:szCs w:val="22"/>
        </w:rPr>
      </w:pPr>
    </w:p>
    <w:p w:rsidR="00AC343E" w:rsidRPr="00AC343E" w:rsidRDefault="00AC343E" w:rsidP="002C7311">
      <w:pPr>
        <w:pStyle w:val="Overskrift3"/>
        <w:rPr>
          <w:lang w:eastAsia="da-DK"/>
        </w:rPr>
      </w:pPr>
      <w:r w:rsidRPr="00AC343E">
        <w:rPr>
          <w:lang w:eastAsia="da-DK"/>
        </w:rPr>
        <w:t>Egenkontrol</w:t>
      </w:r>
    </w:p>
    <w:p w:rsidR="00AC343E" w:rsidRPr="005E320F" w:rsidRDefault="00AC343E" w:rsidP="005E320F">
      <w:pPr>
        <w:rPr>
          <w:i/>
          <w:lang w:eastAsia="da-DK"/>
        </w:rPr>
      </w:pPr>
      <w:r w:rsidRPr="005E320F">
        <w:rPr>
          <w:i/>
          <w:lang w:eastAsia="da-DK"/>
        </w:rPr>
        <w:t>Præstationskontrol</w:t>
      </w:r>
    </w:p>
    <w:p w:rsidR="00AC343E" w:rsidRPr="00965089" w:rsidRDefault="00AC343E" w:rsidP="00965089">
      <w:pPr>
        <w:pStyle w:val="Listeafsnit"/>
        <w:numPr>
          <w:ilvl w:val="0"/>
          <w:numId w:val="6"/>
        </w:numPr>
        <w:shd w:val="clear" w:color="auto" w:fill="FFFFFF"/>
        <w:spacing w:after="150" w:line="240" w:lineRule="auto"/>
        <w:rPr>
          <w:rFonts w:eastAsia="Times New Roman" w:cs="Arial"/>
          <w:lang w:eastAsia="da-DK"/>
        </w:rPr>
      </w:pPr>
      <w:r w:rsidRPr="00965089">
        <w:rPr>
          <w:rFonts w:eastAsia="Times New Roman" w:cs="Arial"/>
          <w:lang w:eastAsia="da-DK"/>
        </w:rPr>
        <w:t xml:space="preserve">Senest 6 måneder efter at et nyt kedelanlæg er taget i brug, skal der ved </w:t>
      </w:r>
      <w:r w:rsidR="00965089" w:rsidRPr="00965089">
        <w:rPr>
          <w:rFonts w:eastAsia="Times New Roman" w:cs="Arial"/>
          <w:lang w:eastAsia="da-DK"/>
        </w:rPr>
        <w:t xml:space="preserve">  </w:t>
      </w:r>
      <w:r w:rsidRPr="00965089">
        <w:rPr>
          <w:rFonts w:eastAsia="Times New Roman" w:cs="Arial"/>
          <w:lang w:eastAsia="da-DK"/>
        </w:rPr>
        <w:t>præstationskontrol foretages 3 en</w:t>
      </w:r>
      <w:r w:rsidRPr="00965089">
        <w:rPr>
          <w:rFonts w:eastAsia="Times New Roman" w:cs="Arial"/>
          <w:lang w:eastAsia="da-DK"/>
        </w:rPr>
        <w:lastRenderedPageBreak/>
        <w:t>keltmålinger hver af en varighed på 1 time med henblik på at dokumentere, at emis</w:t>
      </w:r>
      <w:r w:rsidR="005D2B35" w:rsidRPr="00965089">
        <w:rPr>
          <w:rFonts w:eastAsia="Times New Roman" w:cs="Arial"/>
          <w:lang w:eastAsia="da-DK"/>
        </w:rPr>
        <w:t xml:space="preserve">sionsgrænseværdierne i vilkår 12 </w:t>
      </w:r>
      <w:r w:rsidRPr="00965089">
        <w:rPr>
          <w:rFonts w:eastAsia="Times New Roman" w:cs="Arial"/>
          <w:lang w:eastAsia="da-DK"/>
        </w:rPr>
        <w:t xml:space="preserve">er overholdt, dog kun 2 enkeltmålinger hver af en varighed på 45 minutter for </w:t>
      </w:r>
      <w:r w:rsidRPr="00965089">
        <w:rPr>
          <w:rFonts w:eastAsia="Times New Roman" w:cs="Arial"/>
          <w:lang w:eastAsia="da-DK"/>
        </w:rPr>
        <w:lastRenderedPageBreak/>
        <w:t>gas- og oliefyrede kedler. Dette gælder dog ikke for parametre (stoffer), for hvilke der er udført automatisk kontrol elle</w:t>
      </w:r>
      <w:r w:rsidR="006755F9" w:rsidRPr="00965089">
        <w:rPr>
          <w:rFonts w:eastAsia="Times New Roman" w:cs="Arial"/>
          <w:lang w:eastAsia="da-DK"/>
        </w:rPr>
        <w:t>r AMS-kontrol.</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lastRenderedPageBreak/>
        <w:t xml:space="preserve">Målingerne skal foretages under repræsentative driftsforhold (maksimal </w:t>
      </w:r>
      <w:r w:rsidR="00965089">
        <w:rPr>
          <w:rFonts w:eastAsia="Times New Roman" w:cs="Arial"/>
          <w:lang w:eastAsia="da-DK"/>
        </w:rPr>
        <w:t xml:space="preserve">  </w:t>
      </w:r>
      <w:r w:rsidRPr="00AC343E">
        <w:rPr>
          <w:rFonts w:eastAsia="Times New Roman" w:cs="Arial"/>
          <w:lang w:eastAsia="da-DK"/>
        </w:rPr>
        <w:t xml:space="preserve">normaldrift). Præstationskontrollen skal ikke udføres under opstart og nedlukning. Målingerne skal udføres af et firma/laboratorium, der er akkrediteret hertil </w:t>
      </w:r>
      <w:r w:rsidRPr="00AC343E">
        <w:rPr>
          <w:rFonts w:eastAsia="Times New Roman" w:cs="Arial"/>
          <w:lang w:eastAsia="da-DK"/>
        </w:rPr>
        <w:lastRenderedPageBreak/>
        <w:t xml:space="preserve">af DANAK (Den Danske Akkrediteringsfond) eller af et tilsvarende akkrediteringsorgan, som er medunderskriver af EA’s multilaterale aftale om gensidig anerkendelse. Rapport over målingerne skal indsendes til tilsynsmyndigheden senest 2 </w:t>
      </w:r>
      <w:r w:rsidRPr="00AC343E">
        <w:rPr>
          <w:rFonts w:eastAsia="Times New Roman" w:cs="Arial"/>
          <w:lang w:eastAsia="da-DK"/>
        </w:rPr>
        <w:lastRenderedPageBreak/>
        <w:t xml:space="preserve">måneder efter, at disse er foretaget. For alle anlæg, undtagen naturgas- eller gasoliefyrede kedelanlæg, skal der herefter udføres 1 årlig præstationskontrol efter samme retningslinjer. Hvis resultatet af præstationskontrollen for hvert enkelt </w:t>
      </w:r>
      <w:r w:rsidRPr="00AC343E">
        <w:rPr>
          <w:rFonts w:eastAsia="Times New Roman" w:cs="Arial"/>
          <w:lang w:eastAsia="da-DK"/>
        </w:rPr>
        <w:lastRenderedPageBreak/>
        <w:t>stof er under 60 % af emissionsgrænseværdien, kræves dog kun kontrol hvert andet år for dette eller disse stoffer.</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t xml:space="preserve">For enkelte naturgas- eller gasoliefyret kedelanlæg ≤ 5 MW </w:t>
      </w:r>
      <w:r w:rsidRPr="00AC343E">
        <w:rPr>
          <w:rFonts w:eastAsia="Times New Roman" w:cs="Arial"/>
          <w:lang w:eastAsia="da-DK"/>
        </w:rPr>
        <w:lastRenderedPageBreak/>
        <w:t xml:space="preserve">kan tilsynsmyndigheden herefter kræve, at anlægget foretager præstationskontrol efter ovenstående retningslinjer, dog normalt højest hvert andet år. For enkelte naturgas- eller gasoliefyrede kedelanlæg &gt; 5 MW skal </w:t>
      </w:r>
      <w:r w:rsidRPr="00AC343E">
        <w:rPr>
          <w:rFonts w:eastAsia="Times New Roman" w:cs="Arial"/>
          <w:lang w:eastAsia="da-DK"/>
        </w:rPr>
        <w:lastRenderedPageBreak/>
        <w:t>der herefter udføres præstationskontrol efter ovenstående retningslinjer med følgende frekvens:</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t>– For anlæg under 100 driftstimer: Ingen yderligere kontrol.</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lastRenderedPageBreak/>
        <w:t>– For anlæg fra 100 til og med 1500 driftstimer måles hvert tredje år.</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t>– For anlæg fra 1500 til og med 3000 driftstimer måles hvert andet år.</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lastRenderedPageBreak/>
        <w:t>– For anlæg med over 3000 driftstimer måles hvert år. Driftstimerne opgøres som et rullende gennemsnit over 5 år.</w:t>
      </w:r>
      <w:r w:rsidR="006755F9">
        <w:rPr>
          <w:rFonts w:eastAsia="Times New Roman" w:cs="Arial"/>
          <w:lang w:eastAsia="da-DK"/>
        </w:rPr>
        <w:t>(s)</w:t>
      </w:r>
    </w:p>
    <w:p w:rsidR="00AC343E" w:rsidRPr="00AC343E" w:rsidRDefault="00965089" w:rsidP="00AC343E">
      <w:pPr>
        <w:shd w:val="clear" w:color="auto" w:fill="FFFFFF"/>
        <w:spacing w:after="150" w:line="240" w:lineRule="auto"/>
        <w:rPr>
          <w:rFonts w:eastAsia="Times New Roman" w:cs="Arial"/>
          <w:lang w:eastAsia="da-DK"/>
        </w:rPr>
      </w:pPr>
      <w:r>
        <w:rPr>
          <w:rFonts w:eastAsia="Times New Roman" w:cs="Arial"/>
          <w:lang w:eastAsia="da-DK"/>
        </w:rPr>
        <w:t xml:space="preserve">16. </w:t>
      </w:r>
      <w:r w:rsidR="00AC343E" w:rsidRPr="00AC343E">
        <w:rPr>
          <w:rFonts w:eastAsia="Times New Roman" w:cs="Arial"/>
          <w:lang w:eastAsia="da-DK"/>
        </w:rPr>
        <w:t xml:space="preserve">Emissionsgrænseværdierne anses for overholdt, når det </w:t>
      </w:r>
      <w:r w:rsidR="00AC343E" w:rsidRPr="00AC343E">
        <w:rPr>
          <w:rFonts w:eastAsia="Times New Roman" w:cs="Arial"/>
          <w:lang w:eastAsia="da-DK"/>
        </w:rPr>
        <w:lastRenderedPageBreak/>
        <w:t>aritmetiske gennemsnit af alle enkeltmålinger udført ved præstationskontrollen er mindre end eller lig med emissionsgrænseværdien.</w:t>
      </w:r>
      <w:r w:rsidR="006755F9">
        <w:rPr>
          <w:rFonts w:eastAsia="Times New Roman" w:cs="Arial"/>
          <w:lang w:eastAsia="da-DK"/>
        </w:rPr>
        <w:t>(s)</w:t>
      </w:r>
    </w:p>
    <w:p w:rsidR="00AC343E" w:rsidRPr="00AC343E" w:rsidRDefault="0004277C" w:rsidP="00AC343E">
      <w:pPr>
        <w:shd w:val="clear" w:color="auto" w:fill="FFFFFF"/>
        <w:spacing w:after="150" w:line="240" w:lineRule="auto"/>
        <w:rPr>
          <w:rFonts w:eastAsia="Times New Roman" w:cs="Arial"/>
          <w:lang w:eastAsia="da-DK"/>
        </w:rPr>
      </w:pPr>
      <w:r>
        <w:rPr>
          <w:rFonts w:eastAsia="Times New Roman" w:cs="Arial"/>
          <w:lang w:eastAsia="da-DK"/>
        </w:rPr>
        <w:t>17</w:t>
      </w:r>
      <w:r w:rsidR="00AC343E" w:rsidRPr="00AC343E">
        <w:rPr>
          <w:rFonts w:eastAsia="Times New Roman" w:cs="Arial"/>
          <w:lang w:eastAsia="da-DK"/>
        </w:rPr>
        <w:t xml:space="preserve">. Prøvetagning og analyse skal ske efter de i tabel 2 </w:t>
      </w:r>
      <w:r w:rsidR="00AC343E" w:rsidRPr="00AC343E">
        <w:rPr>
          <w:rFonts w:eastAsia="Times New Roman" w:cs="Arial"/>
          <w:lang w:eastAsia="da-DK"/>
        </w:rPr>
        <w:lastRenderedPageBreak/>
        <w:t>nævnte metoder eller efter internationale standarder med mindst samme analysepræcision og usikkerhedsniveau.</w:t>
      </w:r>
      <w:r w:rsidR="006755F9">
        <w:rPr>
          <w:rFonts w:eastAsia="Times New Roman" w:cs="Arial"/>
          <w:lang w:eastAsia="da-DK"/>
        </w:rPr>
        <w:t>(s)</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i/>
          <w:iCs/>
          <w:lang w:eastAsia="da-DK"/>
        </w:rPr>
        <w:t>Tabel 2.</w:t>
      </w:r>
      <w:r w:rsidRPr="00AC343E">
        <w:rPr>
          <w:rFonts w:eastAsia="Times New Roman" w:cs="Arial"/>
          <w:lang w:eastAsia="da-DK"/>
        </w:rPr>
        <w:t> </w:t>
      </w:r>
      <w:r w:rsidRPr="00AC343E">
        <w:rPr>
          <w:rFonts w:eastAsia="Times New Roman" w:cs="Arial"/>
          <w:iCs/>
          <w:lang w:eastAsia="da-DK"/>
        </w:rPr>
        <w:t>Prøvetagnings- og analysemetoder</w:t>
      </w:r>
    </w:p>
    <w:tbl>
      <w:tblPr>
        <w:tblW w:w="8892"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552"/>
        <w:gridCol w:w="1113"/>
        <w:gridCol w:w="4227"/>
      </w:tblGrid>
      <w:tr w:rsidR="00AC343E" w:rsidRPr="00AC343E" w:rsidTr="00AC343E">
        <w:trPr>
          <w:trHeight w:val="283"/>
          <w:tblHeader/>
        </w:trPr>
        <w:tc>
          <w:tcPr>
            <w:tcW w:w="3552" w:type="dxa"/>
            <w:shd w:val="clear" w:color="auto" w:fill="FFFFFF"/>
            <w:tcMar>
              <w:top w:w="0" w:type="dxa"/>
              <w:left w:w="0" w:type="dxa"/>
              <w:bottom w:w="0" w:type="dxa"/>
              <w:right w:w="0" w:type="dxa"/>
            </w:tcMar>
            <w:vAlign w:val="bottom"/>
            <w:hideMark/>
          </w:tcPr>
          <w:p w:rsidR="00AC343E" w:rsidRPr="00AC343E" w:rsidRDefault="00AC343E" w:rsidP="00AC343E">
            <w:pPr>
              <w:spacing w:line="240" w:lineRule="auto"/>
              <w:rPr>
                <w:rFonts w:eastAsia="Times New Roman" w:cs="Arial"/>
                <w:sz w:val="18"/>
                <w:szCs w:val="18"/>
                <w:lang w:eastAsia="da-DK"/>
              </w:rPr>
            </w:pPr>
          </w:p>
        </w:tc>
        <w:tc>
          <w:tcPr>
            <w:tcW w:w="1113" w:type="dxa"/>
            <w:shd w:val="clear" w:color="auto" w:fill="FFFFFF"/>
            <w:tcMar>
              <w:top w:w="0" w:type="dxa"/>
              <w:left w:w="0" w:type="dxa"/>
              <w:bottom w:w="0" w:type="dxa"/>
              <w:right w:w="0" w:type="dxa"/>
            </w:tcMar>
            <w:vAlign w:val="bottom"/>
            <w:hideMark/>
          </w:tcPr>
          <w:p w:rsidR="00AC343E" w:rsidRPr="00AC343E" w:rsidRDefault="00AC343E" w:rsidP="00AC343E">
            <w:pPr>
              <w:spacing w:line="240" w:lineRule="auto"/>
              <w:rPr>
                <w:rFonts w:eastAsia="Times New Roman" w:cs="Times New Roman"/>
                <w:sz w:val="18"/>
                <w:szCs w:val="18"/>
                <w:lang w:eastAsia="da-DK"/>
              </w:rPr>
            </w:pPr>
          </w:p>
        </w:tc>
        <w:tc>
          <w:tcPr>
            <w:tcW w:w="4227" w:type="dxa"/>
            <w:shd w:val="clear" w:color="auto" w:fill="FFFFFF"/>
            <w:tcMar>
              <w:top w:w="0" w:type="dxa"/>
              <w:left w:w="0" w:type="dxa"/>
              <w:bottom w:w="0" w:type="dxa"/>
              <w:right w:w="0" w:type="dxa"/>
            </w:tcMar>
            <w:vAlign w:val="bottom"/>
            <w:hideMark/>
          </w:tcPr>
          <w:p w:rsidR="00AC343E" w:rsidRPr="00AC343E" w:rsidRDefault="00AC343E" w:rsidP="00AC343E">
            <w:pPr>
              <w:spacing w:line="240" w:lineRule="auto"/>
              <w:rPr>
                <w:rFonts w:eastAsia="Times New Roman" w:cs="Times New Roman"/>
                <w:sz w:val="18"/>
                <w:szCs w:val="18"/>
                <w:lang w:eastAsia="da-DK"/>
              </w:rPr>
            </w:pPr>
          </w:p>
        </w:tc>
      </w:tr>
      <w:tr w:rsidR="00AC343E" w:rsidRPr="00AC343E" w:rsidTr="00AC343E">
        <w:trPr>
          <w:trHeight w:val="424"/>
        </w:trPr>
        <w:tc>
          <w:tcPr>
            <w:tcW w:w="3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AC343E" w:rsidRPr="00AC343E" w:rsidRDefault="00AC343E" w:rsidP="00AC343E">
            <w:pPr>
              <w:spacing w:after="150" w:line="240" w:lineRule="auto"/>
              <w:rPr>
                <w:rFonts w:eastAsia="Times New Roman" w:cs="Times New Roman"/>
                <w:sz w:val="18"/>
                <w:szCs w:val="18"/>
                <w:lang w:eastAsia="da-DK"/>
              </w:rPr>
            </w:pPr>
            <w:r w:rsidRPr="00AC343E">
              <w:rPr>
                <w:rFonts w:eastAsia="Times New Roman" w:cs="Times New Roman"/>
                <w:b/>
                <w:bCs/>
                <w:sz w:val="18"/>
                <w:szCs w:val="18"/>
                <w:lang w:eastAsia="da-DK"/>
              </w:rPr>
              <w:t>Navn</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AC343E" w:rsidRPr="00AC343E" w:rsidRDefault="00AC343E" w:rsidP="00AC343E">
            <w:pPr>
              <w:spacing w:after="150" w:line="240" w:lineRule="auto"/>
              <w:rPr>
                <w:rFonts w:eastAsia="Times New Roman" w:cs="Times New Roman"/>
                <w:sz w:val="18"/>
                <w:szCs w:val="18"/>
                <w:lang w:eastAsia="da-DK"/>
              </w:rPr>
            </w:pPr>
            <w:r w:rsidRPr="00AC343E">
              <w:rPr>
                <w:rFonts w:eastAsia="Times New Roman" w:cs="Times New Roman"/>
                <w:b/>
                <w:bCs/>
                <w:sz w:val="18"/>
                <w:szCs w:val="18"/>
                <w:lang w:eastAsia="da-DK"/>
              </w:rPr>
              <w:t>Parameter</w:t>
            </w:r>
          </w:p>
        </w:tc>
        <w:tc>
          <w:tcPr>
            <w:tcW w:w="4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AC343E" w:rsidRPr="00AC343E" w:rsidRDefault="00AC343E" w:rsidP="00AC343E">
            <w:pPr>
              <w:spacing w:after="150" w:line="240" w:lineRule="auto"/>
              <w:rPr>
                <w:rFonts w:eastAsia="Times New Roman" w:cs="Times New Roman"/>
                <w:sz w:val="18"/>
                <w:szCs w:val="18"/>
                <w:lang w:eastAsia="da-DK"/>
              </w:rPr>
            </w:pPr>
            <w:r w:rsidRPr="00AC343E">
              <w:rPr>
                <w:rFonts w:eastAsia="Times New Roman" w:cs="Times New Roman"/>
                <w:b/>
                <w:bCs/>
                <w:sz w:val="18"/>
                <w:szCs w:val="18"/>
                <w:lang w:eastAsia="da-DK"/>
              </w:rPr>
              <w:t>Metodeblad nr.</w:t>
            </w:r>
          </w:p>
          <w:p w:rsidR="00AC343E" w:rsidRPr="00AC343E" w:rsidRDefault="00AC343E" w:rsidP="00AC343E">
            <w:pPr>
              <w:spacing w:line="240" w:lineRule="auto"/>
              <w:rPr>
                <w:rFonts w:eastAsia="Times New Roman" w:cs="Times New Roman"/>
                <w:sz w:val="18"/>
                <w:szCs w:val="18"/>
                <w:lang w:eastAsia="da-DK"/>
              </w:rPr>
            </w:pPr>
            <w:r w:rsidRPr="00AC343E">
              <w:rPr>
                <w:rFonts w:eastAsia="Times New Roman" w:cs="Times New Roman"/>
                <w:sz w:val="18"/>
                <w:szCs w:val="18"/>
                <w:lang w:eastAsia="da-DK"/>
              </w:rPr>
              <w:t>*</w:t>
            </w:r>
          </w:p>
          <w:p w:rsidR="00AC343E" w:rsidRPr="00AC343E" w:rsidRDefault="00AC343E" w:rsidP="00AC343E">
            <w:pPr>
              <w:spacing w:after="150" w:line="240" w:lineRule="auto"/>
              <w:rPr>
                <w:rFonts w:eastAsia="Times New Roman" w:cs="Times New Roman"/>
                <w:sz w:val="18"/>
                <w:szCs w:val="18"/>
                <w:lang w:eastAsia="da-DK"/>
              </w:rPr>
            </w:pPr>
            <w:r w:rsidRPr="00AC343E">
              <w:rPr>
                <w:rFonts w:eastAsia="Times New Roman" w:cs="Times New Roman"/>
                <w:sz w:val="18"/>
                <w:szCs w:val="18"/>
                <w:lang w:eastAsia="da-DK"/>
              </w:rPr>
              <w:t>Se hjemmesiden for Miljøstyrelsens Referencelaboratorium for måling af emissioner til luften: www.ref-lab.dk.</w:t>
            </w:r>
          </w:p>
        </w:tc>
      </w:tr>
      <w:tr w:rsidR="00AC343E" w:rsidRPr="00AC343E" w:rsidTr="00AC343E">
        <w:trPr>
          <w:trHeight w:val="707"/>
        </w:trPr>
        <w:tc>
          <w:tcPr>
            <w:tcW w:w="3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AC343E" w:rsidRPr="00AC343E" w:rsidRDefault="00AC343E" w:rsidP="00AC343E">
            <w:pPr>
              <w:spacing w:after="150" w:line="240" w:lineRule="auto"/>
              <w:rPr>
                <w:rFonts w:eastAsia="Times New Roman" w:cs="Times New Roman"/>
                <w:sz w:val="18"/>
                <w:szCs w:val="18"/>
                <w:lang w:eastAsia="da-DK"/>
              </w:rPr>
            </w:pPr>
            <w:r w:rsidRPr="00AC343E">
              <w:rPr>
                <w:rFonts w:eastAsia="Times New Roman" w:cs="Times New Roman"/>
                <w:sz w:val="18"/>
                <w:szCs w:val="18"/>
                <w:lang w:eastAsia="da-DK"/>
              </w:rPr>
              <w:lastRenderedPageBreak/>
              <w:t>Bestemmelse af koncentrationer af kvælstofoxider (NO </w:t>
            </w:r>
            <w:r w:rsidRPr="00AC343E">
              <w:rPr>
                <w:rFonts w:eastAsia="Times New Roman" w:cs="Times New Roman"/>
                <w:sz w:val="18"/>
                <w:szCs w:val="18"/>
                <w:vertAlign w:val="subscript"/>
                <w:lang w:eastAsia="da-DK"/>
              </w:rPr>
              <w:t>x</w:t>
            </w:r>
            <w:r w:rsidRPr="00AC343E">
              <w:rPr>
                <w:rFonts w:eastAsia="Times New Roman" w:cs="Times New Roman"/>
                <w:sz w:val="18"/>
                <w:szCs w:val="18"/>
                <w:lang w:eastAsia="da-DK"/>
              </w:rPr>
              <w:t> ) i strømmende gas</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AC343E" w:rsidRPr="00AC343E" w:rsidRDefault="00AC343E" w:rsidP="00AC343E">
            <w:pPr>
              <w:spacing w:after="150" w:line="240" w:lineRule="auto"/>
              <w:rPr>
                <w:rFonts w:eastAsia="Times New Roman" w:cs="Times New Roman"/>
                <w:sz w:val="18"/>
                <w:szCs w:val="18"/>
                <w:lang w:eastAsia="da-DK"/>
              </w:rPr>
            </w:pPr>
            <w:r w:rsidRPr="00AC343E">
              <w:rPr>
                <w:rFonts w:eastAsia="Times New Roman" w:cs="Times New Roman"/>
                <w:sz w:val="18"/>
                <w:szCs w:val="18"/>
                <w:lang w:eastAsia="da-DK"/>
              </w:rPr>
              <w:t>NO </w:t>
            </w:r>
            <w:r w:rsidRPr="00AC343E">
              <w:rPr>
                <w:rFonts w:eastAsia="Times New Roman" w:cs="Times New Roman"/>
                <w:sz w:val="18"/>
                <w:szCs w:val="18"/>
                <w:vertAlign w:val="subscript"/>
                <w:lang w:eastAsia="da-DK"/>
              </w:rPr>
              <w:t>x</w:t>
            </w:r>
          </w:p>
        </w:tc>
        <w:tc>
          <w:tcPr>
            <w:tcW w:w="4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AC343E" w:rsidRPr="00AC343E" w:rsidRDefault="00AC343E" w:rsidP="00AC343E">
            <w:pPr>
              <w:spacing w:after="150" w:line="240" w:lineRule="auto"/>
              <w:rPr>
                <w:rFonts w:eastAsia="Times New Roman" w:cs="Times New Roman"/>
                <w:sz w:val="18"/>
                <w:szCs w:val="18"/>
                <w:lang w:eastAsia="da-DK"/>
              </w:rPr>
            </w:pPr>
            <w:r w:rsidRPr="00AC343E">
              <w:rPr>
                <w:rFonts w:eastAsia="Times New Roman" w:cs="Times New Roman"/>
                <w:sz w:val="18"/>
                <w:szCs w:val="18"/>
                <w:lang w:eastAsia="da-DK"/>
              </w:rPr>
              <w:t>MEL-03</w:t>
            </w:r>
          </w:p>
        </w:tc>
      </w:tr>
      <w:tr w:rsidR="00AC343E" w:rsidRPr="00AC343E" w:rsidTr="00AC343E">
        <w:trPr>
          <w:trHeight w:val="707"/>
        </w:trPr>
        <w:tc>
          <w:tcPr>
            <w:tcW w:w="3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AC343E" w:rsidRPr="00AC343E" w:rsidRDefault="00AC343E" w:rsidP="00AC343E">
            <w:pPr>
              <w:spacing w:after="150" w:line="240" w:lineRule="auto"/>
              <w:rPr>
                <w:rFonts w:eastAsia="Times New Roman" w:cs="Times New Roman"/>
                <w:sz w:val="18"/>
                <w:szCs w:val="18"/>
                <w:lang w:eastAsia="da-DK"/>
              </w:rPr>
            </w:pPr>
            <w:r w:rsidRPr="00AC343E">
              <w:rPr>
                <w:rFonts w:eastAsia="Times New Roman" w:cs="Times New Roman"/>
                <w:sz w:val="18"/>
                <w:szCs w:val="18"/>
                <w:lang w:eastAsia="da-DK"/>
              </w:rPr>
              <w:t>Bestemmelse af carbonmonooxid (CO) i strømmende gas</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AC343E" w:rsidRPr="00AC343E" w:rsidRDefault="00AC343E" w:rsidP="00AC343E">
            <w:pPr>
              <w:spacing w:after="150" w:line="240" w:lineRule="auto"/>
              <w:rPr>
                <w:rFonts w:eastAsia="Times New Roman" w:cs="Times New Roman"/>
                <w:sz w:val="18"/>
                <w:szCs w:val="18"/>
                <w:lang w:eastAsia="da-DK"/>
              </w:rPr>
            </w:pPr>
            <w:r w:rsidRPr="00AC343E">
              <w:rPr>
                <w:rFonts w:eastAsia="Times New Roman" w:cs="Times New Roman"/>
                <w:sz w:val="18"/>
                <w:szCs w:val="18"/>
                <w:lang w:eastAsia="da-DK"/>
              </w:rPr>
              <w:t>CO</w:t>
            </w:r>
          </w:p>
        </w:tc>
        <w:tc>
          <w:tcPr>
            <w:tcW w:w="4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AC343E" w:rsidRPr="00AC343E" w:rsidRDefault="00AC343E" w:rsidP="00AC343E">
            <w:pPr>
              <w:spacing w:after="150" w:line="240" w:lineRule="auto"/>
              <w:rPr>
                <w:rFonts w:eastAsia="Times New Roman" w:cs="Times New Roman"/>
                <w:sz w:val="18"/>
                <w:szCs w:val="18"/>
                <w:lang w:eastAsia="da-DK"/>
              </w:rPr>
            </w:pPr>
            <w:r w:rsidRPr="00AC343E">
              <w:rPr>
                <w:rFonts w:eastAsia="Times New Roman" w:cs="Times New Roman"/>
                <w:sz w:val="18"/>
                <w:szCs w:val="18"/>
                <w:lang w:eastAsia="da-DK"/>
              </w:rPr>
              <w:t>MEL-06</w:t>
            </w:r>
          </w:p>
        </w:tc>
      </w:tr>
    </w:tbl>
    <w:p w:rsidR="008461D0" w:rsidRDefault="008461D0" w:rsidP="00AC343E">
      <w:pPr>
        <w:shd w:val="clear" w:color="auto" w:fill="FFFFFF"/>
        <w:spacing w:after="150" w:line="240" w:lineRule="auto"/>
        <w:rPr>
          <w:rFonts w:ascii="Arial" w:eastAsia="Times New Roman" w:hAnsi="Arial" w:cs="Arial"/>
          <w:lang w:eastAsia="da-DK"/>
        </w:rPr>
      </w:pPr>
    </w:p>
    <w:p w:rsidR="00AC343E" w:rsidRPr="00AC343E" w:rsidRDefault="0004277C" w:rsidP="00AC343E">
      <w:pPr>
        <w:shd w:val="clear" w:color="auto" w:fill="FFFFFF"/>
        <w:spacing w:after="150" w:line="240" w:lineRule="auto"/>
        <w:rPr>
          <w:rFonts w:eastAsia="Times New Roman" w:cs="Arial"/>
          <w:lang w:eastAsia="da-DK"/>
        </w:rPr>
      </w:pPr>
      <w:r>
        <w:rPr>
          <w:rFonts w:eastAsia="Times New Roman" w:cs="Arial"/>
          <w:lang w:eastAsia="da-DK"/>
        </w:rPr>
        <w:t>18</w:t>
      </w:r>
      <w:r w:rsidR="00AC343E" w:rsidRPr="00AC343E">
        <w:rPr>
          <w:rFonts w:eastAsia="Times New Roman" w:cs="Arial"/>
          <w:lang w:eastAsia="da-DK"/>
        </w:rPr>
        <w:t>. Virksomheden skal løbende og mindst en gang årligt foretage visuel kontrol for utætheder, revnedannelser og vedlige</w:t>
      </w:r>
      <w:r w:rsidR="00AC343E" w:rsidRPr="00AC343E">
        <w:rPr>
          <w:rFonts w:eastAsia="Times New Roman" w:cs="Arial"/>
          <w:lang w:eastAsia="da-DK"/>
        </w:rPr>
        <w:lastRenderedPageBreak/>
        <w:t>holdelsesstand af tætte belægninger herunder opsamlingskar, gruber, tankgrave og bassiner. Utætheder skal udbedres, så hurtigt som muligt efter</w:t>
      </w:r>
      <w:r w:rsidR="005E320F">
        <w:rPr>
          <w:rFonts w:eastAsia="Times New Roman" w:cs="Arial"/>
          <w:lang w:eastAsia="da-DK"/>
        </w:rPr>
        <w:t>,</w:t>
      </w:r>
      <w:r w:rsidR="00AC343E" w:rsidRPr="00AC343E">
        <w:rPr>
          <w:rFonts w:eastAsia="Times New Roman" w:cs="Arial"/>
          <w:lang w:eastAsia="da-DK"/>
        </w:rPr>
        <w:t xml:space="preserve"> at de er konstateret.</w:t>
      </w:r>
      <w:r w:rsidR="006755F9">
        <w:rPr>
          <w:rFonts w:eastAsia="Times New Roman" w:cs="Arial"/>
          <w:lang w:eastAsia="da-DK"/>
        </w:rPr>
        <w:t>(s)</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i/>
          <w:iCs/>
          <w:lang w:eastAsia="da-DK"/>
        </w:rPr>
        <w:t>Driftsjournal</w:t>
      </w:r>
    </w:p>
    <w:p w:rsidR="00AC343E" w:rsidRPr="00AC343E" w:rsidRDefault="0004277C" w:rsidP="00AC343E">
      <w:pPr>
        <w:shd w:val="clear" w:color="auto" w:fill="FFFFFF"/>
        <w:spacing w:after="150" w:line="240" w:lineRule="auto"/>
        <w:rPr>
          <w:rFonts w:eastAsia="Times New Roman" w:cs="Arial"/>
          <w:lang w:eastAsia="da-DK"/>
        </w:rPr>
      </w:pPr>
      <w:r>
        <w:rPr>
          <w:rFonts w:eastAsia="Times New Roman" w:cs="Arial"/>
          <w:lang w:eastAsia="da-DK"/>
        </w:rPr>
        <w:lastRenderedPageBreak/>
        <w:t>19</w:t>
      </w:r>
      <w:r w:rsidR="00AC343E" w:rsidRPr="00AC343E">
        <w:rPr>
          <w:rFonts w:eastAsia="Times New Roman" w:cs="Arial"/>
          <w:lang w:eastAsia="da-DK"/>
        </w:rPr>
        <w:t>. Der skal føres driftsjournal med angivelse af:</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t>– Justering af brændere.</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t>– Dato for og resultat af kvalitetssikring af AMS-udstyr.</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t>– Kontrol med luftrenseanlæg, herunder:</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lastRenderedPageBreak/>
        <w:t>– Dato for skift af filterposer.</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t>– Dato for kortsluttede elektroder i elektrofilter, der tages ud af drift.</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t>– Dato for skift af elektroder i elektrofilter.</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lastRenderedPageBreak/>
        <w:t>– Forbrug af type og mængde brændsel.</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t>– Håndtering af affald fra forbrændingsprocessen.</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t>– Antal driftstimer pr. år.</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t xml:space="preserve">– Opgørelse af rullende gennemsnit over 5 år for naturgas- </w:t>
      </w:r>
      <w:r w:rsidRPr="00AC343E">
        <w:rPr>
          <w:rFonts w:eastAsia="Times New Roman" w:cs="Arial"/>
          <w:lang w:eastAsia="da-DK"/>
        </w:rPr>
        <w:lastRenderedPageBreak/>
        <w:t>eller oliefyrede kedelanlæg &gt; 5 MW.</w:t>
      </w:r>
    </w:p>
    <w:p w:rsidR="00AC343E" w:rsidRPr="00AC343E" w:rsidRDefault="00AC343E" w:rsidP="00AC343E">
      <w:pPr>
        <w:shd w:val="clear" w:color="auto" w:fill="FFFFFF"/>
        <w:spacing w:after="150" w:line="240" w:lineRule="auto"/>
        <w:rPr>
          <w:rFonts w:eastAsia="Times New Roman" w:cs="Arial"/>
          <w:lang w:eastAsia="da-DK"/>
        </w:rPr>
      </w:pPr>
      <w:r w:rsidRPr="00AC343E">
        <w:rPr>
          <w:rFonts w:eastAsia="Times New Roman" w:cs="Arial"/>
          <w:lang w:eastAsia="da-DK"/>
        </w:rPr>
        <w:t>Driftsjournalen skal være tilgængelig for tilsynsmyndigheden og skal opbevares på virksomheden i mindst 5 år.</w:t>
      </w:r>
      <w:r w:rsidR="006755F9">
        <w:rPr>
          <w:rFonts w:eastAsia="Times New Roman" w:cs="Arial"/>
          <w:lang w:eastAsia="da-DK"/>
        </w:rPr>
        <w:t>(s)</w:t>
      </w:r>
    </w:p>
    <w:p w:rsidR="00AC343E" w:rsidRPr="005E320F" w:rsidRDefault="00AC343E" w:rsidP="00AC343E">
      <w:pPr>
        <w:pStyle w:val="Listeafsnit"/>
        <w:jc w:val="both"/>
        <w:rPr>
          <w:sz w:val="22"/>
          <w:szCs w:val="22"/>
        </w:rPr>
      </w:pPr>
    </w:p>
    <w:p w:rsidR="00CF2C3B" w:rsidRDefault="00BC1A25" w:rsidP="00BC1A25">
      <w:pPr>
        <w:pStyle w:val="Overskrift2"/>
      </w:pPr>
      <w:r>
        <w:lastRenderedPageBreak/>
        <w:t>Klagevejledning</w:t>
      </w:r>
    </w:p>
    <w:p w:rsidR="00BC1A25" w:rsidRPr="00466CCF" w:rsidRDefault="00BC1A25" w:rsidP="00466CCF">
      <w:pPr>
        <w:spacing w:after="200" w:line="276" w:lineRule="auto"/>
        <w:rPr>
          <w:b/>
          <w:szCs w:val="22"/>
        </w:rPr>
      </w:pPr>
      <w:r w:rsidRPr="00466CCF">
        <w:rPr>
          <w:b/>
          <w:szCs w:val="22"/>
        </w:rPr>
        <w:t xml:space="preserve">Klagevejledning efter Miljøbeskyttelsesloven   </w:t>
      </w:r>
    </w:p>
    <w:p w:rsidR="00BC1A25" w:rsidRPr="00466CCF" w:rsidRDefault="00BC1A25" w:rsidP="00466CCF">
      <w:pPr>
        <w:spacing w:after="200" w:line="276" w:lineRule="auto"/>
        <w:rPr>
          <w:szCs w:val="22"/>
        </w:rPr>
      </w:pPr>
    </w:p>
    <w:p w:rsidR="00BC1A25" w:rsidRPr="00466CCF" w:rsidRDefault="00BC1A25" w:rsidP="00466CCF">
      <w:pPr>
        <w:spacing w:after="200" w:line="276" w:lineRule="auto"/>
        <w:rPr>
          <w:szCs w:val="22"/>
        </w:rPr>
      </w:pPr>
      <w:r w:rsidRPr="00466CCF">
        <w:rPr>
          <w:b/>
          <w:szCs w:val="22"/>
        </w:rPr>
        <w:t>Frist for at indgive klage</w:t>
      </w:r>
      <w:r w:rsidRPr="00466CCF">
        <w:rPr>
          <w:szCs w:val="22"/>
        </w:rPr>
        <w:t xml:space="preserve"> § 93</w:t>
      </w:r>
    </w:p>
    <w:p w:rsidR="00BC1A25" w:rsidRPr="00466CCF" w:rsidRDefault="00BC1A25" w:rsidP="00466CCF">
      <w:pPr>
        <w:spacing w:after="200" w:line="276" w:lineRule="auto"/>
        <w:rPr>
          <w:szCs w:val="22"/>
        </w:rPr>
      </w:pPr>
      <w:r w:rsidRPr="00466CCF">
        <w:rPr>
          <w:szCs w:val="22"/>
        </w:rPr>
        <w:lastRenderedPageBreak/>
        <w:t xml:space="preserve">Du kan klage over afgørelsen inden for fire uger, fra </w:t>
      </w:r>
      <w:r>
        <w:rPr>
          <w:szCs w:val="22"/>
        </w:rPr>
        <w:t xml:space="preserve">afgørelsen er offentliggjort på Assens Kommunes hjemmeside assens.dk. Dvs. at klagefristen udløber d. </w:t>
      </w:r>
      <w:r w:rsidR="00FC7DA8">
        <w:rPr>
          <w:szCs w:val="22"/>
        </w:rPr>
        <w:t>9. august 2022.</w:t>
      </w:r>
    </w:p>
    <w:p w:rsidR="00BC1A25" w:rsidRPr="00466CCF" w:rsidRDefault="00BC1A25" w:rsidP="00466CCF">
      <w:pPr>
        <w:spacing w:after="200" w:line="276" w:lineRule="auto"/>
        <w:rPr>
          <w:szCs w:val="22"/>
        </w:rPr>
      </w:pPr>
    </w:p>
    <w:p w:rsidR="00BC1A25" w:rsidRPr="00466CCF" w:rsidRDefault="00BC1A25" w:rsidP="00466CCF">
      <w:pPr>
        <w:spacing w:after="200" w:line="276" w:lineRule="auto"/>
        <w:rPr>
          <w:b/>
          <w:szCs w:val="22"/>
        </w:rPr>
      </w:pPr>
      <w:r w:rsidRPr="00466CCF">
        <w:rPr>
          <w:b/>
          <w:szCs w:val="22"/>
        </w:rPr>
        <w:t xml:space="preserve">Hvordan klager du? </w:t>
      </w:r>
      <w:r w:rsidRPr="00466CCF">
        <w:rPr>
          <w:szCs w:val="22"/>
        </w:rPr>
        <w:t>§ 94</w:t>
      </w:r>
    </w:p>
    <w:p w:rsidR="00BC1A25" w:rsidRPr="00466CCF" w:rsidRDefault="00BC1A25" w:rsidP="00466CCF">
      <w:pPr>
        <w:spacing w:after="200" w:line="276" w:lineRule="auto"/>
        <w:rPr>
          <w:szCs w:val="22"/>
        </w:rPr>
      </w:pPr>
      <w:r w:rsidRPr="00466CCF">
        <w:rPr>
          <w:szCs w:val="22"/>
        </w:rPr>
        <w:t>Hvis du ønsker at klage over denne afgørelse, kan du klage til Miljø- og Fødevareklage</w:t>
      </w:r>
      <w:r w:rsidRPr="00466CCF">
        <w:rPr>
          <w:szCs w:val="22"/>
        </w:rPr>
        <w:lastRenderedPageBreak/>
        <w:t xml:space="preserve">nævnet. Du klager via Klageportalen, som du finder et link til på forsiden af www.naevneneshus.dk Klageportalen ligger på www.borger.dk  og www.virk.dk. Du logger på www.borger.dk eller </w:t>
      </w:r>
      <w:r w:rsidRPr="00466CCF">
        <w:rPr>
          <w:szCs w:val="22"/>
        </w:rPr>
        <w:lastRenderedPageBreak/>
        <w:t>www.virk.dk, ligesom du plejer, typisk med NEM-ID</w:t>
      </w:r>
      <w:r w:rsidR="000F51DE">
        <w:rPr>
          <w:szCs w:val="22"/>
        </w:rPr>
        <w:t>/MitId</w:t>
      </w:r>
      <w:r w:rsidRPr="00466CCF">
        <w:rPr>
          <w:szCs w:val="22"/>
        </w:rPr>
        <w:t>. Klagen sendes gennem Klageportalen til den myndighed, der har truffet afgørelsen. En klage er indgivet, når den er tilgæn</w:t>
      </w:r>
      <w:r w:rsidRPr="00466CCF">
        <w:rPr>
          <w:szCs w:val="22"/>
        </w:rPr>
        <w:lastRenderedPageBreak/>
        <w:t xml:space="preserve">gelig for myndigheden i Klageportalen. Når du klager, skal du betale et gebyr på </w:t>
      </w:r>
      <w:r>
        <w:rPr>
          <w:szCs w:val="22"/>
        </w:rPr>
        <w:t>900</w:t>
      </w:r>
      <w:r w:rsidRPr="00466CCF">
        <w:rPr>
          <w:szCs w:val="22"/>
        </w:rPr>
        <w:t xml:space="preserve"> kr</w:t>
      </w:r>
      <w:r>
        <w:rPr>
          <w:szCs w:val="22"/>
        </w:rPr>
        <w:t>. (borgere)/1800 kr. (virksomheder, organisationer)</w:t>
      </w:r>
      <w:r w:rsidRPr="00466CCF">
        <w:rPr>
          <w:szCs w:val="22"/>
        </w:rPr>
        <w:t xml:space="preserve">. Du betaler gebyret med betalingskort i Klageportalen. </w:t>
      </w:r>
    </w:p>
    <w:p w:rsidR="00BC1A25" w:rsidRPr="00466CCF" w:rsidRDefault="00BC1A25" w:rsidP="00466CCF">
      <w:pPr>
        <w:spacing w:after="200" w:line="276" w:lineRule="auto"/>
        <w:rPr>
          <w:szCs w:val="22"/>
        </w:rPr>
      </w:pPr>
      <w:r w:rsidRPr="00466CCF">
        <w:rPr>
          <w:szCs w:val="22"/>
        </w:rPr>
        <w:lastRenderedPageBreak/>
        <w:t xml:space="preserve">Vejledning om hvordan du skal logge på og anvende Klageportalen, findes på www.borger.dk og www.virk.dk samt på Miljø- og Fødevareklagenævnets hjemmeside. På www.nmkn.dk kan du finde information om, </w:t>
      </w:r>
      <w:r w:rsidRPr="00466CCF">
        <w:rPr>
          <w:szCs w:val="22"/>
        </w:rPr>
        <w:lastRenderedPageBreak/>
        <w:t xml:space="preserve">hvordan man klager via Klageportalen, bl.a. korte videovejledninger, ”spørgsmål og svar” samt telefonnummer og email-adresse til supportfunktionen i Miljø- og Fødevareklagenævnet. </w:t>
      </w:r>
    </w:p>
    <w:p w:rsidR="00BC1A25" w:rsidRPr="00466CCF" w:rsidRDefault="00BC1A25" w:rsidP="00466CCF">
      <w:pPr>
        <w:spacing w:after="200" w:line="276" w:lineRule="auto"/>
        <w:rPr>
          <w:iCs/>
          <w:szCs w:val="22"/>
        </w:rPr>
      </w:pPr>
      <w:r w:rsidRPr="00466CCF">
        <w:rPr>
          <w:szCs w:val="22"/>
        </w:rPr>
        <w:lastRenderedPageBreak/>
        <w:t xml:space="preserve">Miljø- og Fødevareklagenævnet skal som udgangspunkt afvise en klage, der kommer uden om Klageportalen, hvis der ikke er særlige grunde til det. Hvis du ønsker at blive fritaget for at bruge Klageportalen, skal du </w:t>
      </w:r>
      <w:r w:rsidRPr="00466CCF">
        <w:rPr>
          <w:szCs w:val="22"/>
        </w:rPr>
        <w:lastRenderedPageBreak/>
        <w:t>sende en begrundet anmodning til den myndighed, der har truffet afgørelse i sagen. Myndigheden videresender herefter anmodningen til Miljø- og Fø</w:t>
      </w:r>
      <w:r w:rsidRPr="00466CCF">
        <w:rPr>
          <w:szCs w:val="22"/>
        </w:rPr>
        <w:lastRenderedPageBreak/>
        <w:t>devareklagenævnet, som træffer afgørelse om, hvorvidt din anmodning kan imødekommes.</w:t>
      </w:r>
    </w:p>
    <w:p w:rsidR="00BC1A25" w:rsidRPr="00466CCF" w:rsidRDefault="00BC1A25" w:rsidP="00466CCF">
      <w:pPr>
        <w:spacing w:after="200" w:line="276" w:lineRule="auto"/>
        <w:rPr>
          <w:szCs w:val="22"/>
        </w:rPr>
      </w:pPr>
      <w:r w:rsidRPr="00466CCF">
        <w:rPr>
          <w:b/>
          <w:szCs w:val="22"/>
        </w:rPr>
        <w:t>Hvem kan klage?</w:t>
      </w:r>
      <w:r w:rsidRPr="00466CCF">
        <w:rPr>
          <w:szCs w:val="22"/>
        </w:rPr>
        <w:t xml:space="preserve"> § 98 – 100</w:t>
      </w:r>
    </w:p>
    <w:p w:rsidR="00BC1A25" w:rsidRPr="00466CCF" w:rsidRDefault="00BC1A25" w:rsidP="00466CCF">
      <w:pPr>
        <w:spacing w:after="200" w:line="276" w:lineRule="auto"/>
        <w:rPr>
          <w:szCs w:val="22"/>
        </w:rPr>
      </w:pPr>
      <w:r w:rsidRPr="00466CCF">
        <w:rPr>
          <w:szCs w:val="22"/>
        </w:rPr>
        <w:t xml:space="preserve">Klageberettigede er blandt andre; adressaten for afgørelsen, </w:t>
      </w:r>
      <w:r w:rsidRPr="00466CCF">
        <w:rPr>
          <w:szCs w:val="22"/>
        </w:rPr>
        <w:lastRenderedPageBreak/>
        <w:t>enhver, som har en individuel, væsentlig interesse i sagen, lokale foreninger og organisationer, som har en væsentlig interesse i afgørelsen, samt landsdækkende foreninger og orga</w:t>
      </w:r>
      <w:r w:rsidRPr="00466CCF">
        <w:rPr>
          <w:szCs w:val="22"/>
        </w:rPr>
        <w:lastRenderedPageBreak/>
        <w:t>nisationer, der som hovedformål har at beskytte natur og miljø eller varetager væsentlige rekreative interesser.</w:t>
      </w:r>
    </w:p>
    <w:p w:rsidR="00BC1A25" w:rsidRPr="00466CCF" w:rsidRDefault="00BC1A25" w:rsidP="00466CCF">
      <w:pPr>
        <w:spacing w:after="200" w:line="276" w:lineRule="auto"/>
        <w:rPr>
          <w:szCs w:val="22"/>
        </w:rPr>
      </w:pPr>
    </w:p>
    <w:p w:rsidR="00BC1A25" w:rsidRPr="00466CCF" w:rsidRDefault="00BC1A25" w:rsidP="00466CCF">
      <w:pPr>
        <w:spacing w:after="200" w:line="276" w:lineRule="auto"/>
        <w:rPr>
          <w:szCs w:val="22"/>
        </w:rPr>
      </w:pPr>
      <w:r w:rsidRPr="00466CCF">
        <w:rPr>
          <w:szCs w:val="22"/>
        </w:rPr>
        <w:lastRenderedPageBreak/>
        <w:t>Miljø- og Fødevareklagenævnet kan kræve dokumentation for foreningers og organisationers klageberettigelse.</w:t>
      </w:r>
    </w:p>
    <w:p w:rsidR="00BC1A25" w:rsidRPr="00466CCF" w:rsidRDefault="00BC1A25" w:rsidP="00466CCF">
      <w:pPr>
        <w:spacing w:after="200" w:line="276" w:lineRule="auto"/>
        <w:rPr>
          <w:szCs w:val="22"/>
        </w:rPr>
      </w:pPr>
      <w:r w:rsidRPr="00466CCF">
        <w:rPr>
          <w:szCs w:val="22"/>
        </w:rPr>
        <w:t xml:space="preserve">Vejledning om klage til Miljø- og Fødevareklagenævnet finder </w:t>
      </w:r>
      <w:r w:rsidRPr="00466CCF">
        <w:rPr>
          <w:szCs w:val="22"/>
        </w:rPr>
        <w:lastRenderedPageBreak/>
        <w:t>du på Miljø- og Fødevareklagenævnets hjemmeside.</w:t>
      </w:r>
    </w:p>
    <w:p w:rsidR="00BC1A25" w:rsidRPr="00466CCF" w:rsidRDefault="00BC1A25" w:rsidP="00466CCF">
      <w:pPr>
        <w:spacing w:after="200" w:line="276" w:lineRule="auto"/>
        <w:rPr>
          <w:szCs w:val="22"/>
        </w:rPr>
      </w:pPr>
    </w:p>
    <w:p w:rsidR="00BC1A25" w:rsidRPr="00BC1A25" w:rsidRDefault="00BC1A25" w:rsidP="00466CCF">
      <w:pPr>
        <w:spacing w:after="200" w:line="276" w:lineRule="auto"/>
        <w:rPr>
          <w:szCs w:val="22"/>
        </w:rPr>
      </w:pPr>
      <w:r w:rsidRPr="00466CCF">
        <w:rPr>
          <w:b/>
          <w:szCs w:val="22"/>
        </w:rPr>
        <w:t>Virkning af at der klages</w:t>
      </w:r>
      <w:r w:rsidRPr="00466CCF">
        <w:rPr>
          <w:szCs w:val="22"/>
        </w:rPr>
        <w:t xml:space="preserve"> </w:t>
      </w:r>
    </w:p>
    <w:p w:rsidR="00BC1A25" w:rsidRPr="00BC1A25" w:rsidRDefault="00BC1A25" w:rsidP="00466CCF">
      <w:pPr>
        <w:spacing w:after="200" w:line="276" w:lineRule="auto"/>
        <w:rPr>
          <w:szCs w:val="22"/>
        </w:rPr>
      </w:pPr>
    </w:p>
    <w:p w:rsidR="00BC1A25" w:rsidRPr="00466CCF" w:rsidRDefault="00BC1A25" w:rsidP="00466CCF">
      <w:pPr>
        <w:spacing w:after="200" w:line="276" w:lineRule="auto"/>
        <w:rPr>
          <w:szCs w:val="22"/>
        </w:rPr>
      </w:pPr>
      <w:r w:rsidRPr="00BC1A25">
        <w:rPr>
          <w:szCs w:val="22"/>
        </w:rPr>
        <w:lastRenderedPageBreak/>
        <w:t xml:space="preserve">§ 96 En klage over en tilladelse, godkendelse eller dispensation har ikke opsættende virkning, medmindre Miljø- og Fødevareklagenævnet bestemmer andet. Det betyder, at tilladelsen, </w:t>
      </w:r>
      <w:r w:rsidRPr="00BC1A25">
        <w:rPr>
          <w:szCs w:val="22"/>
        </w:rPr>
        <w:lastRenderedPageBreak/>
        <w:t>godkendelsen eller dispensationen kan udnyttes, inden klagen er afgjort. Udnyttelsen sker dog for egen regning og risiko.</w:t>
      </w:r>
      <w:r w:rsidRPr="00466CCF">
        <w:rPr>
          <w:szCs w:val="22"/>
        </w:rPr>
        <w:t xml:space="preserve"> </w:t>
      </w:r>
    </w:p>
    <w:p w:rsidR="00BC1A25" w:rsidRPr="00466CCF" w:rsidRDefault="00BC1A25" w:rsidP="00466CCF">
      <w:pPr>
        <w:spacing w:after="200" w:line="276" w:lineRule="auto"/>
        <w:rPr>
          <w:szCs w:val="22"/>
        </w:rPr>
      </w:pPr>
    </w:p>
    <w:p w:rsidR="00BC1A25" w:rsidRPr="00466CCF" w:rsidRDefault="00BC1A25" w:rsidP="00466CCF">
      <w:pPr>
        <w:spacing w:after="200" w:line="276" w:lineRule="auto"/>
        <w:rPr>
          <w:szCs w:val="22"/>
        </w:rPr>
      </w:pPr>
    </w:p>
    <w:p w:rsidR="00BC1A25" w:rsidRPr="00466CCF" w:rsidRDefault="00BC1A25" w:rsidP="00466CCF">
      <w:pPr>
        <w:spacing w:after="200" w:line="276" w:lineRule="auto"/>
        <w:rPr>
          <w:szCs w:val="22"/>
        </w:rPr>
      </w:pPr>
      <w:r w:rsidRPr="00466CCF">
        <w:rPr>
          <w:b/>
          <w:szCs w:val="22"/>
        </w:rPr>
        <w:lastRenderedPageBreak/>
        <w:t>Indbringelse for domstolene</w:t>
      </w:r>
      <w:r w:rsidRPr="00466CCF">
        <w:rPr>
          <w:szCs w:val="22"/>
        </w:rPr>
        <w:t xml:space="preserve"> § 101                                                                                                                                                                                                  </w:t>
      </w:r>
    </w:p>
    <w:p w:rsidR="00BC1A25" w:rsidRPr="00466CCF" w:rsidRDefault="00BC1A25" w:rsidP="00466CCF">
      <w:pPr>
        <w:spacing w:after="200" w:line="276" w:lineRule="auto"/>
        <w:rPr>
          <w:szCs w:val="22"/>
        </w:rPr>
      </w:pPr>
      <w:r w:rsidRPr="00466CCF">
        <w:rPr>
          <w:szCs w:val="22"/>
        </w:rPr>
        <w:t xml:space="preserve">Du kan indbringe Miljø- og Fødevareklagenævnets afgørelser for domstolene. En sådan retssag skal være anlagt inden 6 </w:t>
      </w:r>
      <w:r w:rsidRPr="00466CCF">
        <w:rPr>
          <w:szCs w:val="22"/>
        </w:rPr>
        <w:lastRenderedPageBreak/>
        <w:t xml:space="preserve">måneder, regnet fra samme dato som klagefristen. </w:t>
      </w:r>
    </w:p>
    <w:p w:rsidR="00BC1A25" w:rsidRPr="00466CCF" w:rsidRDefault="00BC1A25" w:rsidP="00466CCF">
      <w:pPr>
        <w:spacing w:after="200" w:line="276" w:lineRule="auto"/>
        <w:rPr>
          <w:szCs w:val="22"/>
        </w:rPr>
      </w:pPr>
      <w:r w:rsidRPr="00466CCF">
        <w:rPr>
          <w:szCs w:val="22"/>
        </w:rPr>
        <w:t xml:space="preserve">Uanset om du anlægger retssag, er du forpligtet til at rette dig efter Miljø- og Fødevareklagenævnets afgørelse, indtil </w:t>
      </w:r>
      <w:r w:rsidRPr="00466CCF">
        <w:rPr>
          <w:szCs w:val="22"/>
        </w:rPr>
        <w:lastRenderedPageBreak/>
        <w:t>domstolen måtte bestemme noget andet.</w:t>
      </w:r>
    </w:p>
    <w:p w:rsidR="00BC1A25" w:rsidRPr="00466CCF" w:rsidRDefault="00BC1A25" w:rsidP="00466CCF">
      <w:pPr>
        <w:spacing w:after="200" w:line="276" w:lineRule="auto"/>
        <w:rPr>
          <w:szCs w:val="22"/>
        </w:rPr>
      </w:pPr>
    </w:p>
    <w:p w:rsidR="00BC1A25" w:rsidRPr="00466CCF" w:rsidRDefault="00BC1A25" w:rsidP="00466CCF">
      <w:pPr>
        <w:spacing w:after="200" w:line="276" w:lineRule="auto"/>
        <w:rPr>
          <w:szCs w:val="22"/>
        </w:rPr>
      </w:pPr>
    </w:p>
    <w:p w:rsidR="00BC1A25" w:rsidRPr="00466CCF" w:rsidRDefault="00BC1A25" w:rsidP="00466CCF">
      <w:pPr>
        <w:spacing w:after="200" w:line="276" w:lineRule="auto"/>
        <w:rPr>
          <w:szCs w:val="22"/>
        </w:rPr>
      </w:pPr>
    </w:p>
    <w:p w:rsidR="00BC1A25" w:rsidRPr="0065082B" w:rsidRDefault="00BC1A25" w:rsidP="00E32106">
      <w:pPr>
        <w:rPr>
          <w:b/>
          <w:bCs/>
        </w:rPr>
      </w:pPr>
      <w:r w:rsidRPr="0065082B">
        <w:rPr>
          <w:b/>
          <w:bCs/>
        </w:rPr>
        <w:lastRenderedPageBreak/>
        <w:t>Klagevejledning efter Miljøvurderingsloven § 48 og § 49 </w:t>
      </w:r>
    </w:p>
    <w:p w:rsidR="00BC1A25" w:rsidRPr="0065082B" w:rsidRDefault="00BC1A25" w:rsidP="00E32106"/>
    <w:p w:rsidR="00BC1A25" w:rsidRPr="0065082B" w:rsidRDefault="00BC1A25" w:rsidP="00E32106">
      <w:pPr>
        <w:rPr>
          <w:b/>
          <w:bCs/>
        </w:rPr>
      </w:pPr>
      <w:r w:rsidRPr="0065082B">
        <w:rPr>
          <w:b/>
          <w:bCs/>
        </w:rPr>
        <w:t>Projekter</w:t>
      </w:r>
    </w:p>
    <w:p w:rsidR="00BC1A25" w:rsidRPr="0065082B" w:rsidRDefault="00BC1A25" w:rsidP="00E32106"/>
    <w:p w:rsidR="00BC1A25" w:rsidRPr="0065082B" w:rsidRDefault="00BC1A25" w:rsidP="00E32106">
      <w:r w:rsidRPr="0065082B">
        <w:lastRenderedPageBreak/>
        <w:t xml:space="preserve">Afgørelser efter § </w:t>
      </w:r>
      <w:r w:rsidR="00AC46C9">
        <w:t>21</w:t>
      </w:r>
      <w:r w:rsidRPr="0065082B">
        <w:t>, for så vidt angår retlige spørgsmål, afgørelser efter § 25 og afgørelser efter § 46, kan påklages til Miljø- og Fødevareklagenævnet. </w:t>
      </w:r>
    </w:p>
    <w:p w:rsidR="00BC1A25" w:rsidRPr="0065082B" w:rsidRDefault="00BC1A25" w:rsidP="00E32106">
      <w:r w:rsidRPr="0065082B">
        <w:t xml:space="preserve">Afgørelser i henhold til anden lovgivning, kan påklages efter </w:t>
      </w:r>
      <w:r w:rsidRPr="0065082B">
        <w:lastRenderedPageBreak/>
        <w:t>reglerne i den lovgivning, som afgørelsen meddeles i henhold til. </w:t>
      </w:r>
    </w:p>
    <w:p w:rsidR="00BC1A25" w:rsidRPr="0065082B" w:rsidRDefault="00BC1A25" w:rsidP="00E32106"/>
    <w:p w:rsidR="00BC1A25" w:rsidRPr="0065082B" w:rsidRDefault="00BC1A25" w:rsidP="00E32106">
      <w:pPr>
        <w:rPr>
          <w:b/>
          <w:bCs/>
        </w:rPr>
      </w:pPr>
      <w:r w:rsidRPr="0065082B">
        <w:rPr>
          <w:b/>
          <w:bCs/>
        </w:rPr>
        <w:t>Hvem kan klage - § 50</w:t>
      </w:r>
    </w:p>
    <w:p w:rsidR="00BC1A25" w:rsidRPr="0065082B" w:rsidRDefault="00BC1A25" w:rsidP="00E32106"/>
    <w:p w:rsidR="00BC1A25" w:rsidRPr="0065082B" w:rsidRDefault="00BC1A25" w:rsidP="00E32106">
      <w:r w:rsidRPr="0065082B">
        <w:t>Klageberettigede er:</w:t>
      </w:r>
    </w:p>
    <w:p w:rsidR="00BC1A25" w:rsidRPr="0065082B" w:rsidRDefault="00BC1A25" w:rsidP="00BC1A25">
      <w:pPr>
        <w:numPr>
          <w:ilvl w:val="0"/>
          <w:numId w:val="7"/>
        </w:numPr>
        <w:spacing w:line="240" w:lineRule="auto"/>
      </w:pPr>
      <w:r w:rsidRPr="0065082B">
        <w:t>Miljø- og fødevareministeren</w:t>
      </w:r>
    </w:p>
    <w:p w:rsidR="00BC1A25" w:rsidRPr="0065082B" w:rsidRDefault="00BC1A25" w:rsidP="00BC1A25">
      <w:pPr>
        <w:numPr>
          <w:ilvl w:val="0"/>
          <w:numId w:val="7"/>
        </w:numPr>
        <w:spacing w:line="240" w:lineRule="auto"/>
      </w:pPr>
      <w:r w:rsidRPr="0065082B">
        <w:lastRenderedPageBreak/>
        <w:t>Enhver med retlig interesse i sagens udfald</w:t>
      </w:r>
    </w:p>
    <w:p w:rsidR="00BC1A25" w:rsidRPr="0065082B" w:rsidRDefault="00BC1A25" w:rsidP="00BC1A25">
      <w:pPr>
        <w:numPr>
          <w:ilvl w:val="0"/>
          <w:numId w:val="7"/>
        </w:numPr>
        <w:spacing w:line="240" w:lineRule="auto"/>
      </w:pPr>
      <w:r w:rsidRPr="0065082B">
        <w:t>Landsdækkende foreninger og organisationer, der som formål har beskyttelsen af natur og miljø eller varetagelsen af væsentlige bruger</w:t>
      </w:r>
      <w:r w:rsidRPr="0065082B">
        <w:lastRenderedPageBreak/>
        <w:t>interesser inden for arealerhvervelsen og har vedtægter eller love, som dokumenterer deres formål, og som repræsenterer mindst 100 medlemmer. </w:t>
      </w:r>
    </w:p>
    <w:p w:rsidR="00BC1A25" w:rsidRPr="0065082B" w:rsidRDefault="00BC1A25" w:rsidP="00BC1A25">
      <w:pPr>
        <w:numPr>
          <w:ilvl w:val="0"/>
          <w:numId w:val="7"/>
        </w:numPr>
        <w:spacing w:line="240" w:lineRule="auto"/>
      </w:pPr>
    </w:p>
    <w:p w:rsidR="00BC1A25" w:rsidRPr="0065082B" w:rsidRDefault="00BC1A25" w:rsidP="00E32106">
      <w:pPr>
        <w:rPr>
          <w:b/>
          <w:bCs/>
        </w:rPr>
      </w:pPr>
      <w:r w:rsidRPr="0065082B">
        <w:rPr>
          <w:b/>
          <w:bCs/>
        </w:rPr>
        <w:lastRenderedPageBreak/>
        <w:t>Hvordan klager man - § 52, stk. 1</w:t>
      </w:r>
    </w:p>
    <w:p w:rsidR="00BC1A25" w:rsidRPr="0065082B" w:rsidRDefault="00BC1A25" w:rsidP="00E32106"/>
    <w:p w:rsidR="00BC1A25" w:rsidRPr="00466CCF" w:rsidRDefault="00BC1A25" w:rsidP="00A86B72">
      <w:pPr>
        <w:spacing w:after="200" w:line="276" w:lineRule="auto"/>
        <w:rPr>
          <w:szCs w:val="22"/>
        </w:rPr>
      </w:pPr>
      <w:r w:rsidRPr="00466CCF">
        <w:rPr>
          <w:szCs w:val="22"/>
        </w:rPr>
        <w:t>Hvis du ønsker at klage over denne afgørelse, kan du klage til Miljø- og Fødevareklage</w:t>
      </w:r>
      <w:r w:rsidRPr="00466CCF">
        <w:rPr>
          <w:szCs w:val="22"/>
        </w:rPr>
        <w:lastRenderedPageBreak/>
        <w:t>nævnet. Du klager via Klageportalen, som du finder et link til på forsiden www.naevneneshus.dk</w:t>
      </w:r>
      <w:r>
        <w:rPr>
          <w:szCs w:val="22"/>
        </w:rPr>
        <w:t>.</w:t>
      </w:r>
      <w:r w:rsidRPr="00466CCF">
        <w:rPr>
          <w:szCs w:val="22"/>
        </w:rPr>
        <w:t xml:space="preserve"> Klagepo</w:t>
      </w:r>
      <w:r>
        <w:rPr>
          <w:szCs w:val="22"/>
        </w:rPr>
        <w:t xml:space="preserve">rtalen ligger på www.borger.dk </w:t>
      </w:r>
      <w:r w:rsidRPr="00466CCF">
        <w:rPr>
          <w:szCs w:val="22"/>
        </w:rPr>
        <w:t xml:space="preserve">og www.virk.dk. Du logger på www.borger.dk eller </w:t>
      </w:r>
      <w:r w:rsidRPr="00466CCF">
        <w:rPr>
          <w:szCs w:val="22"/>
        </w:rPr>
        <w:lastRenderedPageBreak/>
        <w:t>www.virk.dk, ligesom du plejer, typisk med NEM-ID</w:t>
      </w:r>
      <w:r w:rsidR="000F51DE">
        <w:rPr>
          <w:szCs w:val="22"/>
        </w:rPr>
        <w:t>/MitId</w:t>
      </w:r>
      <w:r w:rsidRPr="00466CCF">
        <w:rPr>
          <w:szCs w:val="22"/>
        </w:rPr>
        <w:t>. Klagen sendes gennem Klageportalen til den myndighed, der har truffet afgørelsen. En klage er indgivet, når den er tilgæn</w:t>
      </w:r>
      <w:r w:rsidRPr="00466CCF">
        <w:rPr>
          <w:szCs w:val="22"/>
        </w:rPr>
        <w:lastRenderedPageBreak/>
        <w:t xml:space="preserve">gelig for myndigheden i Klageportalen. Når du klager, skal du betale et gebyr på </w:t>
      </w:r>
      <w:r>
        <w:rPr>
          <w:szCs w:val="22"/>
        </w:rPr>
        <w:t>900</w:t>
      </w:r>
      <w:r w:rsidRPr="00466CCF">
        <w:rPr>
          <w:szCs w:val="22"/>
        </w:rPr>
        <w:t xml:space="preserve"> kr</w:t>
      </w:r>
      <w:r>
        <w:rPr>
          <w:szCs w:val="22"/>
        </w:rPr>
        <w:t>. (borgere)/1800 kr. (virksomheder, organisationer)</w:t>
      </w:r>
      <w:r w:rsidRPr="00466CCF">
        <w:rPr>
          <w:szCs w:val="22"/>
        </w:rPr>
        <w:t xml:space="preserve">. Du betaler gebyret med betalingskort i Klageportalen. </w:t>
      </w:r>
    </w:p>
    <w:p w:rsidR="00BC1A25" w:rsidRPr="00466CCF" w:rsidRDefault="00BC1A25" w:rsidP="00A86B72">
      <w:pPr>
        <w:spacing w:after="200" w:line="276" w:lineRule="auto"/>
        <w:rPr>
          <w:szCs w:val="22"/>
        </w:rPr>
      </w:pPr>
      <w:r w:rsidRPr="00466CCF">
        <w:rPr>
          <w:szCs w:val="22"/>
        </w:rPr>
        <w:lastRenderedPageBreak/>
        <w:t xml:space="preserve">Vejledning om hvordan du skal logge på og anvende Klageportalen, findes på www.borger.dk og www.virk.dk samt på Miljø- og Fødevareklagenævnets hjemmeside. På www.nmkn.dk kan du finde information om, </w:t>
      </w:r>
      <w:r w:rsidRPr="00466CCF">
        <w:rPr>
          <w:szCs w:val="22"/>
        </w:rPr>
        <w:lastRenderedPageBreak/>
        <w:t xml:space="preserve">hvordan man klager via Klageportalen, bl.a. korte videovejledninger, ”spørgsmål og svar” samt telefonnummer og email-adresse til supportfunktionen i Miljø- og Fødevareklagenævnet. </w:t>
      </w:r>
    </w:p>
    <w:p w:rsidR="00BC1A25" w:rsidRPr="00466CCF" w:rsidRDefault="00BC1A25" w:rsidP="00A86B72">
      <w:pPr>
        <w:spacing w:after="200" w:line="276" w:lineRule="auto"/>
        <w:rPr>
          <w:iCs/>
          <w:szCs w:val="22"/>
        </w:rPr>
      </w:pPr>
      <w:r w:rsidRPr="00466CCF">
        <w:rPr>
          <w:szCs w:val="22"/>
        </w:rPr>
        <w:lastRenderedPageBreak/>
        <w:t xml:space="preserve">Miljø- og Fødevareklagenævnet skal som udgangspunkt afvise en klage, der kommer uden om Klageportalen, hvis der ikke er særlige grunde til det. Hvis du ønsker at blive fritaget for at bruge Klageportalen, skal du </w:t>
      </w:r>
      <w:r w:rsidRPr="00466CCF">
        <w:rPr>
          <w:szCs w:val="22"/>
        </w:rPr>
        <w:lastRenderedPageBreak/>
        <w:t>sende en begrundet anmodning til den myndighed, der har truffet afgørelse i sagen. Myndigheden videresender herefter anmodningen til Miljø- og Fø</w:t>
      </w:r>
      <w:r w:rsidRPr="00466CCF">
        <w:rPr>
          <w:szCs w:val="22"/>
        </w:rPr>
        <w:lastRenderedPageBreak/>
        <w:t>devareklagenævnet, som træffer afgørelse om, hvorvidt din anmodning kan imødekommes.</w:t>
      </w:r>
    </w:p>
    <w:p w:rsidR="00BC1A25" w:rsidRPr="0065082B" w:rsidRDefault="00BC1A25" w:rsidP="00E32106">
      <w:r w:rsidRPr="0065082B">
        <w:t> </w:t>
      </w:r>
    </w:p>
    <w:p w:rsidR="00BC1A25" w:rsidRPr="0065082B" w:rsidRDefault="00BC1A25" w:rsidP="00E32106">
      <w:pPr>
        <w:rPr>
          <w:b/>
          <w:bCs/>
        </w:rPr>
      </w:pPr>
      <w:r w:rsidRPr="0065082B">
        <w:rPr>
          <w:b/>
          <w:bCs/>
        </w:rPr>
        <w:t>Frist for at indgive klage - § 51</w:t>
      </w:r>
    </w:p>
    <w:p w:rsidR="00BC1A25" w:rsidRPr="0065082B" w:rsidRDefault="00BC1A25" w:rsidP="00E32106"/>
    <w:p w:rsidR="00BC1A25" w:rsidRPr="0065082B" w:rsidRDefault="00BC1A25" w:rsidP="00E32106">
      <w:r w:rsidRPr="0065082B">
        <w:lastRenderedPageBreak/>
        <w:t xml:space="preserve">Klage efter § 48, stk. 3 og 4 og § 49, stk. 1, skal være indgivet inden 4 uger efter offentliggørelsen af screeningsafgørelsen efter § 10, den vedtagne plan eller det vedtagne program, screeningsafgørelsen efter § 21 </w:t>
      </w:r>
      <w:r w:rsidRPr="0065082B">
        <w:lastRenderedPageBreak/>
        <w:t>eller afgørelsen efter §§ 25 og 46. </w:t>
      </w:r>
    </w:p>
    <w:p w:rsidR="00BC1A25" w:rsidRPr="0065082B" w:rsidRDefault="00BC1A25" w:rsidP="00E32106">
      <w:r w:rsidRPr="0065082B">
        <w:t>Hvis klagefristen udløber på en lørdag eller en helligdag, forlænges fristen til den følgende hverdag. </w:t>
      </w:r>
    </w:p>
    <w:p w:rsidR="00BC1A25" w:rsidRPr="0065082B" w:rsidRDefault="00BC1A25" w:rsidP="00E32106">
      <w:r w:rsidRPr="0065082B">
        <w:t xml:space="preserve">Klage efter § 48, stk. 4, kan tidligst indgives, når planen eller </w:t>
      </w:r>
      <w:r w:rsidRPr="0065082B">
        <w:lastRenderedPageBreak/>
        <w:t>programmet er endeligt vedtaget.</w:t>
      </w:r>
    </w:p>
    <w:p w:rsidR="00BC1A25" w:rsidRPr="0065082B" w:rsidRDefault="00BC1A25" w:rsidP="00E32106">
      <w:r w:rsidRPr="0065082B">
        <w:t> </w:t>
      </w:r>
    </w:p>
    <w:p w:rsidR="00BC1A25" w:rsidRPr="0065082B" w:rsidRDefault="00BC1A25" w:rsidP="00E32106">
      <w:pPr>
        <w:rPr>
          <w:b/>
          <w:bCs/>
        </w:rPr>
      </w:pPr>
      <w:r w:rsidRPr="0065082B">
        <w:rPr>
          <w:b/>
          <w:bCs/>
        </w:rPr>
        <w:t>Virkningen af, at der klages</w:t>
      </w:r>
    </w:p>
    <w:p w:rsidR="00BC1A25" w:rsidRPr="0065082B" w:rsidRDefault="00BC1A25" w:rsidP="00E32106"/>
    <w:p w:rsidR="00BC1A25" w:rsidRPr="0065082B" w:rsidRDefault="00BC1A25" w:rsidP="00E32106">
      <w:r w:rsidRPr="0065082B">
        <w:lastRenderedPageBreak/>
        <w:t>Da der ikke i miljøvurderingsloven er taget stilling til spørgsmålet om, hvorvidt en klage har opsættende virkning, må spørgsmålet om opsættende virkning afgøres ud fra en afvejning af forskellige alminde</w:t>
      </w:r>
      <w:r w:rsidRPr="0065082B">
        <w:lastRenderedPageBreak/>
        <w:t>lige hensyn. Miljø- og Fødevareklagenævnet – og normalt også førsteinstansen – kan tage stilling til, om en klage skal have opsættende virkning, jf. § 53.</w:t>
      </w:r>
    </w:p>
    <w:p w:rsidR="00BC1A25" w:rsidRPr="0065082B" w:rsidRDefault="00BC1A25" w:rsidP="00E32106">
      <w:r w:rsidRPr="0065082B">
        <w:t> </w:t>
      </w:r>
    </w:p>
    <w:p w:rsidR="00BC1A25" w:rsidRPr="0065082B" w:rsidRDefault="00BC1A25" w:rsidP="00E32106">
      <w:pPr>
        <w:rPr>
          <w:b/>
          <w:bCs/>
        </w:rPr>
      </w:pPr>
      <w:r w:rsidRPr="0065082B">
        <w:rPr>
          <w:b/>
          <w:bCs/>
        </w:rPr>
        <w:lastRenderedPageBreak/>
        <w:t>Indbringelse for domstolene</w:t>
      </w:r>
    </w:p>
    <w:p w:rsidR="00BC1A25" w:rsidRPr="0065082B" w:rsidRDefault="00BC1A25" w:rsidP="00E32106"/>
    <w:p w:rsidR="00BC1A25" w:rsidRPr="0065082B" w:rsidRDefault="00BC1A25" w:rsidP="00E32106">
      <w:r w:rsidRPr="0065082B">
        <w:t xml:space="preserve">Miljø- og Fødevareklagenævnets afgørelse kan indbringes for domstolene. Søgsmål til prøvelse skal være anlagt inden 6 måneder efter, at afgørelsen </w:t>
      </w:r>
      <w:r w:rsidRPr="0065082B">
        <w:lastRenderedPageBreak/>
        <w:t>er meddelt adressaten. Er afgørelsen offentliggjort, regnes søgsmålsfristen fra offentliggørelsen. </w:t>
      </w:r>
    </w:p>
    <w:p w:rsidR="00BC1A25" w:rsidRPr="0065082B" w:rsidRDefault="00BC1A25" w:rsidP="00E32106">
      <w:r w:rsidRPr="0065082B">
        <w:t>Uanset om der anlægges retssag, er man forpligtet til at rette sig efter Miljø- og Fødeva</w:t>
      </w:r>
      <w:r w:rsidRPr="0065082B">
        <w:lastRenderedPageBreak/>
        <w:t>reklagenævnets afgørelse, indtil domstolen måtte bestemme noget andet.</w:t>
      </w:r>
    </w:p>
    <w:p w:rsidR="00BC1A25" w:rsidRDefault="00BC1A25" w:rsidP="0071706E"/>
    <w:p w:rsidR="00190A66" w:rsidRDefault="00190A66" w:rsidP="0071706E">
      <w:r>
        <w:t>Bilag:</w:t>
      </w:r>
    </w:p>
    <w:p w:rsidR="00190A66" w:rsidRDefault="00190A66" w:rsidP="00190A66">
      <w:pPr>
        <w:pStyle w:val="Listeafsnit"/>
        <w:numPr>
          <w:ilvl w:val="0"/>
          <w:numId w:val="13"/>
        </w:numPr>
      </w:pPr>
      <w:r>
        <w:t>VVM-skema</w:t>
      </w:r>
    </w:p>
    <w:p w:rsidR="00190A66" w:rsidRDefault="00190A66" w:rsidP="00190A66">
      <w:pPr>
        <w:pStyle w:val="Listeafsnit"/>
        <w:numPr>
          <w:ilvl w:val="0"/>
          <w:numId w:val="13"/>
        </w:numPr>
      </w:pPr>
      <w:r>
        <w:t>Ansøgning</w:t>
      </w:r>
    </w:p>
    <w:p w:rsidR="00190A66" w:rsidRDefault="00190A66" w:rsidP="00190A66">
      <w:pPr>
        <w:pStyle w:val="Listeafsnit"/>
        <w:numPr>
          <w:ilvl w:val="0"/>
          <w:numId w:val="13"/>
        </w:numPr>
      </w:pPr>
      <w:r>
        <w:t>OML-beregning</w:t>
      </w:r>
    </w:p>
    <w:p w:rsidR="00190A66" w:rsidRPr="0065082B" w:rsidRDefault="00190A66" w:rsidP="00190A66">
      <w:pPr>
        <w:pStyle w:val="Listeafsnit"/>
        <w:numPr>
          <w:ilvl w:val="0"/>
          <w:numId w:val="13"/>
        </w:numPr>
      </w:pPr>
      <w:r>
        <w:lastRenderedPageBreak/>
        <w:t>Oversigtskort m. placering af tank</w:t>
      </w:r>
    </w:p>
    <w:p w:rsidR="00BC1A25" w:rsidRPr="00BC1A25" w:rsidRDefault="00BC1A25" w:rsidP="00BC1A25"/>
    <w:p w:rsidR="00BC1A25" w:rsidRPr="00BC1A25" w:rsidRDefault="00BC1A25" w:rsidP="00BC1A25">
      <w:pPr>
        <w:jc w:val="both"/>
        <w:rPr>
          <w:szCs w:val="20"/>
        </w:rPr>
      </w:pPr>
      <w:r w:rsidRPr="00BC1A25">
        <w:rPr>
          <w:szCs w:val="20"/>
        </w:rPr>
        <w:t>Kopi til:</w:t>
      </w:r>
    </w:p>
    <w:p w:rsidR="00BC1A25" w:rsidRPr="004A5D8D" w:rsidRDefault="00BC1A25" w:rsidP="00BC1A25">
      <w:pPr>
        <w:jc w:val="both"/>
        <w:rPr>
          <w:rFonts w:ascii="Arial" w:hAnsi="Arial"/>
          <w:szCs w:val="20"/>
        </w:rPr>
      </w:pPr>
    </w:p>
    <w:p w:rsidR="00BC1A25" w:rsidRPr="005058B1" w:rsidRDefault="00BC1A25" w:rsidP="005058B1">
      <w:pPr>
        <w:numPr>
          <w:ilvl w:val="0"/>
          <w:numId w:val="8"/>
        </w:numPr>
        <w:spacing w:line="240" w:lineRule="auto"/>
        <w:jc w:val="both"/>
        <w:rPr>
          <w:sz w:val="22"/>
          <w:szCs w:val="22"/>
        </w:rPr>
      </w:pPr>
      <w:smartTag w:uri="urn:schemas-microsoft-com:office:smarttags" w:element="PersonName">
        <w:smartTagPr>
          <w:attr w:name="ProductID" w:val="Danmarks Naturfredningsforening"/>
        </w:smartTagPr>
        <w:r w:rsidRPr="00715DB9">
          <w:rPr>
            <w:sz w:val="22"/>
            <w:szCs w:val="22"/>
          </w:rPr>
          <w:t>Danmarks Naturfredningsforening</w:t>
        </w:r>
      </w:smartTag>
      <w:r w:rsidRPr="00715DB9">
        <w:rPr>
          <w:sz w:val="22"/>
          <w:szCs w:val="22"/>
        </w:rPr>
        <w:t xml:space="preserve">, Masnedøgade 20, 2100 </w:t>
      </w:r>
      <w:r w:rsidRPr="00715DB9">
        <w:rPr>
          <w:sz w:val="22"/>
          <w:szCs w:val="22"/>
        </w:rPr>
        <w:lastRenderedPageBreak/>
        <w:t>København Ø, e-post: dn@dn.dk</w:t>
      </w:r>
    </w:p>
    <w:p w:rsidR="00BC1A25" w:rsidRPr="005058B1" w:rsidRDefault="00BC1A25" w:rsidP="005058B1">
      <w:pPr>
        <w:numPr>
          <w:ilvl w:val="0"/>
          <w:numId w:val="8"/>
        </w:numPr>
        <w:spacing w:line="240" w:lineRule="auto"/>
        <w:jc w:val="both"/>
        <w:rPr>
          <w:sz w:val="22"/>
          <w:szCs w:val="22"/>
        </w:rPr>
      </w:pPr>
      <w:r w:rsidRPr="00715DB9">
        <w:rPr>
          <w:sz w:val="22"/>
          <w:szCs w:val="22"/>
        </w:rPr>
        <w:t xml:space="preserve">Friluftsrådet </w:t>
      </w:r>
      <w:r w:rsidR="005058B1">
        <w:rPr>
          <w:sz w:val="22"/>
          <w:szCs w:val="22"/>
        </w:rPr>
        <w:t>Sydfyn</w:t>
      </w:r>
      <w:r w:rsidRPr="005058B1">
        <w:rPr>
          <w:sz w:val="22"/>
          <w:szCs w:val="22"/>
        </w:rPr>
        <w:t xml:space="preserve">: </w:t>
      </w:r>
      <w:hyperlink r:id="rId10" w:history="1">
        <w:r w:rsidRPr="005058B1">
          <w:rPr>
            <w:color w:val="0000FF"/>
            <w:sz w:val="22"/>
            <w:szCs w:val="22"/>
            <w:u w:val="single"/>
          </w:rPr>
          <w:t>sydfyn@friluftsraadet.dk</w:t>
        </w:r>
      </w:hyperlink>
      <w:r w:rsidRPr="005058B1">
        <w:rPr>
          <w:sz w:val="22"/>
          <w:szCs w:val="22"/>
        </w:rPr>
        <w:t xml:space="preserve"> (Kun henvisning til kommunens hjemmeside)</w:t>
      </w:r>
    </w:p>
    <w:p w:rsidR="00BC1A25" w:rsidRDefault="00BC1A25" w:rsidP="00BC1A25">
      <w:pPr>
        <w:numPr>
          <w:ilvl w:val="0"/>
          <w:numId w:val="8"/>
        </w:numPr>
        <w:spacing w:line="240" w:lineRule="auto"/>
        <w:jc w:val="both"/>
        <w:rPr>
          <w:sz w:val="22"/>
          <w:szCs w:val="22"/>
          <w:lang w:val="en-GB"/>
        </w:rPr>
      </w:pPr>
      <w:r w:rsidRPr="00866095">
        <w:rPr>
          <w:sz w:val="22"/>
          <w:szCs w:val="22"/>
          <w:lang w:val="en-GB"/>
        </w:rPr>
        <w:t>Kerry Ingredients &amp; Flavours/Cremo Ingredients A/S</w:t>
      </w:r>
      <w:r>
        <w:rPr>
          <w:sz w:val="22"/>
          <w:szCs w:val="22"/>
          <w:lang w:val="en-GB"/>
        </w:rPr>
        <w:t xml:space="preserve">, </w:t>
      </w:r>
      <w:r w:rsidRPr="00866095">
        <w:rPr>
          <w:sz w:val="22"/>
          <w:szCs w:val="22"/>
          <w:lang w:val="en-GB"/>
        </w:rPr>
        <w:lastRenderedPageBreak/>
        <w:t>Toftegårdsvej 3, 5620 Glamsbjerg</w:t>
      </w:r>
      <w:r w:rsidR="005058B1">
        <w:rPr>
          <w:sz w:val="22"/>
          <w:szCs w:val="22"/>
          <w:lang w:val="en-GB"/>
        </w:rPr>
        <w:t>, Henrik.pedersen@kerry.com</w:t>
      </w:r>
      <w:r w:rsidRPr="00866095">
        <w:rPr>
          <w:sz w:val="22"/>
          <w:szCs w:val="22"/>
          <w:lang w:val="en-GB"/>
        </w:rPr>
        <w:t xml:space="preserve"> </w:t>
      </w:r>
    </w:p>
    <w:p w:rsidR="00BC1A25" w:rsidRDefault="00BC1A25" w:rsidP="00BC1A25">
      <w:pPr>
        <w:numPr>
          <w:ilvl w:val="0"/>
          <w:numId w:val="8"/>
        </w:numPr>
        <w:spacing w:line="240" w:lineRule="auto"/>
        <w:rPr>
          <w:sz w:val="22"/>
          <w:szCs w:val="22"/>
          <w:lang w:val="en-GB"/>
        </w:rPr>
      </w:pPr>
      <w:r>
        <w:rPr>
          <w:sz w:val="22"/>
          <w:szCs w:val="22"/>
          <w:lang w:val="en-GB"/>
        </w:rPr>
        <w:t xml:space="preserve">Assens Forsyning A/S,  </w:t>
      </w:r>
      <w:hyperlink r:id="rId11" w:history="1">
        <w:r w:rsidR="005058B1" w:rsidRPr="00877C16">
          <w:rPr>
            <w:rStyle w:val="Hyperlink"/>
            <w:sz w:val="22"/>
            <w:szCs w:val="22"/>
            <w:lang w:val="en-GB"/>
          </w:rPr>
          <w:t>post@assensforsyning.dk</w:t>
        </w:r>
      </w:hyperlink>
    </w:p>
    <w:p w:rsidR="005058B1" w:rsidRDefault="005058B1" w:rsidP="005058B1">
      <w:pPr>
        <w:spacing w:line="240" w:lineRule="auto"/>
        <w:rPr>
          <w:sz w:val="22"/>
          <w:szCs w:val="22"/>
          <w:lang w:val="en-GB"/>
        </w:rPr>
      </w:pPr>
    </w:p>
    <w:p w:rsidR="005058B1" w:rsidRDefault="005058B1" w:rsidP="005058B1">
      <w:pPr>
        <w:spacing w:line="240" w:lineRule="auto"/>
        <w:rPr>
          <w:sz w:val="22"/>
          <w:szCs w:val="22"/>
          <w:lang w:val="en-GB"/>
        </w:rPr>
      </w:pPr>
    </w:p>
    <w:p w:rsidR="005058B1" w:rsidRDefault="005058B1" w:rsidP="005058B1">
      <w:pPr>
        <w:spacing w:line="240" w:lineRule="auto"/>
        <w:rPr>
          <w:sz w:val="22"/>
          <w:szCs w:val="22"/>
          <w:lang w:val="en-GB"/>
        </w:rPr>
      </w:pPr>
    </w:p>
    <w:p w:rsidR="005058B1" w:rsidRDefault="005058B1" w:rsidP="005058B1">
      <w:pPr>
        <w:spacing w:line="240" w:lineRule="auto"/>
        <w:rPr>
          <w:sz w:val="22"/>
          <w:szCs w:val="22"/>
          <w:lang w:val="en-GB"/>
        </w:rPr>
      </w:pPr>
    </w:p>
    <w:p w:rsidR="005058B1" w:rsidRDefault="005058B1" w:rsidP="005058B1">
      <w:pPr>
        <w:spacing w:line="240" w:lineRule="auto"/>
        <w:rPr>
          <w:sz w:val="22"/>
          <w:szCs w:val="22"/>
          <w:lang w:val="en-GB"/>
        </w:rPr>
      </w:pPr>
    </w:p>
    <w:p w:rsidR="005058B1" w:rsidRDefault="005058B1" w:rsidP="005058B1">
      <w:pPr>
        <w:spacing w:line="240" w:lineRule="auto"/>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FC7DA8">
        <w:rPr>
          <w:sz w:val="22"/>
          <w:szCs w:val="22"/>
          <w:lang w:val="en-GB"/>
        </w:rPr>
        <w:t>11. juli 2022</w:t>
      </w:r>
    </w:p>
    <w:p w:rsidR="005058B1" w:rsidRDefault="005058B1" w:rsidP="005058B1">
      <w:pPr>
        <w:spacing w:line="240" w:lineRule="auto"/>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Dorthe Toft</w:t>
      </w:r>
    </w:p>
    <w:p w:rsidR="005058B1" w:rsidRDefault="005058B1" w:rsidP="005058B1">
      <w:pPr>
        <w:spacing w:line="240" w:lineRule="auto"/>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Sagnr. 22/9763</w:t>
      </w:r>
    </w:p>
    <w:p w:rsidR="005058B1" w:rsidRDefault="005058B1" w:rsidP="005058B1">
      <w:pPr>
        <w:spacing w:line="240" w:lineRule="auto"/>
        <w:rPr>
          <w:sz w:val="22"/>
          <w:szCs w:val="22"/>
          <w:lang w:val="en-GB"/>
        </w:rPr>
      </w:pPr>
    </w:p>
    <w:p w:rsidR="005058B1" w:rsidRDefault="005058B1" w:rsidP="005058B1">
      <w:pPr>
        <w:pStyle w:val="Overskrift2"/>
        <w:rPr>
          <w:lang w:val="en-GB"/>
        </w:rPr>
      </w:pPr>
      <w:r>
        <w:rPr>
          <w:lang w:val="en-GB"/>
        </w:rPr>
        <w:lastRenderedPageBreak/>
        <w:t>Miljøteknisk Redegørelse</w:t>
      </w:r>
    </w:p>
    <w:p w:rsidR="005058B1" w:rsidRPr="00FC2FB8" w:rsidRDefault="005058B1" w:rsidP="005058B1">
      <w:pPr>
        <w:pStyle w:val="Listeafsnit"/>
        <w:numPr>
          <w:ilvl w:val="0"/>
          <w:numId w:val="9"/>
        </w:numPr>
        <w:rPr>
          <w:b/>
          <w:lang w:val="en-GB"/>
        </w:rPr>
      </w:pPr>
      <w:r w:rsidRPr="00FC2FB8">
        <w:rPr>
          <w:b/>
          <w:lang w:val="en-GB"/>
        </w:rPr>
        <w:t>Ansøger</w:t>
      </w:r>
    </w:p>
    <w:p w:rsidR="005058B1" w:rsidRPr="00E82505" w:rsidRDefault="005058B1" w:rsidP="005058B1">
      <w:pPr>
        <w:pStyle w:val="Listeafsnit"/>
        <w:rPr>
          <w:sz w:val="22"/>
          <w:szCs w:val="22"/>
          <w:lang w:val="en-GB"/>
        </w:rPr>
      </w:pPr>
      <w:r w:rsidRPr="00E82505">
        <w:rPr>
          <w:sz w:val="22"/>
          <w:szCs w:val="22"/>
          <w:lang w:val="en-GB"/>
        </w:rPr>
        <w:t>Kerry Ingredients &amp; Flavour/Cremo Ingredients</w:t>
      </w:r>
    </w:p>
    <w:p w:rsidR="005058B1" w:rsidRPr="00E82505" w:rsidRDefault="005058B1" w:rsidP="005058B1">
      <w:pPr>
        <w:pStyle w:val="Listeafsnit"/>
        <w:rPr>
          <w:sz w:val="22"/>
          <w:szCs w:val="22"/>
          <w:lang w:val="en-GB"/>
        </w:rPr>
      </w:pPr>
      <w:r w:rsidRPr="00E82505">
        <w:rPr>
          <w:sz w:val="22"/>
          <w:szCs w:val="22"/>
          <w:lang w:val="en-GB"/>
        </w:rPr>
        <w:t>Toftegårdsvej 3</w:t>
      </w:r>
    </w:p>
    <w:p w:rsidR="005058B1" w:rsidRPr="00E82505" w:rsidRDefault="005058B1" w:rsidP="005058B1">
      <w:pPr>
        <w:pStyle w:val="Listeafsnit"/>
        <w:rPr>
          <w:sz w:val="22"/>
          <w:szCs w:val="22"/>
          <w:lang w:val="en-GB"/>
        </w:rPr>
      </w:pPr>
      <w:r w:rsidRPr="00E82505">
        <w:rPr>
          <w:sz w:val="22"/>
          <w:szCs w:val="22"/>
          <w:lang w:val="en-GB"/>
        </w:rPr>
        <w:t>5620 Glamsbjerg</w:t>
      </w:r>
    </w:p>
    <w:p w:rsidR="005058B1" w:rsidRPr="00E82505" w:rsidRDefault="005058B1" w:rsidP="005058B1">
      <w:pPr>
        <w:pStyle w:val="Listeafsnit"/>
        <w:rPr>
          <w:sz w:val="22"/>
          <w:szCs w:val="22"/>
          <w:lang w:val="en-GB"/>
        </w:rPr>
      </w:pPr>
      <w:r w:rsidRPr="00E82505">
        <w:rPr>
          <w:sz w:val="22"/>
          <w:szCs w:val="22"/>
          <w:lang w:val="en-GB"/>
        </w:rPr>
        <w:lastRenderedPageBreak/>
        <w:t>CVR.nr. 27688470</w:t>
      </w:r>
    </w:p>
    <w:p w:rsidR="00FC2FB8" w:rsidRPr="00E82505" w:rsidRDefault="00FC2FB8" w:rsidP="005058B1">
      <w:pPr>
        <w:pStyle w:val="Listeafsnit"/>
        <w:rPr>
          <w:sz w:val="22"/>
          <w:szCs w:val="22"/>
          <w:lang w:val="en-GB"/>
        </w:rPr>
      </w:pPr>
    </w:p>
    <w:p w:rsidR="00FC2FB8" w:rsidRPr="00E82505" w:rsidRDefault="00FC2FB8" w:rsidP="005058B1">
      <w:pPr>
        <w:pStyle w:val="Listeafsnit"/>
        <w:rPr>
          <w:b/>
          <w:sz w:val="22"/>
          <w:szCs w:val="22"/>
          <w:lang w:val="en-GB"/>
        </w:rPr>
      </w:pPr>
      <w:r w:rsidRPr="00E82505">
        <w:rPr>
          <w:b/>
          <w:sz w:val="22"/>
          <w:szCs w:val="22"/>
          <w:lang w:val="en-GB"/>
        </w:rPr>
        <w:t>Virksomheden</w:t>
      </w:r>
    </w:p>
    <w:p w:rsidR="00FC2FB8" w:rsidRPr="00E82505" w:rsidRDefault="00FC2FB8" w:rsidP="00FC2FB8">
      <w:pPr>
        <w:ind w:firstLine="720"/>
        <w:jc w:val="both"/>
        <w:rPr>
          <w:lang w:val="en-GB"/>
        </w:rPr>
      </w:pPr>
      <w:r w:rsidRPr="00E82505">
        <w:rPr>
          <w:lang w:val="en-GB"/>
        </w:rPr>
        <w:t>Kerry Ingredients &amp; Flavours/Cremo Ingredients A/S</w:t>
      </w:r>
    </w:p>
    <w:p w:rsidR="00FC2FB8" w:rsidRPr="00E82505" w:rsidRDefault="00FC2FB8" w:rsidP="00FC2FB8">
      <w:pPr>
        <w:ind w:firstLine="720"/>
        <w:jc w:val="both"/>
      </w:pPr>
      <w:r w:rsidRPr="00E82505">
        <w:t xml:space="preserve">Toftegårdsvej 3 </w:t>
      </w:r>
    </w:p>
    <w:p w:rsidR="00FC2FB8" w:rsidRPr="00E82505" w:rsidRDefault="00FC2FB8" w:rsidP="00FC2FB8">
      <w:pPr>
        <w:ind w:firstLine="720"/>
        <w:jc w:val="both"/>
        <w:rPr>
          <w:lang w:val="en-GB"/>
        </w:rPr>
      </w:pPr>
      <w:r w:rsidRPr="00E82505">
        <w:t>5620 Glamsbjerg.</w:t>
      </w:r>
    </w:p>
    <w:p w:rsidR="00FC2FB8" w:rsidRPr="00E82505" w:rsidRDefault="00FC2FB8" w:rsidP="00FC2FB8">
      <w:pPr>
        <w:jc w:val="both"/>
      </w:pPr>
    </w:p>
    <w:p w:rsidR="00FC2FB8" w:rsidRPr="00E82505" w:rsidRDefault="00FC2FB8" w:rsidP="00FC2FB8">
      <w:pPr>
        <w:ind w:firstLine="720"/>
        <w:jc w:val="both"/>
      </w:pPr>
      <w:r w:rsidRPr="00E82505">
        <w:lastRenderedPageBreak/>
        <w:t xml:space="preserve">Virksomhedens ledelse: </w:t>
      </w:r>
    </w:p>
    <w:p w:rsidR="00FC2FB8" w:rsidRPr="00E82505" w:rsidRDefault="00FC2FB8" w:rsidP="00FC2FB8">
      <w:pPr>
        <w:jc w:val="both"/>
      </w:pPr>
    </w:p>
    <w:p w:rsidR="00FC2FB8" w:rsidRPr="00E82505" w:rsidRDefault="00FC2FB8" w:rsidP="00FC2FB8">
      <w:pPr>
        <w:jc w:val="both"/>
      </w:pPr>
    </w:p>
    <w:p w:rsidR="00FC2FB8" w:rsidRPr="00E82505" w:rsidRDefault="00FC2FB8" w:rsidP="00FC2FB8">
      <w:pPr>
        <w:jc w:val="both"/>
      </w:pPr>
      <w:r w:rsidRPr="00E82505">
        <w:t>Adm. direktør:</w:t>
      </w:r>
      <w:r w:rsidRPr="00E82505">
        <w:tab/>
        <w:t>Henrik Pedersen</w:t>
      </w:r>
    </w:p>
    <w:p w:rsidR="00FC2FB8" w:rsidRPr="00E82505" w:rsidRDefault="00FC2FB8" w:rsidP="00FC2FB8">
      <w:pPr>
        <w:jc w:val="both"/>
      </w:pPr>
    </w:p>
    <w:p w:rsidR="00FC2FB8" w:rsidRPr="00E82505" w:rsidRDefault="00FC2FB8" w:rsidP="00FC2FB8">
      <w:pPr>
        <w:jc w:val="both"/>
      </w:pPr>
      <w:r w:rsidRPr="00E82505">
        <w:t>Miljøansvarlig:</w:t>
      </w:r>
      <w:r w:rsidRPr="00E82505">
        <w:tab/>
        <w:t>Anne Dahmen</w:t>
      </w:r>
    </w:p>
    <w:p w:rsidR="00FC2FB8" w:rsidRPr="00E82505" w:rsidRDefault="00FC2FB8" w:rsidP="00FC2FB8">
      <w:pPr>
        <w:jc w:val="both"/>
      </w:pPr>
    </w:p>
    <w:p w:rsidR="00FC2FB8" w:rsidRPr="00E82505" w:rsidRDefault="00FC2FB8" w:rsidP="00FC2FB8">
      <w:pPr>
        <w:jc w:val="both"/>
      </w:pPr>
    </w:p>
    <w:p w:rsidR="00FC2FB8" w:rsidRPr="00E82505" w:rsidRDefault="00FC2FB8" w:rsidP="00FC2FB8">
      <w:pPr>
        <w:jc w:val="both"/>
        <w:rPr>
          <w:rFonts w:cs="Arial"/>
          <w:color w:val="000000"/>
          <w:u w:val="single"/>
        </w:rPr>
      </w:pPr>
      <w:r w:rsidRPr="00E82505">
        <w:rPr>
          <w:rFonts w:cs="Arial"/>
          <w:color w:val="000000"/>
          <w:u w:val="single"/>
        </w:rPr>
        <w:t>Virksomhedens relationer til miljøbeskyttelsesloven</w:t>
      </w:r>
      <w:r w:rsidRPr="00E82505">
        <w:rPr>
          <w:rStyle w:val="Fodnotehenvisning"/>
          <w:rFonts w:cs="Arial"/>
          <w:color w:val="000000"/>
          <w:u w:val="single"/>
        </w:rPr>
        <w:footnoteReference w:id="6"/>
      </w:r>
      <w:r w:rsidRPr="00E82505">
        <w:rPr>
          <w:rFonts w:cs="Arial"/>
          <w:color w:val="000000"/>
          <w:u w:val="single"/>
        </w:rPr>
        <w:t xml:space="preserve"> §§ 34 og </w:t>
      </w:r>
      <w:smartTag w:uri="urn:schemas-microsoft-com:office:smarttags" w:element="metricconverter">
        <w:smartTagPr>
          <w:attr w:name="ProductID" w:val="40 a"/>
        </w:smartTagPr>
        <w:r w:rsidRPr="00E82505">
          <w:rPr>
            <w:rFonts w:cs="Arial"/>
            <w:color w:val="000000"/>
            <w:u w:val="single"/>
          </w:rPr>
          <w:t>40 a</w:t>
        </w:r>
      </w:smartTag>
    </w:p>
    <w:p w:rsidR="00FC2FB8" w:rsidRPr="00E82505" w:rsidRDefault="00FC2FB8" w:rsidP="00FC2FB8">
      <w:pPr>
        <w:jc w:val="both"/>
        <w:rPr>
          <w:rFonts w:cs="Arial"/>
          <w:color w:val="000000"/>
          <w:u w:val="single"/>
        </w:rPr>
      </w:pPr>
    </w:p>
    <w:p w:rsidR="00FC2FB8" w:rsidRPr="00E82505" w:rsidRDefault="00FC2FB8" w:rsidP="00FC2FB8">
      <w:pPr>
        <w:pStyle w:val="Brdtekst3"/>
        <w:jc w:val="both"/>
        <w:rPr>
          <w:rFonts w:ascii="Georgia" w:hAnsi="Georgia"/>
          <w:sz w:val="24"/>
          <w:szCs w:val="24"/>
        </w:rPr>
      </w:pPr>
      <w:r w:rsidRPr="00E82505">
        <w:rPr>
          <w:rFonts w:ascii="Georgia" w:hAnsi="Georgia"/>
          <w:sz w:val="24"/>
          <w:szCs w:val="24"/>
        </w:rPr>
        <w:lastRenderedPageBreak/>
        <w:t xml:space="preserve">Af miljøbeskyttelseslovens § 34 stk. 3 fremgår det indirekte, at der i forbindelse med miljøgodkendelsen af en virksomhed skal foreligge oplysninger om virksomhedens ejerforhold, bestyrelse og daglige ledelse, så </w:t>
      </w:r>
      <w:r w:rsidRPr="00E82505">
        <w:rPr>
          <w:rFonts w:ascii="Georgia" w:hAnsi="Georgia"/>
          <w:sz w:val="24"/>
          <w:szCs w:val="24"/>
        </w:rPr>
        <w:lastRenderedPageBreak/>
        <w:t xml:space="preserve">miljømyndighederne kan vurdere, om nogle af disse personer er omfattet af lovens § </w:t>
      </w:r>
      <w:smartTag w:uri="urn:schemas-microsoft-com:office:smarttags" w:element="metricconverter">
        <w:smartTagPr>
          <w:attr w:name="ProductID" w:val="40 a"/>
        </w:smartTagPr>
        <w:r w:rsidRPr="00E82505">
          <w:rPr>
            <w:rFonts w:ascii="Georgia" w:hAnsi="Georgia"/>
            <w:sz w:val="24"/>
            <w:szCs w:val="24"/>
          </w:rPr>
          <w:t>40 a</w:t>
        </w:r>
      </w:smartTag>
      <w:r w:rsidRPr="00E82505">
        <w:rPr>
          <w:rFonts w:ascii="Georgia" w:hAnsi="Georgia"/>
          <w:sz w:val="24"/>
          <w:szCs w:val="24"/>
        </w:rPr>
        <w:t xml:space="preserve">, der omhandler kriterier for tilbagekaldelse af meddelt godkendelse, nægtelse af godkendelse og fastsættelse af særlige vilkår om sikkerhedsstillelse. </w:t>
      </w:r>
    </w:p>
    <w:p w:rsidR="00FC2FB8" w:rsidRPr="00E82505" w:rsidRDefault="00FC2FB8" w:rsidP="00FC2FB8">
      <w:pPr>
        <w:jc w:val="both"/>
        <w:rPr>
          <w:rFonts w:cs="Arial"/>
          <w:color w:val="000000"/>
        </w:rPr>
      </w:pPr>
    </w:p>
    <w:p w:rsidR="00FC2FB8" w:rsidRPr="00E82505" w:rsidRDefault="00FC2FB8" w:rsidP="00FC2FB8">
      <w:pPr>
        <w:pStyle w:val="Brdtekst3"/>
        <w:jc w:val="both"/>
        <w:rPr>
          <w:rFonts w:ascii="Georgia" w:hAnsi="Georgia"/>
          <w:sz w:val="24"/>
          <w:szCs w:val="24"/>
        </w:rPr>
      </w:pPr>
      <w:r w:rsidRPr="00E82505">
        <w:rPr>
          <w:rFonts w:ascii="Georgia" w:hAnsi="Georgia"/>
          <w:sz w:val="24"/>
          <w:szCs w:val="24"/>
        </w:rPr>
        <w:t xml:space="preserve">Det er i lovens § 40 b stk. 1 anført, at miljø- og energiministeren opretter et miljøansvarlighedsregister over de personer og selskaber m.v., der er omfattet af § </w:t>
      </w:r>
      <w:smartTag w:uri="urn:schemas-microsoft-com:office:smarttags" w:element="metricconverter">
        <w:smartTagPr>
          <w:attr w:name="ProductID" w:val="40 a"/>
        </w:smartTagPr>
        <w:r w:rsidRPr="00E82505">
          <w:rPr>
            <w:rFonts w:ascii="Georgia" w:hAnsi="Georgia"/>
            <w:sz w:val="24"/>
            <w:szCs w:val="24"/>
          </w:rPr>
          <w:t>40 a</w:t>
        </w:r>
      </w:smartTag>
      <w:r w:rsidRPr="00E82505">
        <w:rPr>
          <w:rFonts w:ascii="Georgia" w:hAnsi="Georgia"/>
          <w:sz w:val="24"/>
          <w:szCs w:val="24"/>
        </w:rPr>
        <w:t>.</w:t>
      </w:r>
    </w:p>
    <w:p w:rsidR="00FC2FB8" w:rsidRPr="00E82505" w:rsidRDefault="00FC2FB8" w:rsidP="00FC2FB8">
      <w:pPr>
        <w:jc w:val="both"/>
        <w:rPr>
          <w:rFonts w:cs="Arial"/>
          <w:color w:val="000000"/>
        </w:rPr>
      </w:pPr>
    </w:p>
    <w:p w:rsidR="00FC2FB8" w:rsidRPr="00E82505" w:rsidRDefault="00FC2FB8" w:rsidP="00FC2FB8">
      <w:pPr>
        <w:jc w:val="both"/>
        <w:rPr>
          <w:rFonts w:cs="Arial"/>
          <w:color w:val="000000"/>
        </w:rPr>
      </w:pPr>
      <w:r w:rsidRPr="00E82505">
        <w:rPr>
          <w:rFonts w:cs="Arial"/>
          <w:color w:val="000000"/>
        </w:rPr>
        <w:t>Da ingen i virksomhedens ledelse er anført i dette register, kan der meddeles godkendelse uden særlige vilkår om sikkerhedsstillelse.</w:t>
      </w:r>
    </w:p>
    <w:p w:rsidR="00FC2FB8" w:rsidRPr="00E82505" w:rsidRDefault="00FC2FB8" w:rsidP="00FC2FB8">
      <w:pPr>
        <w:jc w:val="both"/>
        <w:rPr>
          <w:sz w:val="22"/>
          <w:szCs w:val="22"/>
        </w:rPr>
      </w:pPr>
    </w:p>
    <w:p w:rsidR="00FC2FB8" w:rsidRPr="00E82505" w:rsidRDefault="00FC2FB8" w:rsidP="005058B1">
      <w:pPr>
        <w:pStyle w:val="Listeafsnit"/>
        <w:rPr>
          <w:sz w:val="22"/>
          <w:szCs w:val="22"/>
          <w:lang w:val="en-GB"/>
        </w:rPr>
      </w:pPr>
    </w:p>
    <w:p w:rsidR="005058B1" w:rsidRDefault="005058B1" w:rsidP="00FC2FB8">
      <w:pPr>
        <w:rPr>
          <w:lang w:val="en-GB"/>
        </w:rPr>
      </w:pPr>
    </w:p>
    <w:p w:rsidR="00FC2FB8" w:rsidRPr="00B901A7" w:rsidRDefault="00B901A7" w:rsidP="00B901A7">
      <w:pPr>
        <w:pStyle w:val="Listeafsnit"/>
        <w:numPr>
          <w:ilvl w:val="0"/>
          <w:numId w:val="9"/>
        </w:numPr>
        <w:rPr>
          <w:b/>
          <w:lang w:val="en-GB"/>
        </w:rPr>
      </w:pPr>
      <w:r w:rsidRPr="00B901A7">
        <w:rPr>
          <w:b/>
          <w:lang w:val="en-GB"/>
        </w:rPr>
        <w:t>Lovgrundlag</w:t>
      </w:r>
    </w:p>
    <w:p w:rsidR="00B901A7" w:rsidRDefault="00B901A7" w:rsidP="00BC1A25">
      <w:pPr>
        <w:pStyle w:val="Talliste"/>
        <w:numPr>
          <w:ilvl w:val="0"/>
          <w:numId w:val="0"/>
        </w:numPr>
      </w:pPr>
    </w:p>
    <w:p w:rsidR="00517F91" w:rsidRPr="00517F91" w:rsidRDefault="00517F91" w:rsidP="00BC1A25">
      <w:pPr>
        <w:pStyle w:val="Talliste"/>
        <w:numPr>
          <w:ilvl w:val="0"/>
          <w:numId w:val="0"/>
        </w:numPr>
        <w:rPr>
          <w:sz w:val="24"/>
        </w:rPr>
      </w:pPr>
      <w:r w:rsidRPr="00517F91">
        <w:rPr>
          <w:sz w:val="24"/>
        </w:rPr>
        <w:t>Miljøbeskyttelsesloven</w:t>
      </w:r>
    </w:p>
    <w:p w:rsidR="00B901A7" w:rsidRDefault="00B901A7" w:rsidP="00BC1A25">
      <w:pPr>
        <w:pStyle w:val="Talliste"/>
        <w:numPr>
          <w:ilvl w:val="0"/>
          <w:numId w:val="0"/>
        </w:numPr>
        <w:rPr>
          <w:sz w:val="24"/>
        </w:rPr>
      </w:pPr>
      <w:r w:rsidRPr="00B901A7">
        <w:rPr>
          <w:sz w:val="24"/>
        </w:rPr>
        <w:t xml:space="preserve">Virksomheden har en gældende miljøgodkendelse fra </w:t>
      </w:r>
      <w:r>
        <w:rPr>
          <w:sz w:val="24"/>
        </w:rPr>
        <w:lastRenderedPageBreak/>
        <w:t>2012. Senere i 2019 er spildevandstilladelsen revideret. Nærværende dokument er derfor et tillæg til godkendelsen meddelt i 2012, som fortsat er gældende</w:t>
      </w:r>
      <w:r w:rsidR="00517F91">
        <w:rPr>
          <w:sz w:val="24"/>
        </w:rPr>
        <w:t>, ligesom spildevandstilladelsen fra 2019 også fortsat er gældende.</w:t>
      </w:r>
    </w:p>
    <w:p w:rsidR="00012B5B" w:rsidRDefault="00B901A7" w:rsidP="00BC1A25">
      <w:pPr>
        <w:pStyle w:val="Talliste"/>
        <w:numPr>
          <w:ilvl w:val="0"/>
          <w:numId w:val="0"/>
        </w:numPr>
        <w:rPr>
          <w:sz w:val="24"/>
        </w:rPr>
      </w:pPr>
      <w:r>
        <w:rPr>
          <w:sz w:val="24"/>
        </w:rPr>
        <w:lastRenderedPageBreak/>
        <w:t>Tillæg</w:t>
      </w:r>
      <w:r w:rsidR="001541A2">
        <w:rPr>
          <w:sz w:val="24"/>
        </w:rPr>
        <w:t>g</w:t>
      </w:r>
      <w:r>
        <w:rPr>
          <w:sz w:val="24"/>
        </w:rPr>
        <w:t xml:space="preserve">et meddeles </w:t>
      </w:r>
      <w:r w:rsidR="001541A2">
        <w:rPr>
          <w:sz w:val="24"/>
        </w:rPr>
        <w:t xml:space="preserve">til ændring af </w:t>
      </w:r>
      <w:r w:rsidR="00012B5B">
        <w:rPr>
          <w:sz w:val="24"/>
        </w:rPr>
        <w:t>gasbrændere til oliebrændere og til etablering af 50 m</w:t>
      </w:r>
      <w:r w:rsidR="00012B5B" w:rsidRPr="00012B5B">
        <w:rPr>
          <w:sz w:val="24"/>
          <w:vertAlign w:val="superscript"/>
        </w:rPr>
        <w:t xml:space="preserve">3 </w:t>
      </w:r>
      <w:r w:rsidR="00012B5B">
        <w:rPr>
          <w:sz w:val="24"/>
        </w:rPr>
        <w:t>olietank til fyringsolie.</w:t>
      </w:r>
    </w:p>
    <w:p w:rsidR="00012B5B" w:rsidRDefault="00012B5B" w:rsidP="00BC1A25">
      <w:pPr>
        <w:pStyle w:val="Talliste"/>
        <w:numPr>
          <w:ilvl w:val="0"/>
          <w:numId w:val="0"/>
        </w:numPr>
        <w:rPr>
          <w:i/>
          <w:sz w:val="24"/>
        </w:rPr>
      </w:pPr>
      <w:r>
        <w:rPr>
          <w:sz w:val="24"/>
        </w:rPr>
        <w:t>Virksomhedens eksisterende godkendelse er givet efter god</w:t>
      </w:r>
      <w:r>
        <w:rPr>
          <w:sz w:val="24"/>
        </w:rPr>
        <w:lastRenderedPageBreak/>
        <w:t>kendelsesbekendtgørelsens bilag 2, pkt. G201</w:t>
      </w:r>
      <w:r w:rsidRPr="00012B5B">
        <w:rPr>
          <w:sz w:val="24"/>
        </w:rPr>
        <w:t xml:space="preserve">: </w:t>
      </w:r>
      <w:r>
        <w:rPr>
          <w:sz w:val="24"/>
        </w:rPr>
        <w:t>”</w:t>
      </w:r>
      <w:r w:rsidRPr="00012B5B">
        <w:rPr>
          <w:i/>
          <w:sz w:val="24"/>
        </w:rPr>
        <w:t>Kraftproducerende anlæg, varmeproducerende anlæg, gasturbineanlæg og gasmotoranlæg med en samlet indfyret effekt på mellem 5 MW og 50 MW”</w:t>
      </w:r>
    </w:p>
    <w:p w:rsidR="00517F91" w:rsidRPr="00517F91" w:rsidRDefault="00517F91" w:rsidP="00BC1A25">
      <w:pPr>
        <w:pStyle w:val="Talliste"/>
        <w:numPr>
          <w:ilvl w:val="0"/>
          <w:numId w:val="0"/>
        </w:numPr>
        <w:rPr>
          <w:sz w:val="24"/>
        </w:rPr>
      </w:pPr>
      <w:r>
        <w:rPr>
          <w:sz w:val="24"/>
        </w:rPr>
        <w:lastRenderedPageBreak/>
        <w:t>Tillægget meddeles også efter dette listepunkt. Der anvendes standardvilkår, hvor det er relevant</w:t>
      </w:r>
      <w:r w:rsidR="00433FC3">
        <w:rPr>
          <w:sz w:val="24"/>
        </w:rPr>
        <w:t>,</w:t>
      </w:r>
      <w:r>
        <w:rPr>
          <w:sz w:val="24"/>
        </w:rPr>
        <w:t xml:space="preserve"> og der indsættes vilkår udover standardvilkårene, hvor det er relevant.</w:t>
      </w:r>
    </w:p>
    <w:p w:rsidR="00517F91" w:rsidRDefault="00012B5B" w:rsidP="00BC1A25">
      <w:pPr>
        <w:pStyle w:val="Talliste"/>
        <w:numPr>
          <w:ilvl w:val="0"/>
          <w:numId w:val="0"/>
        </w:numPr>
        <w:rPr>
          <w:sz w:val="24"/>
        </w:rPr>
      </w:pPr>
      <w:r>
        <w:rPr>
          <w:sz w:val="24"/>
        </w:rPr>
        <w:lastRenderedPageBreak/>
        <w:t xml:space="preserve">Med tiden vil dette listepunkt udgå og virksomheden vil </w:t>
      </w:r>
      <w:r w:rsidR="00E82505">
        <w:rPr>
          <w:sz w:val="24"/>
        </w:rPr>
        <w:t>derfor</w:t>
      </w:r>
      <w:r>
        <w:rPr>
          <w:sz w:val="24"/>
        </w:rPr>
        <w:t xml:space="preserve"> overgå til at blive reguleret af bekendtgørelse om mellemstore fyringsanlæg.</w:t>
      </w:r>
    </w:p>
    <w:p w:rsidR="00517F91" w:rsidRDefault="00517F91" w:rsidP="00BC1A25">
      <w:pPr>
        <w:pStyle w:val="Talliste"/>
        <w:numPr>
          <w:ilvl w:val="0"/>
          <w:numId w:val="0"/>
        </w:numPr>
        <w:rPr>
          <w:sz w:val="24"/>
        </w:rPr>
      </w:pPr>
    </w:p>
    <w:p w:rsidR="00517F91" w:rsidRDefault="00517F91" w:rsidP="00BC1A25">
      <w:pPr>
        <w:pStyle w:val="Talliste"/>
        <w:numPr>
          <w:ilvl w:val="0"/>
          <w:numId w:val="0"/>
        </w:numPr>
        <w:rPr>
          <w:sz w:val="24"/>
        </w:rPr>
      </w:pPr>
      <w:r>
        <w:rPr>
          <w:sz w:val="24"/>
        </w:rPr>
        <w:lastRenderedPageBreak/>
        <w:t>Miljøvurderingsloven</w:t>
      </w:r>
      <w:r w:rsidR="008B2309">
        <w:rPr>
          <w:rStyle w:val="Fodnotehenvisning"/>
          <w:sz w:val="24"/>
        </w:rPr>
        <w:footnoteReference w:id="7"/>
      </w:r>
    </w:p>
    <w:p w:rsidR="00517F91" w:rsidRDefault="00517F91" w:rsidP="00BC1A25">
      <w:pPr>
        <w:pStyle w:val="Talliste"/>
        <w:numPr>
          <w:ilvl w:val="0"/>
          <w:numId w:val="0"/>
        </w:numPr>
        <w:rPr>
          <w:sz w:val="24"/>
        </w:rPr>
      </w:pPr>
      <w:r>
        <w:rPr>
          <w:sz w:val="24"/>
        </w:rPr>
        <w:t xml:space="preserve">Aktiviteten er at finde på bilag to i miljøvurderingsloven. Ansøger har derfor udfyldt et </w:t>
      </w:r>
      <w:r>
        <w:rPr>
          <w:sz w:val="24"/>
        </w:rPr>
        <w:lastRenderedPageBreak/>
        <w:t xml:space="preserve">screeningsskema for afklaring af miljøpåvirkningen. Assens Kommune har vurderet screeningen og fundet at den er foretaget fyldestgørende og korrekt. Assens Kommune afgør </w:t>
      </w:r>
      <w:r>
        <w:rPr>
          <w:sz w:val="24"/>
        </w:rPr>
        <w:lastRenderedPageBreak/>
        <w:t>derfor, at der ikke skal udarbejdes en miljøkonsekvensrapport for projektet.</w:t>
      </w:r>
    </w:p>
    <w:p w:rsidR="00433FC3" w:rsidRDefault="00433FC3" w:rsidP="00BC1A25">
      <w:pPr>
        <w:pStyle w:val="Talliste"/>
        <w:numPr>
          <w:ilvl w:val="0"/>
          <w:numId w:val="0"/>
        </w:numPr>
        <w:rPr>
          <w:sz w:val="24"/>
        </w:rPr>
      </w:pPr>
    </w:p>
    <w:p w:rsidR="008B2309" w:rsidRDefault="008B2309" w:rsidP="00433FC3">
      <w:pPr>
        <w:jc w:val="both"/>
      </w:pPr>
      <w:r>
        <w:t>Brugerbetalingsbekendtgørelsen</w:t>
      </w:r>
    </w:p>
    <w:p w:rsidR="008B2309" w:rsidRDefault="008B2309" w:rsidP="00433FC3">
      <w:pPr>
        <w:jc w:val="both"/>
      </w:pPr>
    </w:p>
    <w:p w:rsidR="00433FC3" w:rsidRPr="00163221" w:rsidRDefault="00433FC3" w:rsidP="00433FC3">
      <w:pPr>
        <w:jc w:val="both"/>
      </w:pPr>
      <w:r w:rsidRPr="00163221">
        <w:lastRenderedPageBreak/>
        <w:t>Virksomheden er omfattet af bekendtgørelse om brugerbetaling</w:t>
      </w:r>
      <w:r w:rsidRPr="00163221">
        <w:rPr>
          <w:rStyle w:val="Fodnotehenvisning"/>
        </w:rPr>
        <w:footnoteReference w:id="8"/>
      </w:r>
      <w:r w:rsidRPr="00163221">
        <w:t>. Dette medfører, at virk</w:t>
      </w:r>
      <w:r w:rsidRPr="00163221">
        <w:lastRenderedPageBreak/>
        <w:t>somheden skal betale brugerbetaling til kommunen pr. forbrugt time til tilsyn og godkendelse. I 20</w:t>
      </w:r>
      <w:r w:rsidR="00163221" w:rsidRPr="00163221">
        <w:t>22</w:t>
      </w:r>
      <w:r w:rsidRPr="00163221">
        <w:t xml:space="preserve"> udgør brugerbetalingen </w:t>
      </w:r>
      <w:r w:rsidR="00163221" w:rsidRPr="00163221">
        <w:t>440,78</w:t>
      </w:r>
      <w:r w:rsidRPr="00163221">
        <w:t xml:space="preserve"> kr. pr. time.</w:t>
      </w:r>
    </w:p>
    <w:p w:rsidR="00433FC3" w:rsidRDefault="00433FC3" w:rsidP="00433FC3">
      <w:pPr>
        <w:jc w:val="both"/>
      </w:pPr>
    </w:p>
    <w:p w:rsidR="00433FC3" w:rsidRDefault="00433FC3" w:rsidP="00BC1A25">
      <w:pPr>
        <w:pStyle w:val="Talliste"/>
        <w:numPr>
          <w:ilvl w:val="0"/>
          <w:numId w:val="0"/>
        </w:numPr>
        <w:rPr>
          <w:sz w:val="24"/>
        </w:rPr>
      </w:pPr>
    </w:p>
    <w:p w:rsidR="008B2309" w:rsidRDefault="008B2309" w:rsidP="008B2309">
      <w:pPr>
        <w:pStyle w:val="Talliste"/>
        <w:numPr>
          <w:ilvl w:val="0"/>
          <w:numId w:val="9"/>
        </w:numPr>
        <w:rPr>
          <w:sz w:val="24"/>
        </w:rPr>
      </w:pPr>
      <w:r w:rsidRPr="008B2309">
        <w:rPr>
          <w:b/>
          <w:sz w:val="24"/>
        </w:rPr>
        <w:lastRenderedPageBreak/>
        <w:t>Sagsakter</w:t>
      </w:r>
    </w:p>
    <w:p w:rsidR="008B2309" w:rsidRDefault="008B2309" w:rsidP="008B2309">
      <w:pPr>
        <w:pStyle w:val="Talliste"/>
        <w:numPr>
          <w:ilvl w:val="0"/>
          <w:numId w:val="0"/>
        </w:numPr>
        <w:rPr>
          <w:sz w:val="24"/>
        </w:rPr>
      </w:pPr>
      <w:r>
        <w:rPr>
          <w:sz w:val="24"/>
        </w:rPr>
        <w:t>Ansøgningsmateriale indsendt via Bygogmiljoe.dk</w:t>
      </w:r>
    </w:p>
    <w:p w:rsidR="008B2309" w:rsidRDefault="008B2309" w:rsidP="008B2309">
      <w:pPr>
        <w:pStyle w:val="Talliste"/>
        <w:numPr>
          <w:ilvl w:val="0"/>
          <w:numId w:val="10"/>
        </w:numPr>
        <w:rPr>
          <w:sz w:val="24"/>
        </w:rPr>
      </w:pPr>
      <w:r>
        <w:rPr>
          <w:sz w:val="24"/>
        </w:rPr>
        <w:t>Herunder OML-beregning samt oversigtstegninger.</w:t>
      </w:r>
    </w:p>
    <w:p w:rsidR="008B2309" w:rsidRDefault="008B2309" w:rsidP="008B2309">
      <w:pPr>
        <w:pStyle w:val="Talliste"/>
        <w:numPr>
          <w:ilvl w:val="0"/>
          <w:numId w:val="0"/>
        </w:numPr>
        <w:ind w:left="360" w:hanging="360"/>
        <w:rPr>
          <w:sz w:val="24"/>
        </w:rPr>
      </w:pPr>
    </w:p>
    <w:p w:rsidR="009F290D" w:rsidRPr="00FC7DA8" w:rsidRDefault="009F290D" w:rsidP="009F290D">
      <w:pPr>
        <w:pStyle w:val="Talliste"/>
        <w:numPr>
          <w:ilvl w:val="0"/>
          <w:numId w:val="9"/>
        </w:numPr>
        <w:rPr>
          <w:b/>
          <w:sz w:val="24"/>
        </w:rPr>
      </w:pPr>
      <w:r w:rsidRPr="00FC7DA8">
        <w:rPr>
          <w:b/>
          <w:sz w:val="24"/>
        </w:rPr>
        <w:lastRenderedPageBreak/>
        <w:t>Virksomhedens energianlæg</w:t>
      </w:r>
      <w:r w:rsidR="009E310E" w:rsidRPr="00FC7DA8">
        <w:rPr>
          <w:b/>
          <w:sz w:val="24"/>
        </w:rPr>
        <w:t xml:space="preserve"> </w:t>
      </w:r>
      <w:r w:rsidRPr="00FC7DA8">
        <w:rPr>
          <w:b/>
          <w:sz w:val="24"/>
        </w:rPr>
        <w:t>omfatter</w:t>
      </w:r>
    </w:p>
    <w:tbl>
      <w:tblPr>
        <w:tblStyle w:val="Tabel-Gitter"/>
        <w:tblW w:w="0" w:type="auto"/>
        <w:tblLook w:val="01E0" w:firstRow="1" w:lastRow="1" w:firstColumn="1" w:lastColumn="1" w:noHBand="0" w:noVBand="0"/>
      </w:tblPr>
      <w:tblGrid>
        <w:gridCol w:w="6048"/>
        <w:gridCol w:w="2595"/>
      </w:tblGrid>
      <w:tr w:rsidR="009F290D" w:rsidRPr="00FC7DA8" w:rsidTr="00323751">
        <w:tc>
          <w:tcPr>
            <w:tcW w:w="6048" w:type="dxa"/>
          </w:tcPr>
          <w:p w:rsidR="009F290D" w:rsidRPr="00FC7DA8" w:rsidRDefault="009F290D" w:rsidP="00323751">
            <w:pPr>
              <w:jc w:val="center"/>
              <w:rPr>
                <w:b/>
                <w:sz w:val="22"/>
                <w:szCs w:val="22"/>
              </w:rPr>
            </w:pPr>
          </w:p>
          <w:p w:rsidR="009F290D" w:rsidRPr="00FC7DA8" w:rsidRDefault="000E6961" w:rsidP="000E6961">
            <w:pPr>
              <w:jc w:val="center"/>
              <w:rPr>
                <w:b/>
                <w:sz w:val="22"/>
                <w:szCs w:val="22"/>
              </w:rPr>
            </w:pPr>
            <w:r w:rsidRPr="00FC7DA8">
              <w:rPr>
                <w:b/>
                <w:sz w:val="22"/>
                <w:szCs w:val="22"/>
              </w:rPr>
              <w:t>Fyringsanlæg til naturgas og fyringsolie</w:t>
            </w:r>
          </w:p>
          <w:p w:rsidR="009F290D" w:rsidRPr="00FC7DA8" w:rsidRDefault="009F290D" w:rsidP="00323751">
            <w:pPr>
              <w:jc w:val="center"/>
              <w:rPr>
                <w:b/>
                <w:sz w:val="22"/>
                <w:szCs w:val="22"/>
              </w:rPr>
            </w:pPr>
          </w:p>
        </w:tc>
        <w:tc>
          <w:tcPr>
            <w:tcW w:w="2595" w:type="dxa"/>
          </w:tcPr>
          <w:p w:rsidR="009F290D" w:rsidRPr="00FC7DA8" w:rsidRDefault="009F290D" w:rsidP="00323751">
            <w:pPr>
              <w:jc w:val="center"/>
              <w:rPr>
                <w:b/>
                <w:sz w:val="22"/>
                <w:szCs w:val="22"/>
              </w:rPr>
            </w:pPr>
          </w:p>
          <w:p w:rsidR="009F290D" w:rsidRPr="00FC7DA8" w:rsidRDefault="009F290D" w:rsidP="00323751">
            <w:pPr>
              <w:jc w:val="center"/>
              <w:rPr>
                <w:b/>
                <w:sz w:val="22"/>
                <w:szCs w:val="22"/>
              </w:rPr>
            </w:pPr>
            <w:r w:rsidRPr="00FC7DA8">
              <w:rPr>
                <w:b/>
                <w:sz w:val="22"/>
                <w:szCs w:val="22"/>
              </w:rPr>
              <w:t>Maximaleffekt</w:t>
            </w:r>
          </w:p>
        </w:tc>
      </w:tr>
      <w:tr w:rsidR="009F290D" w:rsidRPr="00FC7DA8" w:rsidTr="00323751">
        <w:tc>
          <w:tcPr>
            <w:tcW w:w="6048" w:type="dxa"/>
          </w:tcPr>
          <w:p w:rsidR="009F290D" w:rsidRPr="00FC7DA8" w:rsidRDefault="009F290D" w:rsidP="005D2B35">
            <w:pPr>
              <w:jc w:val="both"/>
              <w:rPr>
                <w:sz w:val="22"/>
                <w:szCs w:val="22"/>
              </w:rPr>
            </w:pPr>
            <w:r w:rsidRPr="00FC7DA8">
              <w:t xml:space="preserve">Centralt dampgenerende </w:t>
            </w:r>
            <w:r w:rsidR="005D2B35" w:rsidRPr="00FC7DA8">
              <w:t>fyr</w:t>
            </w:r>
          </w:p>
        </w:tc>
        <w:tc>
          <w:tcPr>
            <w:tcW w:w="2595" w:type="dxa"/>
          </w:tcPr>
          <w:p w:rsidR="009F290D" w:rsidRPr="00FC7DA8" w:rsidRDefault="000E6961" w:rsidP="00486850">
            <w:pPr>
              <w:jc w:val="center"/>
              <w:rPr>
                <w:sz w:val="22"/>
                <w:szCs w:val="22"/>
              </w:rPr>
            </w:pPr>
            <w:r w:rsidRPr="00FC7DA8">
              <w:rPr>
                <w:sz w:val="22"/>
                <w:szCs w:val="22"/>
              </w:rPr>
              <w:t xml:space="preserve">4,8 MW </w:t>
            </w:r>
          </w:p>
        </w:tc>
      </w:tr>
      <w:tr w:rsidR="009F290D" w:rsidRPr="00FC7DA8" w:rsidTr="00323751">
        <w:tc>
          <w:tcPr>
            <w:tcW w:w="6048" w:type="dxa"/>
          </w:tcPr>
          <w:p w:rsidR="009F290D" w:rsidRPr="00FC7DA8" w:rsidRDefault="000E6961" w:rsidP="00323751">
            <w:pPr>
              <w:jc w:val="both"/>
              <w:rPr>
                <w:sz w:val="22"/>
                <w:szCs w:val="22"/>
              </w:rPr>
            </w:pPr>
            <w:r w:rsidRPr="00FC7DA8">
              <w:rPr>
                <w:sz w:val="22"/>
                <w:szCs w:val="22"/>
              </w:rPr>
              <w:t>Tårn 3</w:t>
            </w:r>
          </w:p>
        </w:tc>
        <w:tc>
          <w:tcPr>
            <w:tcW w:w="2595" w:type="dxa"/>
          </w:tcPr>
          <w:p w:rsidR="009F290D" w:rsidRPr="00FC7DA8" w:rsidRDefault="000E6961" w:rsidP="00323751">
            <w:pPr>
              <w:jc w:val="center"/>
              <w:rPr>
                <w:sz w:val="22"/>
                <w:szCs w:val="22"/>
              </w:rPr>
            </w:pPr>
            <w:r w:rsidRPr="00FC7DA8">
              <w:rPr>
                <w:sz w:val="22"/>
                <w:szCs w:val="22"/>
              </w:rPr>
              <w:t>1,5</w:t>
            </w:r>
            <w:r w:rsidR="009F290D" w:rsidRPr="00FC7DA8">
              <w:rPr>
                <w:sz w:val="22"/>
                <w:szCs w:val="22"/>
              </w:rPr>
              <w:t xml:space="preserve"> MW</w:t>
            </w:r>
          </w:p>
        </w:tc>
      </w:tr>
      <w:tr w:rsidR="009F290D" w:rsidRPr="00FC7DA8" w:rsidTr="00323751">
        <w:tc>
          <w:tcPr>
            <w:tcW w:w="6048" w:type="dxa"/>
          </w:tcPr>
          <w:p w:rsidR="009F290D" w:rsidRPr="00FC7DA8" w:rsidRDefault="000E6961" w:rsidP="00323751">
            <w:pPr>
              <w:jc w:val="both"/>
              <w:rPr>
                <w:sz w:val="22"/>
                <w:szCs w:val="22"/>
              </w:rPr>
            </w:pPr>
            <w:r w:rsidRPr="00FC7DA8">
              <w:rPr>
                <w:sz w:val="22"/>
                <w:szCs w:val="22"/>
              </w:rPr>
              <w:t>Tårn 4</w:t>
            </w:r>
          </w:p>
        </w:tc>
        <w:tc>
          <w:tcPr>
            <w:tcW w:w="2595" w:type="dxa"/>
          </w:tcPr>
          <w:p w:rsidR="009F290D" w:rsidRPr="00FC7DA8" w:rsidRDefault="000E6961" w:rsidP="00323751">
            <w:pPr>
              <w:jc w:val="center"/>
              <w:rPr>
                <w:sz w:val="22"/>
                <w:szCs w:val="22"/>
              </w:rPr>
            </w:pPr>
            <w:r w:rsidRPr="00FC7DA8">
              <w:t>1,2</w:t>
            </w:r>
            <w:r w:rsidR="009F290D" w:rsidRPr="00FC7DA8">
              <w:t xml:space="preserve"> MW</w:t>
            </w:r>
          </w:p>
        </w:tc>
      </w:tr>
      <w:tr w:rsidR="005D2B35" w:rsidRPr="00FC7DA8" w:rsidTr="00323751">
        <w:tc>
          <w:tcPr>
            <w:tcW w:w="6048" w:type="dxa"/>
          </w:tcPr>
          <w:p w:rsidR="005D2B35" w:rsidRPr="00FC7DA8" w:rsidRDefault="005D2B35" w:rsidP="00323751">
            <w:pPr>
              <w:jc w:val="both"/>
              <w:rPr>
                <w:b/>
                <w:sz w:val="22"/>
                <w:szCs w:val="22"/>
              </w:rPr>
            </w:pPr>
            <w:r w:rsidRPr="00FC7DA8">
              <w:rPr>
                <w:b/>
                <w:sz w:val="22"/>
                <w:szCs w:val="22"/>
              </w:rPr>
              <w:t>Samlet indfyret effekt</w:t>
            </w:r>
          </w:p>
        </w:tc>
        <w:tc>
          <w:tcPr>
            <w:tcW w:w="2595" w:type="dxa"/>
          </w:tcPr>
          <w:p w:rsidR="005D2B35" w:rsidRPr="00FC7DA8" w:rsidRDefault="005D2B35" w:rsidP="00323751">
            <w:pPr>
              <w:jc w:val="center"/>
              <w:rPr>
                <w:b/>
              </w:rPr>
            </w:pPr>
            <w:r w:rsidRPr="00FC7DA8">
              <w:rPr>
                <w:b/>
              </w:rPr>
              <w:t>7,5 MW</w:t>
            </w:r>
          </w:p>
        </w:tc>
      </w:tr>
      <w:tr w:rsidR="000E6961" w:rsidRPr="00FC7DA8" w:rsidTr="00323751">
        <w:tc>
          <w:tcPr>
            <w:tcW w:w="6048" w:type="dxa"/>
          </w:tcPr>
          <w:p w:rsidR="000E6961" w:rsidRPr="00FC7DA8" w:rsidRDefault="000E6961" w:rsidP="000E6961">
            <w:pPr>
              <w:jc w:val="center"/>
              <w:rPr>
                <w:b/>
                <w:sz w:val="22"/>
                <w:szCs w:val="22"/>
              </w:rPr>
            </w:pPr>
            <w:r w:rsidRPr="00FC7DA8">
              <w:rPr>
                <w:b/>
                <w:sz w:val="22"/>
                <w:szCs w:val="22"/>
              </w:rPr>
              <w:t>Fyringsanlæg til gas, forbliver på gas</w:t>
            </w:r>
          </w:p>
        </w:tc>
        <w:tc>
          <w:tcPr>
            <w:tcW w:w="2595" w:type="dxa"/>
          </w:tcPr>
          <w:p w:rsidR="000E6961" w:rsidRPr="00FC7DA8" w:rsidRDefault="000E6961" w:rsidP="00323751">
            <w:pPr>
              <w:jc w:val="center"/>
              <w:rPr>
                <w:b/>
              </w:rPr>
            </w:pPr>
          </w:p>
        </w:tc>
      </w:tr>
      <w:tr w:rsidR="009F290D" w:rsidRPr="00FC7DA8" w:rsidTr="00323751">
        <w:tc>
          <w:tcPr>
            <w:tcW w:w="6048" w:type="dxa"/>
          </w:tcPr>
          <w:p w:rsidR="009F290D" w:rsidRPr="00FC7DA8" w:rsidRDefault="009F290D" w:rsidP="00323751">
            <w:pPr>
              <w:jc w:val="both"/>
              <w:rPr>
                <w:sz w:val="22"/>
                <w:szCs w:val="22"/>
              </w:rPr>
            </w:pPr>
            <w:r w:rsidRPr="00FC7DA8">
              <w:t>2*2 stk. villagasfyr i henholdsvis administration og laboratorium</w:t>
            </w:r>
          </w:p>
        </w:tc>
        <w:tc>
          <w:tcPr>
            <w:tcW w:w="2595" w:type="dxa"/>
          </w:tcPr>
          <w:p w:rsidR="009F290D" w:rsidRPr="00FC7DA8" w:rsidRDefault="009F290D" w:rsidP="00323751">
            <w:pPr>
              <w:jc w:val="center"/>
              <w:rPr>
                <w:sz w:val="22"/>
                <w:szCs w:val="22"/>
              </w:rPr>
            </w:pPr>
            <w:r w:rsidRPr="00FC7DA8">
              <w:rPr>
                <w:sz w:val="22"/>
                <w:szCs w:val="22"/>
              </w:rPr>
              <w:t>-</w:t>
            </w:r>
          </w:p>
        </w:tc>
      </w:tr>
      <w:tr w:rsidR="009F290D" w:rsidRPr="004A0F52" w:rsidTr="00323751">
        <w:tc>
          <w:tcPr>
            <w:tcW w:w="6048" w:type="dxa"/>
          </w:tcPr>
          <w:p w:rsidR="009F290D" w:rsidRPr="00FC7DA8" w:rsidRDefault="009F290D" w:rsidP="00323751">
            <w:pPr>
              <w:jc w:val="both"/>
              <w:rPr>
                <w:sz w:val="22"/>
                <w:szCs w:val="22"/>
              </w:rPr>
            </w:pPr>
            <w:r w:rsidRPr="00FC7DA8">
              <w:rPr>
                <w:sz w:val="22"/>
                <w:szCs w:val="22"/>
              </w:rPr>
              <w:t>3 små centrale fyr placeret på færdigvarelager</w:t>
            </w:r>
          </w:p>
        </w:tc>
        <w:tc>
          <w:tcPr>
            <w:tcW w:w="2595" w:type="dxa"/>
          </w:tcPr>
          <w:p w:rsidR="009F290D" w:rsidRPr="00FC7DA8" w:rsidRDefault="009F290D" w:rsidP="00323751">
            <w:pPr>
              <w:jc w:val="center"/>
              <w:rPr>
                <w:sz w:val="22"/>
                <w:szCs w:val="22"/>
              </w:rPr>
            </w:pPr>
            <w:r w:rsidRPr="00FC7DA8">
              <w:rPr>
                <w:sz w:val="22"/>
                <w:szCs w:val="22"/>
              </w:rPr>
              <w:t>-</w:t>
            </w:r>
          </w:p>
        </w:tc>
      </w:tr>
    </w:tbl>
    <w:p w:rsidR="004A0F52" w:rsidRPr="004330B7" w:rsidRDefault="00FC7DA8" w:rsidP="004A0F52">
      <w:pPr>
        <w:pStyle w:val="Talliste"/>
        <w:numPr>
          <w:ilvl w:val="0"/>
          <w:numId w:val="0"/>
        </w:numPr>
        <w:ind w:left="360" w:hanging="360"/>
        <w:rPr>
          <w:sz w:val="24"/>
        </w:rPr>
      </w:pPr>
      <w:r w:rsidRPr="004330B7">
        <w:rPr>
          <w:sz w:val="24"/>
        </w:rPr>
        <w:tab/>
      </w:r>
    </w:p>
    <w:p w:rsidR="004A0F52" w:rsidRDefault="00AC4415" w:rsidP="00AC4415">
      <w:pPr>
        <w:pStyle w:val="Talliste"/>
        <w:numPr>
          <w:ilvl w:val="0"/>
          <w:numId w:val="9"/>
        </w:numPr>
        <w:rPr>
          <w:b/>
          <w:sz w:val="24"/>
        </w:rPr>
      </w:pPr>
      <w:r w:rsidRPr="00AC4415">
        <w:rPr>
          <w:b/>
          <w:sz w:val="24"/>
        </w:rPr>
        <w:t>Miljøteknisk vurdering</w:t>
      </w:r>
    </w:p>
    <w:p w:rsidR="0038615B" w:rsidRDefault="0038615B" w:rsidP="0038615B">
      <w:pPr>
        <w:pStyle w:val="Talliste"/>
        <w:numPr>
          <w:ilvl w:val="0"/>
          <w:numId w:val="0"/>
        </w:numPr>
        <w:ind w:left="360" w:hanging="360"/>
        <w:rPr>
          <w:b/>
          <w:sz w:val="24"/>
        </w:rPr>
      </w:pPr>
      <w:r>
        <w:rPr>
          <w:b/>
          <w:sz w:val="24"/>
        </w:rPr>
        <w:lastRenderedPageBreak/>
        <w:t>Jord, grundvand og overfladevand</w:t>
      </w:r>
    </w:p>
    <w:p w:rsidR="0038615B" w:rsidRPr="0038615B" w:rsidRDefault="0038615B" w:rsidP="00CB6A63">
      <w:pPr>
        <w:pStyle w:val="Talliste"/>
        <w:numPr>
          <w:ilvl w:val="0"/>
          <w:numId w:val="0"/>
        </w:numPr>
        <w:ind w:left="360"/>
        <w:rPr>
          <w:sz w:val="24"/>
        </w:rPr>
      </w:pPr>
      <w:r>
        <w:rPr>
          <w:sz w:val="24"/>
        </w:rPr>
        <w:t>Installationen af 50 m</w:t>
      </w:r>
      <w:r w:rsidRPr="0038615B">
        <w:rPr>
          <w:sz w:val="24"/>
          <w:vertAlign w:val="superscript"/>
        </w:rPr>
        <w:t>3</w:t>
      </w:r>
      <w:r>
        <w:rPr>
          <w:sz w:val="24"/>
        </w:rPr>
        <w:t xml:space="preserve"> fyringsolietank skal for både tank samt for rørføringer overholde bestemmelserne i olietankbekendtgørelsen. Ud</w:t>
      </w:r>
      <w:r w:rsidR="00284BC3">
        <w:rPr>
          <w:sz w:val="24"/>
        </w:rPr>
        <w:t xml:space="preserve"> </w:t>
      </w:r>
      <w:r>
        <w:rPr>
          <w:sz w:val="24"/>
        </w:rPr>
        <w:lastRenderedPageBreak/>
        <w:t>over disse bestemmelser fastsættes vilkår til sikring af jord og grundvand. Tanken</w:t>
      </w:r>
      <w:r w:rsidR="00C50621">
        <w:rPr>
          <w:sz w:val="24"/>
        </w:rPr>
        <w:t xml:space="preserve"> etableres på fast belægning og med spildbakke, som afproppes i forbindelse med påfyldning af tanken. Assens Kommune vurdere</w:t>
      </w:r>
      <w:r w:rsidR="00CB6A63">
        <w:rPr>
          <w:sz w:val="24"/>
        </w:rPr>
        <w:t>r</w:t>
      </w:r>
      <w:r w:rsidR="00C50621">
        <w:rPr>
          <w:sz w:val="24"/>
        </w:rPr>
        <w:t xml:space="preserve"> at overfladevandet </w:t>
      </w:r>
      <w:r w:rsidR="00C50621">
        <w:rPr>
          <w:sz w:val="24"/>
        </w:rPr>
        <w:lastRenderedPageBreak/>
        <w:t>fra pladsen kan løbe af ved naturlig afstrømning til omkringliggende græsarealer. Sker der spild i forbindelse med påfyldning, skal spildet staks opsamles med kattegrus eller lignende og bortskaffes som farligt affald.</w:t>
      </w:r>
    </w:p>
    <w:p w:rsidR="004A0F52" w:rsidRPr="00AC4415" w:rsidRDefault="00AC4415" w:rsidP="004A0F52">
      <w:pPr>
        <w:pStyle w:val="Talliste"/>
        <w:numPr>
          <w:ilvl w:val="0"/>
          <w:numId w:val="0"/>
        </w:numPr>
        <w:ind w:left="360" w:hanging="360"/>
        <w:rPr>
          <w:b/>
          <w:sz w:val="24"/>
        </w:rPr>
      </w:pPr>
      <w:r w:rsidRPr="00AC4415">
        <w:rPr>
          <w:b/>
          <w:sz w:val="24"/>
        </w:rPr>
        <w:lastRenderedPageBreak/>
        <w:t>Luft</w:t>
      </w:r>
    </w:p>
    <w:p w:rsidR="00F12487" w:rsidRDefault="00AC4415" w:rsidP="00247D3B">
      <w:pPr>
        <w:pStyle w:val="Talliste"/>
        <w:numPr>
          <w:ilvl w:val="0"/>
          <w:numId w:val="0"/>
        </w:numPr>
        <w:ind w:left="360"/>
        <w:rPr>
          <w:sz w:val="24"/>
        </w:rPr>
      </w:pPr>
      <w:r w:rsidRPr="00AC4415">
        <w:rPr>
          <w:sz w:val="24"/>
        </w:rPr>
        <w:t xml:space="preserve">Udskiftning af gasbrændere til </w:t>
      </w:r>
      <w:r w:rsidR="00CB6A63">
        <w:rPr>
          <w:sz w:val="24"/>
        </w:rPr>
        <w:t>brændere, som både kan anvende olie og naturgas,</w:t>
      </w:r>
      <w:r>
        <w:rPr>
          <w:sz w:val="24"/>
        </w:rPr>
        <w:t xml:space="preserve"> og udskiftning af naturgas med fyringsolie</w:t>
      </w:r>
      <w:r w:rsidRPr="00AC4415">
        <w:rPr>
          <w:sz w:val="24"/>
        </w:rPr>
        <w:t xml:space="preserve"> vil bety</w:t>
      </w:r>
      <w:r>
        <w:rPr>
          <w:sz w:val="24"/>
        </w:rPr>
        <w:t>de øget ud</w:t>
      </w:r>
      <w:r>
        <w:rPr>
          <w:sz w:val="24"/>
        </w:rPr>
        <w:lastRenderedPageBreak/>
        <w:t>ledning af NO</w:t>
      </w:r>
      <w:r w:rsidRPr="00F12487">
        <w:rPr>
          <w:sz w:val="24"/>
          <w:vertAlign w:val="subscript"/>
        </w:rPr>
        <w:t>x</w:t>
      </w:r>
      <w:r>
        <w:rPr>
          <w:sz w:val="24"/>
        </w:rPr>
        <w:t xml:space="preserve"> og CO. </w:t>
      </w:r>
      <w:r w:rsidRPr="00AC4415">
        <w:rPr>
          <w:sz w:val="24"/>
        </w:rPr>
        <w:t>Anlægget skal overholde emissionsgrænseværdierne angivet i</w:t>
      </w:r>
      <w:r>
        <w:rPr>
          <w:sz w:val="24"/>
        </w:rPr>
        <w:t xml:space="preserve"> tabel 1 i milj</w:t>
      </w:r>
      <w:r w:rsidRPr="00AC4415">
        <w:rPr>
          <w:sz w:val="24"/>
        </w:rPr>
        <w:t>øgodkendelsen</w:t>
      </w:r>
      <w:r w:rsidRPr="004330B7">
        <w:rPr>
          <w:sz w:val="24"/>
        </w:rPr>
        <w:t xml:space="preserve">. </w:t>
      </w:r>
      <w:r w:rsidR="00951E01" w:rsidRPr="004330B7">
        <w:rPr>
          <w:sz w:val="24"/>
        </w:rPr>
        <w:t xml:space="preserve">Assens Kommune har modtaget en beregning, der viser at disse kan overholdes </w:t>
      </w:r>
      <w:r w:rsidRPr="004330B7">
        <w:rPr>
          <w:sz w:val="24"/>
        </w:rPr>
        <w:t xml:space="preserve">ved en indfyret effekt på maksimalt </w:t>
      </w:r>
      <w:r w:rsidRPr="004330B7">
        <w:rPr>
          <w:sz w:val="24"/>
        </w:rPr>
        <w:lastRenderedPageBreak/>
        <w:t>4,8 MW</w:t>
      </w:r>
      <w:r w:rsidR="000E6961" w:rsidRPr="004330B7">
        <w:rPr>
          <w:sz w:val="24"/>
        </w:rPr>
        <w:t xml:space="preserve"> på dampkedlen</w:t>
      </w:r>
      <w:r w:rsidRPr="004330B7">
        <w:rPr>
          <w:sz w:val="24"/>
        </w:rPr>
        <w:t>.</w:t>
      </w:r>
      <w:r w:rsidR="005D2B35" w:rsidRPr="004330B7">
        <w:rPr>
          <w:sz w:val="24"/>
        </w:rPr>
        <w:t xml:space="preserve"> Samlet indfyret effekt er således maksimalt 7,5 MW.</w:t>
      </w:r>
      <w:r w:rsidRPr="004330B7">
        <w:rPr>
          <w:sz w:val="24"/>
        </w:rPr>
        <w:t xml:space="preserve"> </w:t>
      </w:r>
      <w:r w:rsidR="004330B7" w:rsidRPr="004330B7">
        <w:rPr>
          <w:sz w:val="24"/>
        </w:rPr>
        <w:t>Dampkedlen</w:t>
      </w:r>
      <w:r w:rsidRPr="004330B7">
        <w:rPr>
          <w:sz w:val="24"/>
        </w:rPr>
        <w:t xml:space="preserve"> skal programmeres så</w:t>
      </w:r>
      <w:r>
        <w:rPr>
          <w:sz w:val="24"/>
        </w:rPr>
        <w:t xml:space="preserve"> de</w:t>
      </w:r>
      <w:r w:rsidR="004330B7">
        <w:rPr>
          <w:sz w:val="24"/>
        </w:rPr>
        <w:t>n</w:t>
      </w:r>
      <w:r>
        <w:rPr>
          <w:sz w:val="24"/>
        </w:rPr>
        <w:t xml:space="preserve"> ikke kan drives med en større effekt end </w:t>
      </w:r>
      <w:r w:rsidR="004330B7">
        <w:rPr>
          <w:sz w:val="24"/>
        </w:rPr>
        <w:t>4,8 MW</w:t>
      </w:r>
      <w:r>
        <w:rPr>
          <w:sz w:val="24"/>
        </w:rPr>
        <w:t>, når der fyres med olie.</w:t>
      </w:r>
    </w:p>
    <w:p w:rsidR="00951E01" w:rsidRDefault="00F12487" w:rsidP="00247D3B">
      <w:pPr>
        <w:pStyle w:val="Talliste"/>
        <w:numPr>
          <w:ilvl w:val="0"/>
          <w:numId w:val="0"/>
        </w:numPr>
        <w:ind w:left="360"/>
        <w:rPr>
          <w:sz w:val="24"/>
          <w:vertAlign w:val="superscript"/>
        </w:rPr>
      </w:pPr>
      <w:r w:rsidRPr="00486850">
        <w:rPr>
          <w:sz w:val="24"/>
        </w:rPr>
        <w:lastRenderedPageBreak/>
        <w:t>B-værdierne skal overholdes for NO</w:t>
      </w:r>
      <w:r w:rsidRPr="00486850">
        <w:rPr>
          <w:sz w:val="24"/>
          <w:vertAlign w:val="subscript"/>
        </w:rPr>
        <w:t>x</w:t>
      </w:r>
      <w:r w:rsidRPr="00486850">
        <w:rPr>
          <w:sz w:val="24"/>
        </w:rPr>
        <w:t>, 0,125 mg/m</w:t>
      </w:r>
      <w:r w:rsidRPr="00486850">
        <w:rPr>
          <w:sz w:val="24"/>
          <w:vertAlign w:val="superscript"/>
        </w:rPr>
        <w:t>3</w:t>
      </w:r>
      <w:r w:rsidRPr="00486850">
        <w:rPr>
          <w:sz w:val="24"/>
        </w:rPr>
        <w:t xml:space="preserve"> CO, 1mg/m</w:t>
      </w:r>
      <w:r w:rsidRPr="00486850">
        <w:rPr>
          <w:sz w:val="24"/>
          <w:vertAlign w:val="superscript"/>
        </w:rPr>
        <w:t>3</w:t>
      </w:r>
      <w:r w:rsidRPr="00486850">
        <w:rPr>
          <w:sz w:val="24"/>
        </w:rPr>
        <w:t xml:space="preserve"> og SO</w:t>
      </w:r>
      <w:r w:rsidRPr="00486850">
        <w:rPr>
          <w:sz w:val="24"/>
          <w:vertAlign w:val="subscript"/>
        </w:rPr>
        <w:t>2</w:t>
      </w:r>
      <w:r w:rsidRPr="00486850">
        <w:rPr>
          <w:sz w:val="24"/>
        </w:rPr>
        <w:t>, 0,25 mg/m</w:t>
      </w:r>
      <w:r w:rsidRPr="00486850">
        <w:rPr>
          <w:sz w:val="24"/>
          <w:vertAlign w:val="superscript"/>
        </w:rPr>
        <w:t>3</w:t>
      </w:r>
    </w:p>
    <w:p w:rsidR="00247D3B" w:rsidRDefault="00247D3B" w:rsidP="00247D3B">
      <w:pPr>
        <w:pStyle w:val="Talliste"/>
        <w:numPr>
          <w:ilvl w:val="0"/>
          <w:numId w:val="0"/>
        </w:numPr>
        <w:ind w:left="360"/>
        <w:rPr>
          <w:sz w:val="24"/>
        </w:rPr>
      </w:pPr>
      <w:r w:rsidRPr="00486850">
        <w:rPr>
          <w:sz w:val="24"/>
        </w:rPr>
        <w:t xml:space="preserve">Ansøger har fået lavet en OML-beregning, der viser at ovennævnte b-værdier kan </w:t>
      </w:r>
      <w:r w:rsidRPr="00486850">
        <w:rPr>
          <w:sz w:val="24"/>
        </w:rPr>
        <w:lastRenderedPageBreak/>
        <w:t>overholdes ved en indfyret effekt på</w:t>
      </w:r>
      <w:r w:rsidR="000E6961" w:rsidRPr="00486850">
        <w:rPr>
          <w:sz w:val="24"/>
        </w:rPr>
        <w:t xml:space="preserve"> dampkedlen på</w:t>
      </w:r>
      <w:r w:rsidRPr="00486850">
        <w:rPr>
          <w:sz w:val="24"/>
        </w:rPr>
        <w:t xml:space="preserve"> maksimalt 4,8 MW</w:t>
      </w:r>
      <w:r w:rsidR="005D2B35" w:rsidRPr="00486850">
        <w:rPr>
          <w:sz w:val="24"/>
        </w:rPr>
        <w:t xml:space="preserve"> og en samlet indfyret effekt på maksimalt 7,5 MW</w:t>
      </w:r>
      <w:r w:rsidRPr="00486850">
        <w:rPr>
          <w:sz w:val="24"/>
        </w:rPr>
        <w:t>.</w:t>
      </w:r>
      <w:r>
        <w:rPr>
          <w:sz w:val="24"/>
        </w:rPr>
        <w:t xml:space="preserve"> OML-beregningen er vedlagt som bilag til dette tillæg.</w:t>
      </w:r>
    </w:p>
    <w:p w:rsidR="009D03E7" w:rsidRPr="00247D3B" w:rsidRDefault="009D03E7" w:rsidP="00247D3B">
      <w:pPr>
        <w:pStyle w:val="Talliste"/>
        <w:numPr>
          <w:ilvl w:val="0"/>
          <w:numId w:val="0"/>
        </w:numPr>
        <w:ind w:left="360"/>
        <w:rPr>
          <w:sz w:val="24"/>
        </w:rPr>
      </w:pPr>
      <w:r>
        <w:rPr>
          <w:sz w:val="24"/>
        </w:rPr>
        <w:lastRenderedPageBreak/>
        <w:t>OML-beregningen er lavet på tre afkast i følgende højder over terræn: 10 m, 24 meter og 24 meter. Afkasthøjderne fastsættes som vilkår.</w:t>
      </w:r>
    </w:p>
    <w:p w:rsidR="0038615B" w:rsidRDefault="0038615B" w:rsidP="00486850">
      <w:pPr>
        <w:pStyle w:val="Talliste"/>
        <w:numPr>
          <w:ilvl w:val="0"/>
          <w:numId w:val="0"/>
        </w:numPr>
        <w:ind w:left="360"/>
        <w:rPr>
          <w:sz w:val="24"/>
        </w:rPr>
      </w:pPr>
      <w:r>
        <w:rPr>
          <w:sz w:val="24"/>
        </w:rPr>
        <w:t>Dette tillæg omhandler alen</w:t>
      </w:r>
      <w:r w:rsidR="009D03E7">
        <w:rPr>
          <w:sz w:val="24"/>
        </w:rPr>
        <w:t>e</w:t>
      </w:r>
      <w:r>
        <w:rPr>
          <w:sz w:val="24"/>
        </w:rPr>
        <w:t xml:space="preserve"> udskiftning af gasbræn</w:t>
      </w:r>
      <w:r w:rsidR="009D03E7">
        <w:rPr>
          <w:sz w:val="24"/>
        </w:rPr>
        <w:t xml:space="preserve">dere til </w:t>
      </w:r>
      <w:r w:rsidR="00AC67DA">
        <w:rPr>
          <w:sz w:val="24"/>
        </w:rPr>
        <w:lastRenderedPageBreak/>
        <w:t>brændere, som både kan anvende gas og olie,</w:t>
      </w:r>
      <w:r w:rsidR="009D03E7">
        <w:rPr>
          <w:sz w:val="24"/>
        </w:rPr>
        <w:t xml:space="preserve"> samt insta</w:t>
      </w:r>
      <w:r>
        <w:rPr>
          <w:sz w:val="24"/>
        </w:rPr>
        <w:t>llation af 50 m</w:t>
      </w:r>
      <w:r w:rsidRPr="00AC67DA">
        <w:rPr>
          <w:sz w:val="24"/>
          <w:vertAlign w:val="superscript"/>
        </w:rPr>
        <w:t>3</w:t>
      </w:r>
      <w:r>
        <w:rPr>
          <w:sz w:val="24"/>
        </w:rPr>
        <w:t xml:space="preserve"> olietank</w:t>
      </w:r>
      <w:r w:rsidR="00AC67DA">
        <w:rPr>
          <w:sz w:val="24"/>
        </w:rPr>
        <w:t>.</w:t>
      </w:r>
    </w:p>
    <w:p w:rsidR="00CB6A63" w:rsidRDefault="00CB6A63" w:rsidP="00AC67DA">
      <w:pPr>
        <w:pStyle w:val="Talliste"/>
        <w:numPr>
          <w:ilvl w:val="0"/>
          <w:numId w:val="0"/>
        </w:numPr>
        <w:ind w:left="360"/>
        <w:rPr>
          <w:sz w:val="24"/>
        </w:rPr>
      </w:pPr>
      <w:r>
        <w:rPr>
          <w:sz w:val="24"/>
        </w:rPr>
        <w:t>Miljøgodkendelse meddelt i 2012 gælder fortsat på øvrige områder.</w:t>
      </w:r>
    </w:p>
    <w:p w:rsidR="00CB6A63" w:rsidRDefault="00AC67DA" w:rsidP="00AC67DA">
      <w:pPr>
        <w:pStyle w:val="Talliste"/>
        <w:numPr>
          <w:ilvl w:val="0"/>
          <w:numId w:val="0"/>
        </w:numPr>
        <w:ind w:left="360"/>
        <w:rPr>
          <w:sz w:val="24"/>
        </w:rPr>
      </w:pPr>
      <w:r>
        <w:rPr>
          <w:sz w:val="24"/>
        </w:rPr>
        <w:lastRenderedPageBreak/>
        <w:t>Det er Assens Kommunes vurdering at ændringen til oliefyring sker på et mi</w:t>
      </w:r>
      <w:r w:rsidR="00486850">
        <w:rPr>
          <w:sz w:val="24"/>
        </w:rPr>
        <w:t xml:space="preserve">ljømæssigt forsvarligt grundlag </w:t>
      </w:r>
      <w:r w:rsidR="004330B7">
        <w:rPr>
          <w:sz w:val="24"/>
        </w:rPr>
        <w:t>idet</w:t>
      </w:r>
      <w:r w:rsidR="00486850">
        <w:rPr>
          <w:sz w:val="24"/>
        </w:rPr>
        <w:t>:</w:t>
      </w:r>
      <w:r>
        <w:rPr>
          <w:sz w:val="24"/>
        </w:rPr>
        <w:t xml:space="preserve"> </w:t>
      </w:r>
    </w:p>
    <w:p w:rsidR="00AC67DA" w:rsidRDefault="00AC67DA" w:rsidP="00AC67DA">
      <w:pPr>
        <w:pStyle w:val="Talliste"/>
        <w:numPr>
          <w:ilvl w:val="0"/>
          <w:numId w:val="0"/>
        </w:numPr>
        <w:ind w:left="360"/>
        <w:rPr>
          <w:sz w:val="24"/>
        </w:rPr>
      </w:pPr>
      <w:r>
        <w:rPr>
          <w:sz w:val="24"/>
        </w:rPr>
        <w:t>Det er godtgjort at b-værdierne for NO</w:t>
      </w:r>
      <w:r w:rsidRPr="00AC67DA">
        <w:rPr>
          <w:sz w:val="24"/>
          <w:vertAlign w:val="subscript"/>
        </w:rPr>
        <w:t>x</w:t>
      </w:r>
      <w:r>
        <w:rPr>
          <w:sz w:val="24"/>
          <w:vertAlign w:val="subscript"/>
        </w:rPr>
        <w:t xml:space="preserve">, </w:t>
      </w:r>
      <w:r w:rsidR="00BC472A">
        <w:rPr>
          <w:sz w:val="24"/>
        </w:rPr>
        <w:t>CO</w:t>
      </w:r>
      <w:r>
        <w:rPr>
          <w:sz w:val="24"/>
        </w:rPr>
        <w:t xml:space="preserve"> og SO</w:t>
      </w:r>
      <w:r w:rsidRPr="00AC67DA">
        <w:rPr>
          <w:sz w:val="24"/>
          <w:vertAlign w:val="subscript"/>
        </w:rPr>
        <w:t>2</w:t>
      </w:r>
      <w:r w:rsidR="00BC472A">
        <w:rPr>
          <w:sz w:val="24"/>
        </w:rPr>
        <w:t xml:space="preserve"> kan </w:t>
      </w:r>
      <w:r w:rsidR="00BC472A">
        <w:rPr>
          <w:sz w:val="24"/>
        </w:rPr>
        <w:lastRenderedPageBreak/>
        <w:t>overholdes. Der er ud</w:t>
      </w:r>
      <w:r w:rsidR="00CB6A63">
        <w:rPr>
          <w:sz w:val="24"/>
        </w:rPr>
        <w:t xml:space="preserve"> </w:t>
      </w:r>
      <w:r w:rsidR="00BC472A">
        <w:rPr>
          <w:sz w:val="24"/>
        </w:rPr>
        <w:t>over vilkår jf. standardvilkårsbekendtgørelsen fastsat supplerende vilkår om</w:t>
      </w:r>
      <w:r w:rsidR="00CB6A63">
        <w:rPr>
          <w:sz w:val="24"/>
        </w:rPr>
        <w:t xml:space="preserve"> maksimal</w:t>
      </w:r>
      <w:r w:rsidR="00BC472A">
        <w:rPr>
          <w:sz w:val="24"/>
        </w:rPr>
        <w:t xml:space="preserve"> indfyret effekt</w:t>
      </w:r>
      <w:r w:rsidR="00CB6A63">
        <w:rPr>
          <w:sz w:val="24"/>
        </w:rPr>
        <w:t>.</w:t>
      </w:r>
    </w:p>
    <w:p w:rsidR="00CB6A63" w:rsidRDefault="00CB6A63" w:rsidP="00AC67DA">
      <w:pPr>
        <w:pStyle w:val="Talliste"/>
        <w:numPr>
          <w:ilvl w:val="0"/>
          <w:numId w:val="0"/>
        </w:numPr>
        <w:ind w:left="360"/>
        <w:rPr>
          <w:sz w:val="24"/>
        </w:rPr>
      </w:pPr>
      <w:r>
        <w:rPr>
          <w:sz w:val="24"/>
        </w:rPr>
        <w:t xml:space="preserve">Ud over bestemmelserne i olietankbekendtgørelsen, som </w:t>
      </w:r>
      <w:r>
        <w:rPr>
          <w:sz w:val="24"/>
        </w:rPr>
        <w:lastRenderedPageBreak/>
        <w:t>gælder for såvel olietank som rørføringer, er der i dette tillæg fastsat vilkår til sikring af jod og grundvand.</w:t>
      </w:r>
    </w:p>
    <w:p w:rsidR="00CB6A63" w:rsidRDefault="00CB6A63" w:rsidP="00AC67DA">
      <w:pPr>
        <w:pStyle w:val="Talliste"/>
        <w:numPr>
          <w:ilvl w:val="0"/>
          <w:numId w:val="0"/>
        </w:numPr>
        <w:ind w:left="360"/>
        <w:rPr>
          <w:sz w:val="24"/>
        </w:rPr>
      </w:pPr>
    </w:p>
    <w:p w:rsidR="00965089" w:rsidRDefault="00965089" w:rsidP="00AC67DA">
      <w:pPr>
        <w:pStyle w:val="Talliste"/>
        <w:numPr>
          <w:ilvl w:val="0"/>
          <w:numId w:val="0"/>
        </w:numPr>
        <w:ind w:left="360"/>
        <w:rPr>
          <w:sz w:val="24"/>
        </w:rPr>
      </w:pPr>
      <w:r>
        <w:rPr>
          <w:sz w:val="24"/>
        </w:rPr>
        <w:t>Dorthe Toft</w:t>
      </w:r>
    </w:p>
    <w:p w:rsidR="00965089" w:rsidRPr="00BC472A" w:rsidRDefault="00965089" w:rsidP="00AC67DA">
      <w:pPr>
        <w:pStyle w:val="Talliste"/>
        <w:numPr>
          <w:ilvl w:val="0"/>
          <w:numId w:val="0"/>
        </w:numPr>
        <w:ind w:left="360"/>
        <w:rPr>
          <w:sz w:val="24"/>
        </w:rPr>
      </w:pPr>
      <w:r>
        <w:rPr>
          <w:sz w:val="24"/>
        </w:rPr>
        <w:t>Miljøsagsbehandler</w:t>
      </w:r>
    </w:p>
    <w:p w:rsidR="00AC4415" w:rsidRPr="00AC4415" w:rsidRDefault="00AC4415" w:rsidP="004A0F52">
      <w:pPr>
        <w:pStyle w:val="Talliste"/>
        <w:numPr>
          <w:ilvl w:val="0"/>
          <w:numId w:val="0"/>
        </w:numPr>
        <w:ind w:left="360" w:hanging="360"/>
        <w:rPr>
          <w:sz w:val="24"/>
        </w:rPr>
      </w:pPr>
    </w:p>
    <w:p w:rsidR="00AC4415" w:rsidRDefault="00AC4415" w:rsidP="004A0F52">
      <w:pPr>
        <w:pStyle w:val="Talliste"/>
        <w:numPr>
          <w:ilvl w:val="0"/>
          <w:numId w:val="0"/>
        </w:numPr>
        <w:ind w:left="360" w:hanging="360"/>
        <w:rPr>
          <w:sz w:val="24"/>
          <w:highlight w:val="yellow"/>
        </w:rPr>
      </w:pPr>
    </w:p>
    <w:p w:rsidR="004A0F52" w:rsidRDefault="004A0F52" w:rsidP="004A0F52">
      <w:pPr>
        <w:pStyle w:val="Talliste"/>
        <w:numPr>
          <w:ilvl w:val="0"/>
          <w:numId w:val="0"/>
        </w:numPr>
        <w:ind w:left="360" w:hanging="360"/>
        <w:rPr>
          <w:sz w:val="24"/>
          <w:highlight w:val="yellow"/>
        </w:rPr>
      </w:pPr>
    </w:p>
    <w:p w:rsidR="004A0F52" w:rsidRDefault="004A0F52" w:rsidP="004A0F52">
      <w:pPr>
        <w:pStyle w:val="Talliste"/>
        <w:numPr>
          <w:ilvl w:val="0"/>
          <w:numId w:val="0"/>
        </w:numPr>
        <w:ind w:left="360" w:hanging="360"/>
        <w:rPr>
          <w:sz w:val="24"/>
          <w:highlight w:val="yellow"/>
        </w:rPr>
      </w:pPr>
    </w:p>
    <w:p w:rsidR="004A0F52" w:rsidRDefault="004A0F52" w:rsidP="004A0F52">
      <w:pPr>
        <w:pStyle w:val="Talliste"/>
        <w:numPr>
          <w:ilvl w:val="0"/>
          <w:numId w:val="0"/>
        </w:numPr>
        <w:ind w:left="360" w:hanging="360"/>
        <w:rPr>
          <w:sz w:val="24"/>
          <w:highlight w:val="yellow"/>
        </w:rPr>
      </w:pPr>
    </w:p>
    <w:p w:rsidR="004A0F52" w:rsidRDefault="004A0F52" w:rsidP="004A0F52">
      <w:pPr>
        <w:pStyle w:val="Talliste"/>
        <w:numPr>
          <w:ilvl w:val="0"/>
          <w:numId w:val="0"/>
        </w:numPr>
        <w:ind w:left="360" w:hanging="360"/>
        <w:rPr>
          <w:sz w:val="24"/>
          <w:highlight w:val="yellow"/>
        </w:rPr>
      </w:pPr>
    </w:p>
    <w:p w:rsidR="004A0F52" w:rsidRDefault="004A0F52" w:rsidP="004A0F52">
      <w:pPr>
        <w:pStyle w:val="Talliste"/>
        <w:numPr>
          <w:ilvl w:val="0"/>
          <w:numId w:val="0"/>
        </w:numPr>
        <w:ind w:left="360" w:hanging="360"/>
        <w:rPr>
          <w:sz w:val="24"/>
          <w:highlight w:val="yellow"/>
        </w:rPr>
      </w:pPr>
    </w:p>
    <w:p w:rsidR="004A0F52" w:rsidRDefault="004A0F52" w:rsidP="004A0F52">
      <w:pPr>
        <w:pStyle w:val="Talliste"/>
        <w:numPr>
          <w:ilvl w:val="0"/>
          <w:numId w:val="0"/>
        </w:numPr>
        <w:ind w:left="360" w:hanging="360"/>
        <w:rPr>
          <w:sz w:val="24"/>
          <w:highlight w:val="yellow"/>
        </w:rPr>
      </w:pPr>
    </w:p>
    <w:p w:rsidR="004A0F52" w:rsidRDefault="004A0F52" w:rsidP="004A0F52">
      <w:pPr>
        <w:pStyle w:val="Talliste"/>
        <w:numPr>
          <w:ilvl w:val="0"/>
          <w:numId w:val="0"/>
        </w:numPr>
        <w:ind w:left="360" w:hanging="360"/>
        <w:rPr>
          <w:sz w:val="24"/>
          <w:highlight w:val="yellow"/>
        </w:rPr>
      </w:pPr>
    </w:p>
    <w:p w:rsidR="004A0F52" w:rsidRDefault="004A0F52" w:rsidP="004A0F52">
      <w:pPr>
        <w:pStyle w:val="Talliste"/>
        <w:numPr>
          <w:ilvl w:val="0"/>
          <w:numId w:val="0"/>
        </w:numPr>
        <w:ind w:left="360" w:hanging="360"/>
        <w:rPr>
          <w:sz w:val="24"/>
          <w:highlight w:val="yellow"/>
        </w:rPr>
      </w:pPr>
    </w:p>
    <w:p w:rsidR="004A0F52" w:rsidRDefault="004A0F52" w:rsidP="004A0F52">
      <w:pPr>
        <w:pStyle w:val="Talliste"/>
        <w:numPr>
          <w:ilvl w:val="0"/>
          <w:numId w:val="0"/>
        </w:numPr>
        <w:ind w:left="360" w:hanging="360"/>
        <w:rPr>
          <w:sz w:val="24"/>
          <w:highlight w:val="yellow"/>
        </w:rPr>
      </w:pPr>
    </w:p>
    <w:p w:rsidR="004A0F52" w:rsidRDefault="004A0F52" w:rsidP="004A0F52">
      <w:pPr>
        <w:pStyle w:val="Talliste"/>
        <w:numPr>
          <w:ilvl w:val="0"/>
          <w:numId w:val="0"/>
        </w:numPr>
        <w:ind w:left="360" w:hanging="360"/>
        <w:rPr>
          <w:sz w:val="24"/>
          <w:highlight w:val="yellow"/>
        </w:rPr>
      </w:pPr>
    </w:p>
    <w:p w:rsidR="004A0F52" w:rsidRDefault="004A0F52" w:rsidP="004A0F52">
      <w:pPr>
        <w:pStyle w:val="Talliste"/>
        <w:numPr>
          <w:ilvl w:val="0"/>
          <w:numId w:val="0"/>
        </w:numPr>
        <w:ind w:left="360" w:hanging="360"/>
        <w:rPr>
          <w:sz w:val="24"/>
          <w:highlight w:val="yellow"/>
        </w:rPr>
      </w:pPr>
    </w:p>
    <w:p w:rsidR="004A0F52" w:rsidRDefault="004A0F52" w:rsidP="004A0F52">
      <w:pPr>
        <w:pStyle w:val="Talliste"/>
        <w:numPr>
          <w:ilvl w:val="0"/>
          <w:numId w:val="0"/>
        </w:numPr>
        <w:ind w:left="360" w:hanging="360"/>
        <w:rPr>
          <w:sz w:val="24"/>
          <w:highlight w:val="yellow"/>
        </w:rPr>
      </w:pPr>
    </w:p>
    <w:p w:rsidR="00B901A7" w:rsidRDefault="00E2308C" w:rsidP="004A0F52">
      <w:pPr>
        <w:pStyle w:val="Talliste"/>
        <w:numPr>
          <w:ilvl w:val="0"/>
          <w:numId w:val="0"/>
        </w:numPr>
        <w:ind w:left="360" w:hanging="360"/>
        <w:rPr>
          <w:sz w:val="24"/>
          <w:highlight w:val="yellow"/>
        </w:rPr>
      </w:pPr>
      <w:r w:rsidRPr="004A0F52">
        <w:rPr>
          <w:sz w:val="24"/>
          <w:highlight w:val="yellow"/>
        </w:rPr>
        <w:br w:type="page"/>
      </w:r>
    </w:p>
    <w:p w:rsidR="004A0F52" w:rsidRPr="004A0F52" w:rsidRDefault="004A0F52" w:rsidP="004A0F52">
      <w:pPr>
        <w:pStyle w:val="Talliste"/>
        <w:numPr>
          <w:ilvl w:val="0"/>
          <w:numId w:val="0"/>
        </w:numPr>
        <w:ind w:left="720"/>
        <w:rPr>
          <w:sz w:val="24"/>
          <w:highlight w:val="yellow"/>
        </w:rPr>
      </w:pPr>
    </w:p>
    <w:p w:rsidR="008B2309" w:rsidRPr="00B901A7" w:rsidRDefault="008B2309" w:rsidP="00BC1A25">
      <w:pPr>
        <w:pStyle w:val="Talliste"/>
        <w:numPr>
          <w:ilvl w:val="0"/>
          <w:numId w:val="0"/>
        </w:numPr>
        <w:rPr>
          <w:sz w:val="24"/>
        </w:rPr>
      </w:pPr>
    </w:p>
    <w:p w:rsidR="00BC1A25" w:rsidRPr="00E2308C" w:rsidRDefault="00BC1A25" w:rsidP="00CF2C3B">
      <w:pPr>
        <w:pStyle w:val="Talliste"/>
        <w:numPr>
          <w:ilvl w:val="0"/>
          <w:numId w:val="0"/>
        </w:numPr>
        <w:ind w:left="360" w:hanging="360"/>
      </w:pPr>
    </w:p>
    <w:p w:rsidR="00F96B36" w:rsidRDefault="00F96B36" w:rsidP="00E2308C"/>
    <w:p w:rsidR="00E2308C" w:rsidRDefault="00E2308C" w:rsidP="00E2308C"/>
    <w:p w:rsidR="00620128" w:rsidRDefault="00620128" w:rsidP="00E2308C"/>
    <w:p w:rsidR="00DE3C2C" w:rsidRDefault="00046511" w:rsidP="00E2308C">
      <w:r>
        <w:rPr>
          <w:noProof/>
          <w:lang w:eastAsia="da-DK"/>
        </w:rPr>
        <w:drawing>
          <wp:anchor distT="0" distB="0" distL="114300" distR="114300" simplePos="0" relativeHeight="251659264" behindDoc="1" locked="0" layoutInCell="1" allowOverlap="1" wp14:anchorId="61246CA5" wp14:editId="4D68E13D">
            <wp:simplePos x="0" y="0"/>
            <wp:positionH relativeFrom="page">
              <wp:posOffset>4114800</wp:posOffset>
            </wp:positionH>
            <wp:positionV relativeFrom="page">
              <wp:posOffset>409575</wp:posOffset>
            </wp:positionV>
            <wp:extent cx="3632400" cy="6318000"/>
            <wp:effectExtent l="0" t="0" r="6350" b="6985"/>
            <wp:wrapNone/>
            <wp:docPr id="62" name="Billede 62" descr="NAK B+ÿG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NAK B+ÿG A4"/>
                    <pic:cNvPicPr>
                      <a:picLocks noChangeAspect="1" noChangeArrowheads="1"/>
                    </pic:cNvPicPr>
                  </pic:nvPicPr>
                  <pic:blipFill>
                    <a:blip r:embed="rId12" cstate="print">
                      <a:extLst>
                        <a:ext uri="{28A0092B-C50C-407E-A947-70E740481C1C}">
                          <a14:useLocalDpi xmlns:a14="http://schemas.microsoft.com/office/drawing/2010/main" val="0"/>
                        </a:ext>
                      </a:extLst>
                    </a:blip>
                    <a:srcRect r="52805"/>
                    <a:stretch>
                      <a:fillRect/>
                    </a:stretch>
                  </pic:blipFill>
                  <pic:spPr bwMode="auto">
                    <a:xfrm>
                      <a:off x="0" y="0"/>
                      <a:ext cx="3632400" cy="6318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E3C2C" w:rsidSect="000C7794">
      <w:type w:val="continuous"/>
      <w:pgSz w:w="11906" w:h="16838"/>
      <w:pgMar w:top="851" w:right="851" w:bottom="851" w:left="1418" w:header="850" w:footer="73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799" w:rsidRDefault="00535799" w:rsidP="00E2308C">
      <w:r>
        <w:separator/>
      </w:r>
    </w:p>
  </w:endnote>
  <w:endnote w:type="continuationSeparator" w:id="0">
    <w:p w:rsidR="00535799" w:rsidRDefault="00535799" w:rsidP="00E2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799" w:rsidRDefault="00535799" w:rsidP="00E2308C">
      <w:r>
        <w:separator/>
      </w:r>
    </w:p>
  </w:footnote>
  <w:footnote w:type="continuationSeparator" w:id="0">
    <w:p w:rsidR="00535799" w:rsidRDefault="00535799" w:rsidP="00E2308C">
      <w:r>
        <w:continuationSeparator/>
      </w:r>
    </w:p>
  </w:footnote>
  <w:footnote w:id="1">
    <w:p w:rsidR="00E2308C" w:rsidRPr="001B584C" w:rsidRDefault="00E2308C">
      <w:pPr>
        <w:pStyle w:val="Fodnotetekst"/>
        <w:rPr>
          <w:sz w:val="18"/>
          <w:szCs w:val="18"/>
        </w:rPr>
      </w:pPr>
      <w:r w:rsidRPr="001B584C">
        <w:rPr>
          <w:rStyle w:val="Fodnotehenvisning"/>
          <w:sz w:val="18"/>
          <w:szCs w:val="18"/>
        </w:rPr>
        <w:footnoteRef/>
      </w:r>
      <w:r w:rsidRPr="001B584C">
        <w:rPr>
          <w:sz w:val="18"/>
          <w:szCs w:val="18"/>
        </w:rPr>
        <w:t xml:space="preserve"> Bek. Nr. 2080 </w:t>
      </w:r>
      <w:r w:rsidR="001B584C" w:rsidRPr="001B584C">
        <w:rPr>
          <w:sz w:val="18"/>
          <w:szCs w:val="18"/>
        </w:rPr>
        <w:t>af 15. nov. 2021 om godkendelse af listevirksomhed</w:t>
      </w:r>
    </w:p>
  </w:footnote>
  <w:footnote w:id="2">
    <w:p w:rsidR="0097140C" w:rsidRPr="0097140C" w:rsidRDefault="0097140C">
      <w:pPr>
        <w:pStyle w:val="Fodnotetekst"/>
        <w:rPr>
          <w:sz w:val="18"/>
          <w:szCs w:val="18"/>
        </w:rPr>
      </w:pPr>
      <w:r w:rsidRPr="0097140C">
        <w:rPr>
          <w:rStyle w:val="Fodnotehenvisning"/>
          <w:sz w:val="18"/>
          <w:szCs w:val="18"/>
        </w:rPr>
        <w:footnoteRef/>
      </w:r>
      <w:r w:rsidRPr="0097140C">
        <w:rPr>
          <w:sz w:val="18"/>
          <w:szCs w:val="18"/>
        </w:rPr>
        <w:t xml:space="preserve"> Bek. Nr. 2079 af 15. nov. 2021 om standardvilkår i godkendelse af listevirksomhed</w:t>
      </w:r>
    </w:p>
  </w:footnote>
  <w:footnote w:id="3">
    <w:p w:rsidR="00ED6CB7" w:rsidRDefault="00ED6CB7">
      <w:pPr>
        <w:pStyle w:val="Fodnotetekst"/>
      </w:pPr>
      <w:r>
        <w:rPr>
          <w:rStyle w:val="Fodnotehenvisning"/>
        </w:rPr>
        <w:footnoteRef/>
      </w:r>
      <w:r>
        <w:t xml:space="preserve"> </w:t>
      </w:r>
      <w:r w:rsidRPr="00ED6CB7">
        <w:rPr>
          <w:sz w:val="18"/>
          <w:szCs w:val="18"/>
        </w:rPr>
        <w:t>LBK. Nr. 1976 af 27. okt. 2021 af lov om miljøvurdering af planer og programmer og af konkrete projekter (VVM)</w:t>
      </w:r>
    </w:p>
  </w:footnote>
  <w:footnote w:id="4">
    <w:p w:rsidR="00ED6CB7" w:rsidRPr="007532CA" w:rsidRDefault="00ED6CB7">
      <w:pPr>
        <w:pStyle w:val="Fodnotetekst"/>
        <w:rPr>
          <w:sz w:val="18"/>
          <w:szCs w:val="18"/>
        </w:rPr>
      </w:pPr>
      <w:r w:rsidRPr="007532CA">
        <w:rPr>
          <w:rStyle w:val="Fodnotehenvisning"/>
          <w:sz w:val="18"/>
          <w:szCs w:val="18"/>
        </w:rPr>
        <w:footnoteRef/>
      </w:r>
      <w:r w:rsidRPr="007532CA">
        <w:rPr>
          <w:sz w:val="18"/>
          <w:szCs w:val="18"/>
        </w:rPr>
        <w:t xml:space="preserve"> </w:t>
      </w:r>
      <w:r w:rsidR="007532CA" w:rsidRPr="007532CA">
        <w:rPr>
          <w:sz w:val="18"/>
          <w:szCs w:val="18"/>
        </w:rPr>
        <w:t>LBK. Nr. 100 af 19. jan.</w:t>
      </w:r>
      <w:r w:rsidR="007532CA">
        <w:rPr>
          <w:sz w:val="18"/>
          <w:szCs w:val="18"/>
        </w:rPr>
        <w:t xml:space="preserve"> 2022 af lov om Miljøbe</w:t>
      </w:r>
      <w:r w:rsidR="007532CA" w:rsidRPr="007532CA">
        <w:rPr>
          <w:sz w:val="18"/>
          <w:szCs w:val="18"/>
        </w:rPr>
        <w:t>skyttelse</w:t>
      </w:r>
    </w:p>
  </w:footnote>
  <w:footnote w:id="5">
    <w:p w:rsidR="00D95250" w:rsidRDefault="00D95250">
      <w:pPr>
        <w:pStyle w:val="Fodnotetekst"/>
      </w:pPr>
      <w:r>
        <w:rPr>
          <w:rStyle w:val="Fodnotehenvisning"/>
        </w:rPr>
        <w:footnoteRef/>
      </w:r>
      <w:r>
        <w:t xml:space="preserve"> </w:t>
      </w:r>
      <w:r w:rsidRPr="00176E40">
        <w:rPr>
          <w:sz w:val="18"/>
          <w:szCs w:val="18"/>
        </w:rPr>
        <w:t>Bek. Nr. 1257</w:t>
      </w:r>
      <w:r w:rsidR="00176E40" w:rsidRPr="00176E40">
        <w:rPr>
          <w:sz w:val="18"/>
          <w:szCs w:val="18"/>
        </w:rPr>
        <w:t xml:space="preserve"> af 27. nov. 2019 om indretning, etablering og drift af olietanke, rørsystemer og pipelines.</w:t>
      </w:r>
    </w:p>
  </w:footnote>
  <w:footnote w:id="6">
    <w:p w:rsidR="00FC2FB8" w:rsidRDefault="00FC2FB8" w:rsidP="00FC2FB8">
      <w:pPr>
        <w:pStyle w:val="Fodnotetekst"/>
      </w:pPr>
      <w:r>
        <w:rPr>
          <w:rStyle w:val="Fodnotehenvisning"/>
        </w:rPr>
        <w:footnoteRef/>
      </w:r>
      <w:r>
        <w:t xml:space="preserve"> </w:t>
      </w:r>
      <w:r w:rsidR="00E82505" w:rsidRPr="007532CA">
        <w:rPr>
          <w:sz w:val="18"/>
          <w:szCs w:val="18"/>
        </w:rPr>
        <w:t>LBK. Nr. 100 af 19. jan.</w:t>
      </w:r>
      <w:r w:rsidR="00E82505">
        <w:rPr>
          <w:sz w:val="18"/>
          <w:szCs w:val="18"/>
        </w:rPr>
        <w:t xml:space="preserve"> 2022 af lov om Miljøbe</w:t>
      </w:r>
      <w:r w:rsidR="00E82505" w:rsidRPr="007532CA">
        <w:rPr>
          <w:sz w:val="18"/>
          <w:szCs w:val="18"/>
        </w:rPr>
        <w:t>skyttelse</w:t>
      </w:r>
    </w:p>
  </w:footnote>
  <w:footnote w:id="7">
    <w:p w:rsidR="008B2309" w:rsidRDefault="008B2309">
      <w:pPr>
        <w:pStyle w:val="Fodnotetekst"/>
      </w:pPr>
      <w:r>
        <w:rPr>
          <w:rStyle w:val="Fodnotehenvisning"/>
        </w:rPr>
        <w:footnoteRef/>
      </w:r>
      <w:r>
        <w:t xml:space="preserve"> </w:t>
      </w:r>
      <w:r w:rsidRPr="00ED6CB7">
        <w:rPr>
          <w:sz w:val="18"/>
          <w:szCs w:val="18"/>
        </w:rPr>
        <w:t>LBK. Nr. 1976 af 27. okt. 2021 af lov om miljøvurdering af planer og programmer og af konkrete projekter (VVM)</w:t>
      </w:r>
    </w:p>
  </w:footnote>
  <w:footnote w:id="8">
    <w:p w:rsidR="00433FC3" w:rsidRPr="00433FC3" w:rsidRDefault="00433FC3" w:rsidP="00433FC3">
      <w:pPr>
        <w:pStyle w:val="Fodnotetekst"/>
        <w:rPr>
          <w:sz w:val="18"/>
          <w:szCs w:val="18"/>
        </w:rPr>
      </w:pPr>
      <w:r>
        <w:rPr>
          <w:rStyle w:val="Fodnotehenvisning"/>
        </w:rPr>
        <w:footnoteRef/>
      </w:r>
      <w:r>
        <w:t xml:space="preserve"> </w:t>
      </w:r>
      <w:r w:rsidRPr="00433FC3">
        <w:rPr>
          <w:sz w:val="18"/>
          <w:szCs w:val="18"/>
        </w:rPr>
        <w:t>B</w:t>
      </w:r>
      <w:r w:rsidRPr="00433FC3">
        <w:rPr>
          <w:rFonts w:cs="Arial"/>
          <w:sz w:val="18"/>
          <w:szCs w:val="18"/>
        </w:rPr>
        <w:t>ek. nr. 1519 af 29. juni 2021 om brugerbetaling for godkendelse mv.  og tilsyn efter lov miljøbeskyttelse og lov om husdyrbrug og anvendelse af gødning m.v.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E6A" w:rsidRDefault="00535799" w:rsidP="00E2308C">
    <w:pPr>
      <w:pStyle w:val="Afdeling"/>
    </w:pPr>
    <w:r>
      <w:rPr>
        <w:noProof/>
        <w:lang w:eastAsia="da-DK"/>
      </w:rPr>
      <w:drawing>
        <wp:anchor distT="0" distB="0" distL="114300" distR="114300" simplePos="0" relativeHeight="251665408" behindDoc="1" locked="0" layoutInCell="1" allowOverlap="1">
          <wp:simplePos x="0" y="0"/>
          <wp:positionH relativeFrom="page">
            <wp:posOffset>5233035</wp:posOffset>
          </wp:positionH>
          <wp:positionV relativeFrom="page">
            <wp:posOffset>9287510</wp:posOffset>
          </wp:positionV>
          <wp:extent cx="1786890" cy="643890"/>
          <wp:effectExtent l="0" t="0" r="3810" b="381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890" cy="643890"/>
                  </a:xfrm>
                  <a:prstGeom prst="rect">
                    <a:avLst/>
                  </a:prstGeom>
                </pic:spPr>
              </pic:pic>
            </a:graphicData>
          </a:graphic>
        </wp:anchor>
      </w:drawing>
    </w:r>
    <w:r>
      <w:t>Miljø og Natur</w:t>
    </w:r>
    <w:r w:rsidR="00006E6A">
      <w:rPr>
        <w:noProof/>
        <w:lang w:eastAsia="da-DK"/>
      </w:rPr>
      <w:drawing>
        <wp:anchor distT="0" distB="0" distL="114300" distR="114300" simplePos="0" relativeHeight="251664384" behindDoc="0" locked="0" layoutInCell="1" allowOverlap="1" wp14:anchorId="4CB416D5" wp14:editId="33DCD115">
          <wp:simplePos x="0" y="0"/>
          <wp:positionH relativeFrom="page">
            <wp:posOffset>0</wp:posOffset>
          </wp:positionH>
          <wp:positionV relativeFrom="page">
            <wp:posOffset>414020</wp:posOffset>
          </wp:positionV>
          <wp:extent cx="4593600" cy="6318000"/>
          <wp:effectExtent l="0" t="0" r="0" b="6985"/>
          <wp:wrapNone/>
          <wp:docPr id="47" name="Billede 47" descr="NAK B+ÿG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AK B+ÿG A4"/>
                  <pic:cNvPicPr>
                    <a:picLocks noChangeAspect="1" noChangeArrowheads="1"/>
                  </pic:cNvPicPr>
                </pic:nvPicPr>
                <pic:blipFill>
                  <a:blip r:embed="rId2">
                    <a:extLst>
                      <a:ext uri="{28A0092B-C50C-407E-A947-70E740481C1C}">
                        <a14:useLocalDpi xmlns:a14="http://schemas.microsoft.com/office/drawing/2010/main" val="0"/>
                      </a:ext>
                    </a:extLst>
                  </a:blip>
                  <a:srcRect l="40327"/>
                  <a:stretch>
                    <a:fillRect/>
                  </a:stretch>
                </pic:blipFill>
                <pic:spPr bwMode="auto">
                  <a:xfrm>
                    <a:off x="0" y="0"/>
                    <a:ext cx="4593600" cy="631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1B463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EC0FC0"/>
    <w:multiLevelType w:val="hybridMultilevel"/>
    <w:tmpl w:val="B94E9880"/>
    <w:lvl w:ilvl="0" w:tplc="2C60BBAE">
      <w:start w:val="3"/>
      <w:numFmt w:val="bullet"/>
      <w:lvlText w:val="-"/>
      <w:lvlJc w:val="left"/>
      <w:pPr>
        <w:ind w:left="720" w:hanging="36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E2239D"/>
    <w:multiLevelType w:val="hybridMultilevel"/>
    <w:tmpl w:val="D33E8604"/>
    <w:lvl w:ilvl="0" w:tplc="306639D2">
      <w:start w:val="1"/>
      <w:numFmt w:val="bullet"/>
      <w:lvlText w:val=""/>
      <w:lvlJc w:val="left"/>
      <w:pPr>
        <w:tabs>
          <w:tab w:val="num" w:pos="680"/>
        </w:tabs>
        <w:ind w:left="680" w:hanging="396"/>
      </w:pPr>
      <w:rPr>
        <w:rFonts w:ascii="Symbol" w:hAnsi="Symbol" w:hint="default"/>
        <w:sz w:val="20"/>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82DA4"/>
    <w:multiLevelType w:val="hybridMultilevel"/>
    <w:tmpl w:val="9D9A8E38"/>
    <w:lvl w:ilvl="0" w:tplc="61DC9FC6">
      <w:start w:val="1"/>
      <w:numFmt w:val="bullet"/>
      <w:pStyle w:val="Punktlist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F2D280C"/>
    <w:multiLevelType w:val="hybridMultilevel"/>
    <w:tmpl w:val="F2F2EDD2"/>
    <w:lvl w:ilvl="0" w:tplc="AD8EBE6E">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B4C2BC8"/>
    <w:multiLevelType w:val="multilevel"/>
    <w:tmpl w:val="B1BE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C7487"/>
    <w:multiLevelType w:val="multilevel"/>
    <w:tmpl w:val="0406001F"/>
    <w:lvl w:ilvl="0">
      <w:start w:val="1"/>
      <w:numFmt w:val="decimal"/>
      <w:pStyle w:val="Talliste"/>
      <w:lvlText w:val="%1."/>
      <w:lvlJc w:val="left"/>
      <w:pPr>
        <w:ind w:left="360" w:hanging="360"/>
      </w:pPr>
      <w:rPr>
        <w:rFonts w:ascii="Georgia" w:hAnsi="Georgia"/>
        <w:sz w:val="18"/>
      </w:rPr>
    </w:lvl>
    <w:lvl w:ilvl="1">
      <w:start w:val="1"/>
      <w:numFmt w:val="decimal"/>
      <w:lvlText w:val="%1.%2."/>
      <w:lvlJc w:val="left"/>
      <w:pPr>
        <w:ind w:left="792" w:hanging="432"/>
      </w:pPr>
      <w:rPr>
        <w:rFonts w:ascii="Georgia" w:hAnsi="Georgia"/>
        <w:sz w:val="18"/>
      </w:rPr>
    </w:lvl>
    <w:lvl w:ilvl="2">
      <w:start w:val="1"/>
      <w:numFmt w:val="decimal"/>
      <w:lvlText w:val="%1.%2.%3."/>
      <w:lvlJc w:val="left"/>
      <w:pPr>
        <w:ind w:left="1224" w:hanging="504"/>
      </w:pPr>
      <w:rPr>
        <w:rFonts w:ascii="Georgia" w:hAnsi="Georgia"/>
        <w:sz w:val="18"/>
      </w:rPr>
    </w:lvl>
    <w:lvl w:ilvl="3">
      <w:start w:val="1"/>
      <w:numFmt w:val="decimal"/>
      <w:lvlText w:val="%1.%2.%3.%4."/>
      <w:lvlJc w:val="left"/>
      <w:pPr>
        <w:ind w:left="1728" w:hanging="648"/>
      </w:pPr>
      <w:rPr>
        <w:rFonts w:ascii="Georgia" w:hAnsi="Georgia"/>
        <w:sz w:val="18"/>
      </w:rPr>
    </w:lvl>
    <w:lvl w:ilvl="4">
      <w:start w:val="1"/>
      <w:numFmt w:val="decimal"/>
      <w:lvlText w:val="%1.%2.%3.%4.%5."/>
      <w:lvlJc w:val="left"/>
      <w:pPr>
        <w:ind w:left="2232" w:hanging="792"/>
      </w:pPr>
      <w:rPr>
        <w:rFonts w:ascii="Georgia" w:hAnsi="Georgia"/>
        <w:sz w:val="18"/>
      </w:rPr>
    </w:lvl>
    <w:lvl w:ilvl="5">
      <w:start w:val="1"/>
      <w:numFmt w:val="decimal"/>
      <w:lvlText w:val="%1.%2.%3.%4.%5.%6."/>
      <w:lvlJc w:val="left"/>
      <w:pPr>
        <w:ind w:left="2736" w:hanging="936"/>
      </w:pPr>
      <w:rPr>
        <w:rFonts w:ascii="Georgia" w:hAnsi="Georgia"/>
        <w:sz w:val="18"/>
      </w:rPr>
    </w:lvl>
    <w:lvl w:ilvl="6">
      <w:start w:val="1"/>
      <w:numFmt w:val="decimal"/>
      <w:lvlText w:val="%1.%2.%3.%4.%5.%6.%7."/>
      <w:lvlJc w:val="left"/>
      <w:pPr>
        <w:ind w:left="3240" w:hanging="1080"/>
      </w:pPr>
      <w:rPr>
        <w:rFonts w:ascii="Georgia" w:hAnsi="Georgia"/>
        <w:sz w:val="18"/>
      </w:rPr>
    </w:lvl>
    <w:lvl w:ilvl="7">
      <w:start w:val="1"/>
      <w:numFmt w:val="decimal"/>
      <w:lvlText w:val="%1.%2.%3.%4.%5.%6.%7.%8."/>
      <w:lvlJc w:val="left"/>
      <w:pPr>
        <w:ind w:left="3744" w:hanging="1224"/>
      </w:pPr>
      <w:rPr>
        <w:rFonts w:ascii="Georgia" w:hAnsi="Georgia"/>
        <w:sz w:val="18"/>
      </w:rPr>
    </w:lvl>
    <w:lvl w:ilvl="8">
      <w:start w:val="1"/>
      <w:numFmt w:val="decimal"/>
      <w:lvlText w:val="%1.%2.%3.%4.%5.%6.%7.%8.%9."/>
      <w:lvlJc w:val="left"/>
      <w:pPr>
        <w:ind w:left="4320" w:hanging="1440"/>
      </w:pPr>
      <w:rPr>
        <w:rFonts w:ascii="Georgia" w:hAnsi="Georgia"/>
        <w:sz w:val="18"/>
      </w:rPr>
    </w:lvl>
  </w:abstractNum>
  <w:abstractNum w:abstractNumId="7" w15:restartNumberingAfterBreak="0">
    <w:nsid w:val="3F9D1E92"/>
    <w:multiLevelType w:val="hybridMultilevel"/>
    <w:tmpl w:val="98B281BA"/>
    <w:lvl w:ilvl="0" w:tplc="0406000F">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96204E0"/>
    <w:multiLevelType w:val="hybridMultilevel"/>
    <w:tmpl w:val="0F9E834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5E91956"/>
    <w:multiLevelType w:val="multilevel"/>
    <w:tmpl w:val="481A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BE1CEB"/>
    <w:multiLevelType w:val="hybridMultilevel"/>
    <w:tmpl w:val="3CC0EF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3F424E5"/>
    <w:multiLevelType w:val="hybridMultilevel"/>
    <w:tmpl w:val="AEB04530"/>
    <w:lvl w:ilvl="0" w:tplc="0406000F">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AB25FD1"/>
    <w:multiLevelType w:val="hybridMultilevel"/>
    <w:tmpl w:val="089E05FA"/>
    <w:lvl w:ilvl="0" w:tplc="868ADC92">
      <w:start w:val="1"/>
      <w:numFmt w:val="decimal"/>
      <w:lvlText w:val="%1."/>
      <w:lvlJc w:val="left"/>
      <w:pPr>
        <w:ind w:left="644"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0"/>
  </w:num>
  <w:num w:numId="5">
    <w:abstractNumId w:val="5"/>
  </w:num>
  <w:num w:numId="6">
    <w:abstractNumId w:val="11"/>
  </w:num>
  <w:num w:numId="7">
    <w:abstractNumId w:val="9"/>
  </w:num>
  <w:num w:numId="8">
    <w:abstractNumId w:val="2"/>
  </w:num>
  <w:num w:numId="9">
    <w:abstractNumId w:val="12"/>
  </w:num>
  <w:num w:numId="10">
    <w:abstractNumId w:val="1"/>
  </w:num>
  <w:num w:numId="11">
    <w:abstractNumId w:val="4"/>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DocHeader" w:val="vhVlDfbZibewKvX0oQz/Nw=="/>
    <w:docVar w:name="LatestPhrase" w:val="\\intern.assens.dk\file\AFD\TDS_Dynamictemplate\Fraser\Miljø Teknik og Plan\Miljø og Natur\Industri\Klagevejledning.docx"/>
  </w:docVars>
  <w:rsids>
    <w:rsidRoot w:val="00535799"/>
    <w:rsid w:val="00006E6A"/>
    <w:rsid w:val="00007524"/>
    <w:rsid w:val="00012B5B"/>
    <w:rsid w:val="00041CF8"/>
    <w:rsid w:val="0004277C"/>
    <w:rsid w:val="000445A4"/>
    <w:rsid w:val="00046511"/>
    <w:rsid w:val="000929BC"/>
    <w:rsid w:val="000C7794"/>
    <w:rsid w:val="000E0B71"/>
    <w:rsid w:val="000E6961"/>
    <w:rsid w:val="000F51DE"/>
    <w:rsid w:val="00115DCF"/>
    <w:rsid w:val="0012353A"/>
    <w:rsid w:val="00131EA2"/>
    <w:rsid w:val="0014257D"/>
    <w:rsid w:val="001437FC"/>
    <w:rsid w:val="001541A2"/>
    <w:rsid w:val="00163221"/>
    <w:rsid w:val="00176E40"/>
    <w:rsid w:val="001822BE"/>
    <w:rsid w:val="001828C0"/>
    <w:rsid w:val="00182A8D"/>
    <w:rsid w:val="00183FC4"/>
    <w:rsid w:val="00187BAE"/>
    <w:rsid w:val="00190A66"/>
    <w:rsid w:val="00194AB7"/>
    <w:rsid w:val="001B584C"/>
    <w:rsid w:val="001D2D20"/>
    <w:rsid w:val="001E42EF"/>
    <w:rsid w:val="00206318"/>
    <w:rsid w:val="00221D59"/>
    <w:rsid w:val="00247D3B"/>
    <w:rsid w:val="00262A24"/>
    <w:rsid w:val="00281EBC"/>
    <w:rsid w:val="00284BC3"/>
    <w:rsid w:val="002C7311"/>
    <w:rsid w:val="002D370D"/>
    <w:rsid w:val="002D7E6C"/>
    <w:rsid w:val="002F1CAE"/>
    <w:rsid w:val="003103DF"/>
    <w:rsid w:val="00312C74"/>
    <w:rsid w:val="00363EDF"/>
    <w:rsid w:val="0038615B"/>
    <w:rsid w:val="00386F21"/>
    <w:rsid w:val="00393B8B"/>
    <w:rsid w:val="00393E4A"/>
    <w:rsid w:val="003A77B7"/>
    <w:rsid w:val="003C418E"/>
    <w:rsid w:val="003E3E0B"/>
    <w:rsid w:val="003E76AF"/>
    <w:rsid w:val="003F7493"/>
    <w:rsid w:val="00400D19"/>
    <w:rsid w:val="00404584"/>
    <w:rsid w:val="00422FF9"/>
    <w:rsid w:val="004330B7"/>
    <w:rsid w:val="00433FC3"/>
    <w:rsid w:val="00486850"/>
    <w:rsid w:val="00492397"/>
    <w:rsid w:val="004A0F52"/>
    <w:rsid w:val="004C27A8"/>
    <w:rsid w:val="004C66CC"/>
    <w:rsid w:val="004E0C03"/>
    <w:rsid w:val="005058B1"/>
    <w:rsid w:val="00507C7D"/>
    <w:rsid w:val="00517F91"/>
    <w:rsid w:val="00526E17"/>
    <w:rsid w:val="00527CB3"/>
    <w:rsid w:val="00531024"/>
    <w:rsid w:val="0053357D"/>
    <w:rsid w:val="00535799"/>
    <w:rsid w:val="0054735D"/>
    <w:rsid w:val="00554CBB"/>
    <w:rsid w:val="00573B47"/>
    <w:rsid w:val="005A3053"/>
    <w:rsid w:val="005A73C6"/>
    <w:rsid w:val="005D187E"/>
    <w:rsid w:val="005D2B35"/>
    <w:rsid w:val="005E320F"/>
    <w:rsid w:val="005F248A"/>
    <w:rsid w:val="005F2E4F"/>
    <w:rsid w:val="005F3132"/>
    <w:rsid w:val="005F7AA0"/>
    <w:rsid w:val="006015A4"/>
    <w:rsid w:val="00620128"/>
    <w:rsid w:val="00623967"/>
    <w:rsid w:val="0063766B"/>
    <w:rsid w:val="006665E7"/>
    <w:rsid w:val="00672D61"/>
    <w:rsid w:val="006755F9"/>
    <w:rsid w:val="00690B31"/>
    <w:rsid w:val="006A4EDB"/>
    <w:rsid w:val="006B4DA6"/>
    <w:rsid w:val="006C0E0D"/>
    <w:rsid w:val="006C4290"/>
    <w:rsid w:val="006C49CF"/>
    <w:rsid w:val="006C5D1D"/>
    <w:rsid w:val="006E2ED0"/>
    <w:rsid w:val="006F7732"/>
    <w:rsid w:val="00710F5E"/>
    <w:rsid w:val="00713F0A"/>
    <w:rsid w:val="00747AF5"/>
    <w:rsid w:val="007532CA"/>
    <w:rsid w:val="0076376E"/>
    <w:rsid w:val="00763B68"/>
    <w:rsid w:val="007A1864"/>
    <w:rsid w:val="007C71BE"/>
    <w:rsid w:val="007E2154"/>
    <w:rsid w:val="007F2F78"/>
    <w:rsid w:val="008461D0"/>
    <w:rsid w:val="00850BBE"/>
    <w:rsid w:val="00851907"/>
    <w:rsid w:val="008A49E4"/>
    <w:rsid w:val="008B2309"/>
    <w:rsid w:val="008C28B1"/>
    <w:rsid w:val="008D4CF8"/>
    <w:rsid w:val="008D6388"/>
    <w:rsid w:val="008D7DC2"/>
    <w:rsid w:val="008E2BD0"/>
    <w:rsid w:val="009033EC"/>
    <w:rsid w:val="00906030"/>
    <w:rsid w:val="00943100"/>
    <w:rsid w:val="0095069E"/>
    <w:rsid w:val="00951E01"/>
    <w:rsid w:val="00965089"/>
    <w:rsid w:val="0097140C"/>
    <w:rsid w:val="009B26E6"/>
    <w:rsid w:val="009B463F"/>
    <w:rsid w:val="009D03E7"/>
    <w:rsid w:val="009E310E"/>
    <w:rsid w:val="009F290D"/>
    <w:rsid w:val="00A30F45"/>
    <w:rsid w:val="00A43AAE"/>
    <w:rsid w:val="00A63AD8"/>
    <w:rsid w:val="00AA458C"/>
    <w:rsid w:val="00AC343E"/>
    <w:rsid w:val="00AC4415"/>
    <w:rsid w:val="00AC46C9"/>
    <w:rsid w:val="00AC67DA"/>
    <w:rsid w:val="00B00EC1"/>
    <w:rsid w:val="00B147FA"/>
    <w:rsid w:val="00B301F1"/>
    <w:rsid w:val="00B51095"/>
    <w:rsid w:val="00B901A7"/>
    <w:rsid w:val="00B95E8B"/>
    <w:rsid w:val="00BB05B4"/>
    <w:rsid w:val="00BC1A25"/>
    <w:rsid w:val="00BC472A"/>
    <w:rsid w:val="00BC6097"/>
    <w:rsid w:val="00BF7E06"/>
    <w:rsid w:val="00C21E6F"/>
    <w:rsid w:val="00C34D44"/>
    <w:rsid w:val="00C50621"/>
    <w:rsid w:val="00C60936"/>
    <w:rsid w:val="00C77780"/>
    <w:rsid w:val="00C8164D"/>
    <w:rsid w:val="00CA2763"/>
    <w:rsid w:val="00CB6A63"/>
    <w:rsid w:val="00CE7212"/>
    <w:rsid w:val="00CF2C3B"/>
    <w:rsid w:val="00D02A74"/>
    <w:rsid w:val="00D13F93"/>
    <w:rsid w:val="00D40A14"/>
    <w:rsid w:val="00D45084"/>
    <w:rsid w:val="00D5696F"/>
    <w:rsid w:val="00D66961"/>
    <w:rsid w:val="00D95250"/>
    <w:rsid w:val="00DB03BA"/>
    <w:rsid w:val="00DB2FA7"/>
    <w:rsid w:val="00DC2FED"/>
    <w:rsid w:val="00DE085F"/>
    <w:rsid w:val="00DE3C2C"/>
    <w:rsid w:val="00E2308C"/>
    <w:rsid w:val="00E247F7"/>
    <w:rsid w:val="00E373DF"/>
    <w:rsid w:val="00E54766"/>
    <w:rsid w:val="00E774EA"/>
    <w:rsid w:val="00E82505"/>
    <w:rsid w:val="00EA7DE9"/>
    <w:rsid w:val="00ED48A6"/>
    <w:rsid w:val="00ED6CB7"/>
    <w:rsid w:val="00EE7D17"/>
    <w:rsid w:val="00EF29EE"/>
    <w:rsid w:val="00F004E4"/>
    <w:rsid w:val="00F05D18"/>
    <w:rsid w:val="00F12487"/>
    <w:rsid w:val="00F540EC"/>
    <w:rsid w:val="00F83F70"/>
    <w:rsid w:val="00F955B8"/>
    <w:rsid w:val="00F96B36"/>
    <w:rsid w:val="00FC1A85"/>
    <w:rsid w:val="00FC2FB8"/>
    <w:rsid w:val="00FC7D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2529"/>
    <o:shapelayout v:ext="edit">
      <o:idmap v:ext="edit" data="1"/>
    </o:shapelayout>
  </w:shapeDefaults>
  <w:decimalSymbol w:val=","/>
  <w:listSeparator w:val=";"/>
  <w15:docId w15:val="{B3CCDBC8-083A-495D-AB9A-AE15F69F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08C"/>
    <w:pPr>
      <w:spacing w:after="0" w:line="260" w:lineRule="atLeast"/>
    </w:pPr>
    <w:rPr>
      <w:rFonts w:ascii="Georgia" w:hAnsi="Georgia"/>
      <w:sz w:val="24"/>
      <w:szCs w:val="24"/>
    </w:rPr>
  </w:style>
  <w:style w:type="paragraph" w:styleId="Overskrift1">
    <w:name w:val="heading 1"/>
    <w:basedOn w:val="Normal"/>
    <w:next w:val="Normal"/>
    <w:link w:val="Overskrift1Tegn"/>
    <w:uiPriority w:val="9"/>
    <w:qFormat/>
    <w:rsid w:val="00D02A74"/>
    <w:pPr>
      <w:keepNext/>
      <w:keepLines/>
      <w:spacing w:before="240" w:after="600" w:line="920" w:lineRule="atLeast"/>
      <w:outlineLvl w:val="0"/>
    </w:pPr>
    <w:rPr>
      <w:rFonts w:eastAsiaTheme="majorEastAsia" w:cstheme="majorBidi"/>
      <w:bCs/>
      <w:sz w:val="72"/>
      <w:szCs w:val="28"/>
    </w:rPr>
  </w:style>
  <w:style w:type="paragraph" w:styleId="Overskrift2">
    <w:name w:val="heading 2"/>
    <w:basedOn w:val="Normal"/>
    <w:next w:val="Normal"/>
    <w:link w:val="Overskrift2Tegn"/>
    <w:uiPriority w:val="9"/>
    <w:unhideWhenUsed/>
    <w:qFormat/>
    <w:rsid w:val="00E2308C"/>
    <w:pPr>
      <w:spacing w:after="240"/>
      <w:outlineLvl w:val="1"/>
    </w:pPr>
    <w:rPr>
      <w:b/>
      <w:sz w:val="28"/>
      <w:szCs w:val="28"/>
    </w:rPr>
  </w:style>
  <w:style w:type="paragraph" w:styleId="Overskrift3">
    <w:name w:val="heading 3"/>
    <w:basedOn w:val="Normal"/>
    <w:next w:val="Normal"/>
    <w:link w:val="Overskrift3Tegn"/>
    <w:uiPriority w:val="9"/>
    <w:unhideWhenUsed/>
    <w:rsid w:val="00CF2C3B"/>
    <w:pPr>
      <w:keepNext/>
      <w:jc w:val="both"/>
      <w:outlineLvl w:val="2"/>
    </w:pPr>
    <w:rPr>
      <w:b/>
      <w:bCs/>
      <w:szCs w:val="20"/>
    </w:rPr>
  </w:style>
  <w:style w:type="paragraph" w:styleId="Overskrift4">
    <w:name w:val="heading 4"/>
    <w:basedOn w:val="Normal"/>
    <w:next w:val="Normal"/>
    <w:link w:val="Overskrift4Tegn"/>
    <w:uiPriority w:val="9"/>
    <w:unhideWhenUsed/>
    <w:rsid w:val="00E2308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B1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D02A74"/>
    <w:rPr>
      <w:rFonts w:ascii="Georgia" w:eastAsiaTheme="majorEastAsia" w:hAnsi="Georgia" w:cstheme="majorBidi"/>
      <w:bCs/>
      <w:sz w:val="72"/>
      <w:szCs w:val="28"/>
    </w:rPr>
  </w:style>
  <w:style w:type="character" w:customStyle="1" w:styleId="Overskrift2Tegn">
    <w:name w:val="Overskrift 2 Tegn"/>
    <w:basedOn w:val="Standardskrifttypeiafsnit"/>
    <w:link w:val="Overskrift2"/>
    <w:uiPriority w:val="9"/>
    <w:rsid w:val="00E2308C"/>
    <w:rPr>
      <w:rFonts w:ascii="Georgia" w:hAnsi="Georgia"/>
      <w:b/>
      <w:sz w:val="28"/>
      <w:szCs w:val="28"/>
    </w:rPr>
  </w:style>
  <w:style w:type="paragraph" w:customStyle="1" w:styleId="Bagsideoverskrift">
    <w:name w:val="Bagsideoverskrift"/>
    <w:basedOn w:val="Normal"/>
    <w:rsid w:val="00BC6097"/>
    <w:pPr>
      <w:framePr w:wrap="around" w:vAnchor="page" w:hAnchor="page" w:x="852" w:y="11908"/>
      <w:suppressOverlap/>
    </w:pPr>
    <w:rPr>
      <w:b/>
    </w:rPr>
  </w:style>
  <w:style w:type="paragraph" w:styleId="Sidehoved">
    <w:name w:val="header"/>
    <w:basedOn w:val="Normal"/>
    <w:link w:val="SidehovedTegn"/>
    <w:uiPriority w:val="99"/>
    <w:unhideWhenUsed/>
    <w:rsid w:val="007A18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7A1864"/>
    <w:rPr>
      <w:rFonts w:ascii="Georgia" w:hAnsi="Georgia"/>
      <w:spacing w:val="2"/>
      <w:sz w:val="18"/>
    </w:rPr>
  </w:style>
  <w:style w:type="paragraph" w:styleId="Sidefod">
    <w:name w:val="footer"/>
    <w:basedOn w:val="Normal"/>
    <w:link w:val="SidefodTegn"/>
    <w:uiPriority w:val="99"/>
    <w:unhideWhenUsed/>
    <w:rsid w:val="007A18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7A1864"/>
    <w:rPr>
      <w:rFonts w:ascii="Georgia" w:hAnsi="Georgia"/>
      <w:spacing w:val="2"/>
      <w:sz w:val="18"/>
    </w:rPr>
  </w:style>
  <w:style w:type="paragraph" w:customStyle="1" w:styleId="Bagsidebrdtekst">
    <w:name w:val="Bagsidebrødtekst"/>
    <w:basedOn w:val="Normal"/>
    <w:rsid w:val="00BC6097"/>
  </w:style>
  <w:style w:type="paragraph" w:styleId="Markeringsbobletekst">
    <w:name w:val="Balloon Text"/>
    <w:basedOn w:val="Normal"/>
    <w:link w:val="MarkeringsbobletekstTegn"/>
    <w:uiPriority w:val="99"/>
    <w:semiHidden/>
    <w:unhideWhenUsed/>
    <w:rsid w:val="00400D1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0D19"/>
    <w:rPr>
      <w:rFonts w:ascii="Tahoma" w:hAnsi="Tahoma" w:cs="Tahoma"/>
      <w:spacing w:val="2"/>
      <w:sz w:val="16"/>
      <w:szCs w:val="16"/>
    </w:rPr>
  </w:style>
  <w:style w:type="paragraph" w:customStyle="1" w:styleId="Afdeling">
    <w:name w:val="Afdeling"/>
    <w:basedOn w:val="Normal"/>
    <w:rsid w:val="00851907"/>
    <w:pPr>
      <w:spacing w:line="240" w:lineRule="atLeast"/>
      <w:jc w:val="right"/>
    </w:pPr>
    <w:rPr>
      <w:color w:val="808080" w:themeColor="background1" w:themeShade="80"/>
    </w:rPr>
  </w:style>
  <w:style w:type="paragraph" w:customStyle="1" w:styleId="Forsideoverskrift">
    <w:name w:val="Forsideoverskrift"/>
    <w:basedOn w:val="Normal"/>
    <w:rsid w:val="00006E6A"/>
    <w:pPr>
      <w:framePr w:wrap="around" w:vAnchor="page" w:hAnchor="text" w:y="11965"/>
      <w:spacing w:line="920" w:lineRule="atLeast"/>
      <w:suppressOverlap/>
    </w:pPr>
    <w:rPr>
      <w:sz w:val="72"/>
    </w:rPr>
  </w:style>
  <w:style w:type="character" w:customStyle="1" w:styleId="Overskrift3Tegn">
    <w:name w:val="Overskrift 3 Tegn"/>
    <w:basedOn w:val="Standardskrifttypeiafsnit"/>
    <w:link w:val="Overskrift3"/>
    <w:uiPriority w:val="9"/>
    <w:rsid w:val="00CF2C3B"/>
    <w:rPr>
      <w:rFonts w:ascii="Georgia" w:hAnsi="Georgia"/>
      <w:b/>
      <w:bCs/>
      <w:sz w:val="24"/>
      <w:szCs w:val="20"/>
    </w:rPr>
  </w:style>
  <w:style w:type="paragraph" w:customStyle="1" w:styleId="Punktliste">
    <w:name w:val="Punktliste"/>
    <w:basedOn w:val="Normal"/>
    <w:qFormat/>
    <w:rsid w:val="0053357D"/>
    <w:pPr>
      <w:numPr>
        <w:numId w:val="2"/>
      </w:numPr>
      <w:spacing w:after="200"/>
    </w:pPr>
    <w:rPr>
      <w:sz w:val="22"/>
    </w:rPr>
  </w:style>
  <w:style w:type="paragraph" w:customStyle="1" w:styleId="Talliste">
    <w:name w:val="Talliste"/>
    <w:basedOn w:val="Normal"/>
    <w:qFormat/>
    <w:rsid w:val="0053357D"/>
    <w:pPr>
      <w:numPr>
        <w:numId w:val="3"/>
      </w:numPr>
      <w:spacing w:after="200" w:line="240" w:lineRule="atLeast"/>
    </w:pPr>
    <w:rPr>
      <w:sz w:val="22"/>
    </w:rPr>
  </w:style>
  <w:style w:type="character" w:customStyle="1" w:styleId="Overskrift4Tegn">
    <w:name w:val="Overskrift 4 Tegn"/>
    <w:basedOn w:val="Standardskrifttypeiafsnit"/>
    <w:link w:val="Overskrift4"/>
    <w:uiPriority w:val="9"/>
    <w:rsid w:val="00E2308C"/>
    <w:rPr>
      <w:rFonts w:asciiTheme="majorHAnsi" w:eastAsiaTheme="majorEastAsia" w:hAnsiTheme="majorHAnsi" w:cstheme="majorBidi"/>
      <w:i/>
      <w:iCs/>
      <w:color w:val="365F91" w:themeColor="accent1" w:themeShade="BF"/>
      <w:sz w:val="18"/>
    </w:rPr>
  </w:style>
  <w:style w:type="paragraph" w:styleId="Fodnotetekst">
    <w:name w:val="footnote text"/>
    <w:basedOn w:val="Normal"/>
    <w:link w:val="FodnotetekstTegn"/>
    <w:semiHidden/>
    <w:unhideWhenUsed/>
    <w:rsid w:val="00E2308C"/>
    <w:pPr>
      <w:spacing w:line="240" w:lineRule="auto"/>
    </w:pPr>
    <w:rPr>
      <w:sz w:val="20"/>
      <w:szCs w:val="20"/>
    </w:rPr>
  </w:style>
  <w:style w:type="character" w:customStyle="1" w:styleId="FodnotetekstTegn">
    <w:name w:val="Fodnotetekst Tegn"/>
    <w:basedOn w:val="Standardskrifttypeiafsnit"/>
    <w:link w:val="Fodnotetekst"/>
    <w:uiPriority w:val="99"/>
    <w:semiHidden/>
    <w:rsid w:val="00E2308C"/>
    <w:rPr>
      <w:rFonts w:ascii="Georgia" w:hAnsi="Georgia"/>
      <w:sz w:val="20"/>
      <w:szCs w:val="20"/>
    </w:rPr>
  </w:style>
  <w:style w:type="character" w:styleId="Fodnotehenvisning">
    <w:name w:val="footnote reference"/>
    <w:basedOn w:val="Standardskrifttypeiafsnit"/>
    <w:semiHidden/>
    <w:unhideWhenUsed/>
    <w:rsid w:val="00E2308C"/>
    <w:rPr>
      <w:vertAlign w:val="superscript"/>
    </w:rPr>
  </w:style>
  <w:style w:type="paragraph" w:styleId="Listeafsnit">
    <w:name w:val="List Paragraph"/>
    <w:basedOn w:val="Normal"/>
    <w:uiPriority w:val="34"/>
    <w:rsid w:val="00CF2C3B"/>
    <w:pPr>
      <w:ind w:left="720"/>
      <w:contextualSpacing/>
    </w:pPr>
  </w:style>
  <w:style w:type="paragraph" w:styleId="NormalWeb">
    <w:name w:val="Normal (Web)"/>
    <w:basedOn w:val="Normal"/>
    <w:uiPriority w:val="99"/>
    <w:semiHidden/>
    <w:unhideWhenUsed/>
    <w:rsid w:val="00AC343E"/>
    <w:pPr>
      <w:spacing w:before="100" w:beforeAutospacing="1" w:after="100" w:afterAutospacing="1" w:line="240" w:lineRule="auto"/>
    </w:pPr>
    <w:rPr>
      <w:rFonts w:ascii="Times New Roman" w:eastAsia="Times New Roman" w:hAnsi="Times New Roman" w:cs="Times New Roman"/>
      <w:lang w:eastAsia="da-DK"/>
    </w:rPr>
  </w:style>
  <w:style w:type="character" w:styleId="Hyperlink">
    <w:name w:val="Hyperlink"/>
    <w:basedOn w:val="Standardskrifttypeiafsnit"/>
    <w:rsid w:val="00BC1A25"/>
    <w:rPr>
      <w:color w:val="0000FF"/>
      <w:u w:val="single"/>
    </w:rPr>
  </w:style>
  <w:style w:type="paragraph" w:styleId="Brdtekst3">
    <w:name w:val="Body Text 3"/>
    <w:basedOn w:val="Normal"/>
    <w:link w:val="Brdtekst3Tegn"/>
    <w:rsid w:val="00FC2FB8"/>
    <w:pPr>
      <w:spacing w:after="120" w:line="240" w:lineRule="auto"/>
    </w:pPr>
    <w:rPr>
      <w:rFonts w:ascii="Times New Roman" w:eastAsia="Times New Roman" w:hAnsi="Times New Roman" w:cs="Times New Roman"/>
      <w:sz w:val="16"/>
      <w:szCs w:val="16"/>
      <w:lang w:eastAsia="da-DK"/>
    </w:rPr>
  </w:style>
  <w:style w:type="character" w:customStyle="1" w:styleId="Brdtekst3Tegn">
    <w:name w:val="Brødtekst 3 Tegn"/>
    <w:basedOn w:val="Standardskrifttypeiafsnit"/>
    <w:link w:val="Brdtekst3"/>
    <w:rsid w:val="00FC2FB8"/>
    <w:rPr>
      <w:rFonts w:ascii="Times New Roman" w:eastAsia="Times New Roman" w:hAnsi="Times New Roman" w:cs="Times New Roman"/>
      <w:sz w:val="16"/>
      <w:szCs w:val="1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37644">
      <w:bodyDiv w:val="1"/>
      <w:marLeft w:val="0"/>
      <w:marRight w:val="0"/>
      <w:marTop w:val="0"/>
      <w:marBottom w:val="0"/>
      <w:divBdr>
        <w:top w:val="none" w:sz="0" w:space="0" w:color="auto"/>
        <w:left w:val="none" w:sz="0" w:space="0" w:color="auto"/>
        <w:bottom w:val="none" w:sz="0" w:space="0" w:color="auto"/>
        <w:right w:val="none" w:sz="0" w:space="0" w:color="auto"/>
      </w:divBdr>
    </w:div>
    <w:div w:id="1252082350">
      <w:bodyDiv w:val="1"/>
      <w:marLeft w:val="0"/>
      <w:marRight w:val="0"/>
      <w:marTop w:val="0"/>
      <w:marBottom w:val="0"/>
      <w:divBdr>
        <w:top w:val="none" w:sz="0" w:space="0" w:color="auto"/>
        <w:left w:val="none" w:sz="0" w:space="0" w:color="auto"/>
        <w:bottom w:val="none" w:sz="0" w:space="0" w:color="auto"/>
        <w:right w:val="none" w:sz="0" w:space="0" w:color="auto"/>
      </w:divBdr>
      <w:divsChild>
        <w:div w:id="1901362060">
          <w:marLeft w:val="0"/>
          <w:marRight w:val="0"/>
          <w:marTop w:val="0"/>
          <w:marBottom w:val="0"/>
          <w:divBdr>
            <w:top w:val="none" w:sz="0" w:space="0" w:color="auto"/>
            <w:left w:val="none" w:sz="0" w:space="0" w:color="auto"/>
            <w:bottom w:val="none" w:sz="0" w:space="0" w:color="auto"/>
            <w:right w:val="none" w:sz="0" w:space="0" w:color="auto"/>
          </w:divBdr>
          <w:divsChild>
            <w:div w:id="112789335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92776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ssensforsyning.dk" TargetMode="External"/><Relationship Id="rId5" Type="http://schemas.openxmlformats.org/officeDocument/2006/relationships/webSettings" Target="webSettings.xml"/><Relationship Id="rId10" Type="http://schemas.openxmlformats.org/officeDocument/2006/relationships/hyperlink" Target="mailto:sydfyn@friluftsraadet.dk"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ssens.dk\file\AFD\TDS_Dynamictemplate\Skabeloner\Brochure%20A4.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5C9AC-A982-46EA-9CEF-24790F3E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 A4</Template>
  <TotalTime>1</TotalTime>
  <Pages>14</Pages>
  <Words>3090</Words>
  <Characters>19193</Characters>
  <Application>Microsoft Office Word</Application>
  <DocSecurity>4</DocSecurity>
  <Lines>661</Lines>
  <Paragraphs>275</Paragraphs>
  <ScaleCrop>false</ScaleCrop>
  <HeadingPairs>
    <vt:vector size="2" baseType="variant">
      <vt:variant>
        <vt:lpstr>Titel</vt:lpstr>
      </vt:variant>
      <vt:variant>
        <vt:i4>1</vt:i4>
      </vt:variant>
    </vt:vector>
  </HeadingPairs>
  <TitlesOfParts>
    <vt:vector size="1" baseType="lpstr">
      <vt:lpstr>Sammendrag</vt:lpstr>
    </vt:vector>
  </TitlesOfParts>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Sammendrag</dc:title>
  <dc:subject/>
  <dc:creator>Dorthe Toft</dc:creator>
  <cp:keywords/>
  <dc:description/>
  <cp:lastModifiedBy>Dorthe Toft</cp:lastModifiedBy>
  <cp:revision>2</cp:revision>
  <dcterms:created xsi:type="dcterms:W3CDTF">2022-12-19T13:33:00Z</dcterms:created>
  <dcterms:modified xsi:type="dcterms:W3CDTF">2022-12-19T13:33:00Z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{435FA520-2559-4FC2-B56D-B73F2A1EE4EB}</vt:lpwstr>
  </property>
</Properties>
</file>