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F40E31" w:rsidRPr="008C6625" w14:paraId="46631A7B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6C2A677F" w14:textId="77777777" w:rsidR="00F40E31" w:rsidRPr="008C6625" w:rsidRDefault="00F40E31" w:rsidP="00135973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31D152D2" w14:textId="77777777" w:rsidR="00F40E31" w:rsidRPr="008C6625" w:rsidRDefault="00F40E31" w:rsidP="00135973">
            <w:pPr>
              <w:spacing w:before="20" w:after="20"/>
            </w:pPr>
            <w:r w:rsidRPr="00F65A3B">
              <w:t>Jedsted Mølle Dambrug</w:t>
            </w:r>
          </w:p>
        </w:tc>
      </w:tr>
      <w:tr w:rsidR="00F40E31" w:rsidRPr="008C6625" w14:paraId="125D0AAD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62FBB281" w14:textId="77777777" w:rsidR="00F40E31" w:rsidRPr="008C6625" w:rsidRDefault="00F40E31" w:rsidP="00135973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6CFBE630" w14:textId="77777777" w:rsidR="00F40E31" w:rsidRPr="00F65A3B" w:rsidRDefault="00F40E31" w:rsidP="00135973">
            <w:pPr>
              <w:spacing w:before="20" w:after="20"/>
            </w:pPr>
            <w:r w:rsidRPr="00F65A3B">
              <w:t>Jedsted Møllevej 11 A, 6771 Gredstedbro</w:t>
            </w:r>
          </w:p>
          <w:p w14:paraId="16BAABC9" w14:textId="77777777" w:rsidR="00F40E31" w:rsidRPr="008C6625" w:rsidRDefault="00F40E31" w:rsidP="00135973">
            <w:pPr>
              <w:spacing w:before="20" w:after="20"/>
            </w:pPr>
          </w:p>
        </w:tc>
      </w:tr>
      <w:tr w:rsidR="00F40E31" w:rsidRPr="008C6625" w14:paraId="227F6F36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166F3B5C" w14:textId="77777777" w:rsidR="00F40E31" w:rsidRPr="008C6625" w:rsidRDefault="00F40E31" w:rsidP="00135973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4444E7DA" w14:textId="77777777" w:rsidR="00F40E31" w:rsidRPr="008C6625" w:rsidRDefault="00F40E31" w:rsidP="00135973">
            <w:pPr>
              <w:spacing w:before="20" w:after="20"/>
            </w:pPr>
            <w:r w:rsidRPr="00D30814">
              <w:t>38046543</w:t>
            </w:r>
          </w:p>
        </w:tc>
      </w:tr>
      <w:tr w:rsidR="00F40E31" w:rsidRPr="008C6625" w14:paraId="3155018C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0DDA3C5E" w14:textId="77777777" w:rsidR="00F40E31" w:rsidRPr="008C6625" w:rsidRDefault="00F40E31" w:rsidP="00135973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084A9C26" w14:textId="22FC7EFE" w:rsidR="00F40E31" w:rsidRPr="008C6625" w:rsidRDefault="00E50F7E" w:rsidP="00135973">
            <w:pPr>
              <w:spacing w:before="20" w:after="20"/>
            </w:pPr>
            <w:r>
              <w:t>2</w:t>
            </w:r>
            <w:r w:rsidR="00F40E31">
              <w:t>5. ju</w:t>
            </w:r>
            <w:r>
              <w:t>ni</w:t>
            </w:r>
            <w:r w:rsidR="00F40E31">
              <w:t xml:space="preserve"> 202</w:t>
            </w:r>
            <w:r>
              <w:t>4</w:t>
            </w:r>
          </w:p>
        </w:tc>
      </w:tr>
      <w:tr w:rsidR="00F40E31" w:rsidRPr="008C6625" w14:paraId="2C15076D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252923FD" w14:textId="77777777" w:rsidR="00F40E31" w:rsidRPr="008C6625" w:rsidRDefault="00F40E31" w:rsidP="00135973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3656695E" w14:textId="77777777" w:rsidR="00F40E31" w:rsidRPr="008C6625" w:rsidRDefault="00F40E31" w:rsidP="00135973">
            <w:pPr>
              <w:spacing w:before="20" w:after="20"/>
            </w:pPr>
            <w:r>
              <w:t>Basistilsyn</w:t>
            </w:r>
          </w:p>
        </w:tc>
      </w:tr>
      <w:tr w:rsidR="00F40E31" w:rsidRPr="008C6625" w14:paraId="3F63F676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3DCAB6FE" w14:textId="77777777" w:rsidR="00F40E31" w:rsidRPr="008C6625" w:rsidRDefault="00F40E31" w:rsidP="00135973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24DAF24F" w14:textId="77777777" w:rsidR="00F40E31" w:rsidRDefault="00F40E31" w:rsidP="00135973">
            <w:pPr>
              <w:spacing w:before="20" w:after="20"/>
            </w:pPr>
            <w:r>
              <w:t>Dambrug</w:t>
            </w:r>
          </w:p>
          <w:p w14:paraId="7E8E97D6" w14:textId="77777777" w:rsidR="00F40E31" w:rsidRPr="008C6625" w:rsidRDefault="00F40E31" w:rsidP="00135973">
            <w:pPr>
              <w:spacing w:before="20" w:after="20"/>
            </w:pPr>
            <w:r>
              <w:t>I 202</w:t>
            </w:r>
          </w:p>
        </w:tc>
      </w:tr>
      <w:tr w:rsidR="00F40E31" w:rsidRPr="008C6625" w14:paraId="2CE75647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78F2E14F" w14:textId="77777777" w:rsidR="00F40E31" w:rsidRPr="008C6625" w:rsidRDefault="00F40E31" w:rsidP="00135973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18BA88BD" w14:textId="77777777" w:rsidR="00F40E31" w:rsidRDefault="00F40E31" w:rsidP="00135973">
            <w:pPr>
              <w:spacing w:before="20" w:after="20"/>
            </w:pPr>
            <w:r>
              <w:t>Basistilsyn</w:t>
            </w:r>
          </w:p>
          <w:p w14:paraId="471C8A02" w14:textId="77777777" w:rsidR="00F40E31" w:rsidRPr="008C6625" w:rsidRDefault="00F40E31" w:rsidP="00135973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F40E31" w:rsidRPr="008C6625" w14:paraId="06F2D89B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41E5BCAE" w14:textId="77777777" w:rsidR="00F40E31" w:rsidRDefault="00F40E31" w:rsidP="00135973">
            <w:pPr>
              <w:spacing w:before="20" w:after="20"/>
            </w:pPr>
            <w:r w:rsidRPr="008C6625">
              <w:t>Er der konstateret</w:t>
            </w:r>
          </w:p>
          <w:p w14:paraId="258445B7" w14:textId="77777777" w:rsidR="00F40E31" w:rsidRPr="008C6625" w:rsidRDefault="00F40E31" w:rsidP="00135973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5E734389" w14:textId="77777777" w:rsidR="00F40E31" w:rsidRPr="008C6625" w:rsidRDefault="00F40E31" w:rsidP="00135973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F40E31" w:rsidRPr="008C6625" w14:paraId="048B049F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2D6C731F" w14:textId="77777777" w:rsidR="00F40E31" w:rsidRDefault="00F40E31" w:rsidP="00135973">
            <w:pPr>
              <w:spacing w:before="20" w:after="20"/>
            </w:pPr>
            <w:r w:rsidRPr="008C6625">
              <w:t>Er der meddelt påbud, forbud eller indskærpelser</w:t>
            </w:r>
          </w:p>
          <w:p w14:paraId="34894AAC" w14:textId="77777777" w:rsidR="00F40E31" w:rsidRPr="008C6625" w:rsidRDefault="00F40E31" w:rsidP="00135973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12027D3B" w14:textId="77777777" w:rsidR="00F40E31" w:rsidRPr="008C6625" w:rsidRDefault="00F40E31" w:rsidP="00135973">
            <w:pPr>
              <w:spacing w:before="20" w:after="20"/>
            </w:pPr>
            <w:r>
              <w:t>Nej</w:t>
            </w:r>
          </w:p>
        </w:tc>
      </w:tr>
      <w:tr w:rsidR="00F40E31" w:rsidRPr="008C6625" w14:paraId="4FF6E45E" w14:textId="77777777" w:rsidTr="00135973">
        <w:trPr>
          <w:trHeight w:val="735"/>
        </w:trPr>
        <w:tc>
          <w:tcPr>
            <w:tcW w:w="3061" w:type="dxa"/>
            <w:vAlign w:val="center"/>
          </w:tcPr>
          <w:p w14:paraId="643D067A" w14:textId="77777777" w:rsidR="00F40E31" w:rsidRPr="008C6625" w:rsidRDefault="00F40E31" w:rsidP="00135973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142E5170" w14:textId="0C61260F" w:rsidR="00F40E31" w:rsidRPr="00F65A3B" w:rsidRDefault="00F40E31" w:rsidP="00135973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Udledning af fosfor er </w:t>
            </w:r>
            <w:r w:rsidR="00E50F7E">
              <w:rPr>
                <w:bCs/>
              </w:rPr>
              <w:t>inde i en meget positiv udvikling med faldende koncentrationer – og overholdelse af kravværdier for 2023</w:t>
            </w:r>
          </w:p>
        </w:tc>
      </w:tr>
      <w:tr w:rsidR="00F40E31" w:rsidRPr="008C6625" w14:paraId="42C2B85F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4DA3CA35" w14:textId="77777777" w:rsidR="00F40E31" w:rsidRPr="008C6625" w:rsidRDefault="00F40E31" w:rsidP="00135973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1F9127DA" w14:textId="60DFFFB1" w:rsidR="00F40E31" w:rsidRPr="008C6625" w:rsidRDefault="00F40E31" w:rsidP="00135973">
            <w:pPr>
              <w:ind w:right="-482"/>
              <w:jc w:val="both"/>
            </w:pPr>
            <w:r>
              <w:t xml:space="preserve">Dambruget </w:t>
            </w:r>
            <w:r w:rsidR="00E50F7E">
              <w:t>havde fisk i 9 ud af</w:t>
            </w:r>
            <w:r>
              <w:t xml:space="preserve"> 12 kummer</w:t>
            </w:r>
          </w:p>
          <w:p w14:paraId="1EB28C72" w14:textId="77777777" w:rsidR="00F40E31" w:rsidRPr="008C6625" w:rsidRDefault="00F40E31" w:rsidP="00135973">
            <w:pPr>
              <w:spacing w:before="20" w:after="20"/>
            </w:pPr>
          </w:p>
        </w:tc>
      </w:tr>
      <w:tr w:rsidR="00F40E31" w:rsidRPr="008C6625" w14:paraId="263A08C6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4327EEE0" w14:textId="77777777" w:rsidR="00F40E31" w:rsidRPr="008C6625" w:rsidRDefault="00F40E31" w:rsidP="00135973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6E03E376" w14:textId="088E9468" w:rsidR="00F40E31" w:rsidRPr="008C6625" w:rsidRDefault="00E50F7E" w:rsidP="00135973">
            <w:pPr>
              <w:spacing w:before="20" w:after="20"/>
            </w:pPr>
            <w:r>
              <w:t>Flisfiltret kører rigtig stabilt – og drænene spules regelmæssig</w:t>
            </w:r>
          </w:p>
        </w:tc>
      </w:tr>
      <w:tr w:rsidR="00F40E31" w:rsidRPr="008C6625" w14:paraId="32558AAC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1B6F64C8" w14:textId="77777777" w:rsidR="00F40E31" w:rsidRPr="008C6625" w:rsidRDefault="00F40E31" w:rsidP="00135973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1B79FFC3" w14:textId="08B3E1DB" w:rsidR="00F40E31" w:rsidRPr="008C6625" w:rsidRDefault="00F40E31" w:rsidP="00135973">
            <w:pPr>
              <w:spacing w:before="20" w:after="20"/>
            </w:pPr>
            <w:r>
              <w:t xml:space="preserve">Dambruget har fået et tillæg til </w:t>
            </w:r>
            <w:proofErr w:type="spellStart"/>
            <w:r>
              <w:t>mgk</w:t>
            </w:r>
            <w:proofErr w:type="spellEnd"/>
            <w:r>
              <w:t xml:space="preserve"> med implementering af ekstra kvælstof, som potentielt kan give dem mulighed for en øget produktion.</w:t>
            </w:r>
            <w:r w:rsidR="00E50F7E">
              <w:t xml:space="preserve"> Der er endnu ikke sket en forøgelse af produktionen som følge af den ekstra kvælstof.</w:t>
            </w:r>
          </w:p>
        </w:tc>
      </w:tr>
      <w:tr w:rsidR="00F40E31" w:rsidRPr="008C6625" w14:paraId="4917E39C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16B5B01E" w14:textId="77777777" w:rsidR="00F40E31" w:rsidRPr="008C6625" w:rsidRDefault="00F40E31" w:rsidP="00135973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53323B40" w14:textId="77777777" w:rsidR="00F40E31" w:rsidRPr="008C6625" w:rsidRDefault="00F40E31" w:rsidP="00135973">
            <w:pPr>
              <w:spacing w:before="20" w:after="20"/>
            </w:pPr>
            <w:r>
              <w:t>Nej</w:t>
            </w:r>
          </w:p>
        </w:tc>
      </w:tr>
      <w:tr w:rsidR="00F40E31" w:rsidRPr="008C6625" w14:paraId="4CAE4D94" w14:textId="77777777" w:rsidTr="00135973">
        <w:trPr>
          <w:trHeight w:val="567"/>
        </w:trPr>
        <w:tc>
          <w:tcPr>
            <w:tcW w:w="3061" w:type="dxa"/>
            <w:vAlign w:val="center"/>
          </w:tcPr>
          <w:p w14:paraId="3483BDF3" w14:textId="77777777" w:rsidR="00F40E31" w:rsidRDefault="00F40E31" w:rsidP="00135973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14:paraId="3D1AEACB" w14:textId="77777777" w:rsidR="00F40E31" w:rsidRDefault="00F40E31" w:rsidP="00135973">
            <w:pPr>
              <w:spacing w:before="20" w:after="20"/>
            </w:pPr>
            <w:r>
              <w:t>Nej</w:t>
            </w:r>
          </w:p>
        </w:tc>
      </w:tr>
    </w:tbl>
    <w:p w14:paraId="572274D2" w14:textId="77777777" w:rsidR="00BD1E1E" w:rsidRPr="00BD1E1E" w:rsidRDefault="00BD1E1E" w:rsidP="00BD1E1E"/>
    <w:sectPr w:rsidR="00BD1E1E" w:rsidRPr="00BD1E1E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C2FD7" w14:textId="77777777" w:rsidR="00C23C5F" w:rsidRDefault="00C23C5F" w:rsidP="00291C7F">
      <w:pPr>
        <w:spacing w:line="240" w:lineRule="auto"/>
      </w:pPr>
      <w:r>
        <w:separator/>
      </w:r>
    </w:p>
    <w:p w14:paraId="08F411FE" w14:textId="77777777" w:rsidR="00C23C5F" w:rsidRDefault="00C23C5F"/>
  </w:endnote>
  <w:endnote w:type="continuationSeparator" w:id="0">
    <w:p w14:paraId="6BC3928B" w14:textId="77777777" w:rsidR="00C23C5F" w:rsidRDefault="00C23C5F" w:rsidP="00291C7F">
      <w:pPr>
        <w:spacing w:line="240" w:lineRule="auto"/>
      </w:pPr>
      <w:r>
        <w:continuationSeparator/>
      </w:r>
    </w:p>
    <w:p w14:paraId="48D9C107" w14:textId="77777777" w:rsidR="00C23C5F" w:rsidRDefault="00C2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B8F06" w14:textId="77777777" w:rsidR="00C23C5F" w:rsidRDefault="00C23C5F" w:rsidP="00291C7F">
      <w:pPr>
        <w:spacing w:line="240" w:lineRule="auto"/>
      </w:pPr>
      <w:r>
        <w:separator/>
      </w:r>
    </w:p>
    <w:p w14:paraId="524A83AA" w14:textId="77777777" w:rsidR="00C23C5F" w:rsidRDefault="00C23C5F"/>
  </w:footnote>
  <w:footnote w:type="continuationSeparator" w:id="0">
    <w:p w14:paraId="048B61E8" w14:textId="77777777" w:rsidR="00C23C5F" w:rsidRDefault="00C23C5F" w:rsidP="00291C7F">
      <w:pPr>
        <w:spacing w:line="240" w:lineRule="auto"/>
      </w:pPr>
      <w:r>
        <w:continuationSeparator/>
      </w:r>
    </w:p>
    <w:p w14:paraId="7237A28C" w14:textId="77777777" w:rsidR="00C23C5F" w:rsidRDefault="00C23C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802369">
    <w:abstractNumId w:val="9"/>
  </w:num>
  <w:num w:numId="2" w16cid:durableId="677080365">
    <w:abstractNumId w:val="7"/>
  </w:num>
  <w:num w:numId="3" w16cid:durableId="1579749233">
    <w:abstractNumId w:val="6"/>
  </w:num>
  <w:num w:numId="4" w16cid:durableId="1105152760">
    <w:abstractNumId w:val="5"/>
  </w:num>
  <w:num w:numId="5" w16cid:durableId="1086726912">
    <w:abstractNumId w:val="4"/>
  </w:num>
  <w:num w:numId="6" w16cid:durableId="1387214969">
    <w:abstractNumId w:val="8"/>
  </w:num>
  <w:num w:numId="7" w16cid:durableId="1269583005">
    <w:abstractNumId w:val="3"/>
  </w:num>
  <w:num w:numId="8" w16cid:durableId="1764646601">
    <w:abstractNumId w:val="2"/>
  </w:num>
  <w:num w:numId="9" w16cid:durableId="1025249925">
    <w:abstractNumId w:val="1"/>
  </w:num>
  <w:num w:numId="10" w16cid:durableId="74711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EsA/pL9YtetxaQOOGzj+wz43nddJCcpxyi5XNf7CG3zm7dXGRNtiIgn+Jc7456Ef"/>
    <w:docVar w:name="SaveInTemplateCenterEnabled" w:val="False"/>
  </w:docVars>
  <w:rsids>
    <w:rsidRoot w:val="00C23C5F"/>
    <w:rsid w:val="00000E0A"/>
    <w:rsid w:val="00003F51"/>
    <w:rsid w:val="00004AA3"/>
    <w:rsid w:val="00013EA4"/>
    <w:rsid w:val="00014751"/>
    <w:rsid w:val="00014A0A"/>
    <w:rsid w:val="00015D28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05BB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6799A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81E04"/>
    <w:rsid w:val="00B910BE"/>
    <w:rsid w:val="00BA155F"/>
    <w:rsid w:val="00BA276B"/>
    <w:rsid w:val="00BA2982"/>
    <w:rsid w:val="00BA36D4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23C5F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1DC3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77117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0F7E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0E3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8CD03"/>
  <w15:chartTrackingRefBased/>
  <w15:docId w15:val="{2C04D8E4-4EC5-4252-BC30-5B42360C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9768-F8E6-4C04-A246-04280F83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1188</Characters>
  <Application>Microsoft Office Word</Application>
  <DocSecurity>0</DocSecurity>
  <Lines>59</Lines>
  <Paragraphs>43</Paragraphs>
  <ScaleCrop>false</ScaleCrop>
  <Company>Esbjerg Kommune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Bergmann. TBH</dc:creator>
  <cp:keywords/>
  <dc:description/>
  <cp:lastModifiedBy>Torben Bergmann. TBH</cp:lastModifiedBy>
  <cp:revision>2</cp:revision>
  <cp:lastPrinted>2014-07-17T10:44:00Z</cp:lastPrinted>
  <dcterms:created xsi:type="dcterms:W3CDTF">2024-07-01T08:36:00Z</dcterms:created>
  <dcterms:modified xsi:type="dcterms:W3CDTF">2024-07-01T08:36:00Z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{08E8C055-BA35-429F-89DC-B7152085ADD2}</vt:lpwstr>
  </property>
</Properties>
</file>