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66" w:rsidRDefault="00301C66" w:rsidP="00742700">
      <w:pPr>
        <w:spacing w:after="0" w:line="240" w:lineRule="auto"/>
        <w:rPr>
          <w:rFonts w:ascii="Verdana" w:hAnsi="Verdana"/>
          <w:b/>
        </w:rPr>
      </w:pPr>
      <w:r w:rsidRPr="00301C66">
        <w:rPr>
          <w:rFonts w:ascii="Verdana" w:hAnsi="Verdana"/>
          <w:b/>
        </w:rPr>
        <w:t xml:space="preserve">Bilag 5: Naturvurdering tilknyttet ansøgning 211763, </w:t>
      </w:r>
    </w:p>
    <w:p w:rsidR="00742700" w:rsidRPr="00301C66" w:rsidRDefault="00301C66" w:rsidP="00742700">
      <w:pPr>
        <w:spacing w:after="0" w:line="240" w:lineRule="auto"/>
        <w:rPr>
          <w:rFonts w:ascii="Verdana" w:hAnsi="Verdana"/>
          <w:b/>
        </w:rPr>
      </w:pPr>
      <w:r w:rsidRPr="00301C66">
        <w:rPr>
          <w:rFonts w:ascii="Verdana" w:hAnsi="Verdana"/>
          <w:b/>
        </w:rPr>
        <w:t>”Gettrup”, Rørholtvej 59</w:t>
      </w:r>
    </w:p>
    <w:p w:rsidR="00301C66" w:rsidRPr="00301C66" w:rsidRDefault="00301C66" w:rsidP="00742700">
      <w:pPr>
        <w:spacing w:after="0" w:line="240" w:lineRule="auto"/>
        <w:rPr>
          <w:rFonts w:ascii="Verdana" w:hAnsi="Verdana"/>
          <w:b/>
        </w:rPr>
      </w:pPr>
    </w:p>
    <w:p w:rsidR="00301C66" w:rsidRPr="00301C66" w:rsidRDefault="00301C66" w:rsidP="00742700">
      <w:pPr>
        <w:spacing w:after="0" w:line="240" w:lineRule="auto"/>
        <w:rPr>
          <w:rFonts w:ascii="Verdana" w:hAnsi="Verdana"/>
          <w:sz w:val="20"/>
        </w:rPr>
      </w:pPr>
      <w:r w:rsidRPr="00301C66">
        <w:rPr>
          <w:rFonts w:ascii="Verdana" w:hAnsi="Verdana"/>
          <w:sz w:val="20"/>
        </w:rPr>
        <w:t>Der er beregnet ammoniakdeposition til følgende naturpunkter som indtastet i ansøgningen:</w:t>
      </w:r>
    </w:p>
    <w:p w:rsidR="00301C66" w:rsidRPr="00301C66" w:rsidRDefault="00301C66" w:rsidP="00742700">
      <w:pPr>
        <w:spacing w:after="0" w:line="240" w:lineRule="auto"/>
        <w:rPr>
          <w:rFonts w:ascii="Verdana" w:hAnsi="Verdan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52"/>
        <w:gridCol w:w="1512"/>
        <w:gridCol w:w="1095"/>
        <w:gridCol w:w="910"/>
        <w:gridCol w:w="1620"/>
        <w:gridCol w:w="1620"/>
        <w:gridCol w:w="1745"/>
      </w:tblGrid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6857" w:type="dxa"/>
            <w:gridSpan w:val="5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b/>
                <w:szCs w:val="18"/>
              </w:rPr>
              <w:t>Oversigt naturpunkter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Naturpunkt nr.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Navngivning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Kategori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Ruhed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Merdeposition 8-års drift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Merdeposition nudrift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Totaldeposition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1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1 natur Overdrev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1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Bn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2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2 natur 1 hede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2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Mk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3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 xml:space="preserve">Kat natur 2 overdrev 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2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Bn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4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3 1 mose V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3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Bn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4,1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5,2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 xml:space="preserve">5 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3 2 mose V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3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Bn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5,7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9,1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6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3 3 overdrev S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3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Bn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0,6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1</w:t>
            </w:r>
          </w:p>
        </w:tc>
      </w:tr>
      <w:tr w:rsidR="00301C66" w:rsidRPr="00301C66" w:rsidTr="000D7737">
        <w:tc>
          <w:tcPr>
            <w:tcW w:w="84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7</w:t>
            </w:r>
          </w:p>
        </w:tc>
        <w:tc>
          <w:tcPr>
            <w:tcW w:w="192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Kat 3 4 mose N</w:t>
            </w:r>
          </w:p>
        </w:tc>
        <w:tc>
          <w:tcPr>
            <w:tcW w:w="1391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3</w:t>
            </w:r>
          </w:p>
        </w:tc>
        <w:tc>
          <w:tcPr>
            <w:tcW w:w="1386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Mk</w:t>
            </w:r>
          </w:p>
        </w:tc>
        <w:tc>
          <w:tcPr>
            <w:tcW w:w="1352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0,8</w:t>
            </w:r>
          </w:p>
        </w:tc>
        <w:tc>
          <w:tcPr>
            <w:tcW w:w="1393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0</w:t>
            </w:r>
          </w:p>
        </w:tc>
        <w:tc>
          <w:tcPr>
            <w:tcW w:w="1335" w:type="dxa"/>
          </w:tcPr>
          <w:p w:rsidR="00301C66" w:rsidRPr="00301C66" w:rsidRDefault="00301C66" w:rsidP="000D7737">
            <w:pPr>
              <w:rPr>
                <w:rFonts w:ascii="Verdana" w:hAnsi="Verdana"/>
                <w:szCs w:val="18"/>
              </w:rPr>
            </w:pPr>
            <w:r w:rsidRPr="00301C66">
              <w:rPr>
                <w:rFonts w:ascii="Verdana" w:hAnsi="Verdana"/>
                <w:szCs w:val="18"/>
              </w:rPr>
              <w:t>2,4</w:t>
            </w:r>
          </w:p>
        </w:tc>
      </w:tr>
    </w:tbl>
    <w:p w:rsidR="00301C66" w:rsidRPr="00301C66" w:rsidRDefault="00301C66" w:rsidP="00742700">
      <w:pPr>
        <w:spacing w:after="0" w:line="240" w:lineRule="auto"/>
        <w:rPr>
          <w:rFonts w:ascii="Verdana" w:hAnsi="Verdana"/>
        </w:rPr>
      </w:pPr>
    </w:p>
    <w:p w:rsidR="00CA3FAD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</w:rPr>
      </w:pPr>
      <w:r w:rsidRPr="000C6B3D">
        <w:rPr>
          <w:rFonts w:ascii="Verdana" w:hAnsi="Verdana"/>
          <w:b/>
          <w:sz w:val="20"/>
        </w:rPr>
        <w:t>Naturpunkt 1: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Nærmeste kategori 1 natur er indtastet som naturpunkt 1. Naturpunktet er beliggende 7 km sydøst for husdyrbruget. Der er beregnet en totaldeposition på 0 kg NH3-N/år og der forventes ingen påvirkning af det pågældende naturområde. 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>Der er ikke beregnet kumulation fra andre husdyrbrug til naturpunktet, da der ikke er påvist en påvirkning.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b/>
          <w:sz w:val="20"/>
        </w:rPr>
        <w:t>Naturpunkt 2: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Naturpunkt 2 er et kategori 2 natur beskyttet hedeareal beliggende 4,9 km sydøst for husdyrbruget. </w:t>
      </w:r>
      <w:r w:rsidRPr="000C6B3D">
        <w:rPr>
          <w:rFonts w:ascii="Verdana" w:hAnsi="Verdana"/>
          <w:sz w:val="20"/>
        </w:rPr>
        <w:t>Der er beregnet en totaldeposition på 0 kg NH3-N/år og der forventes ingen påvirkning af det pågældende naturområde.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</w:rPr>
      </w:pPr>
      <w:r w:rsidRPr="000C6B3D">
        <w:rPr>
          <w:rFonts w:ascii="Verdana" w:hAnsi="Verdana"/>
          <w:b/>
          <w:sz w:val="20"/>
        </w:rPr>
        <w:t xml:space="preserve">Naturpunkt 3: 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Naturpunkt 3 er et kategori 2 natur beskyttet overdrevsareal beliggende 5,5 km ø for husdyrbruget. </w:t>
      </w:r>
      <w:r w:rsidRPr="000C6B3D">
        <w:rPr>
          <w:rFonts w:ascii="Verdana" w:hAnsi="Verdana"/>
          <w:sz w:val="20"/>
        </w:rPr>
        <w:t>Der er beregnet en totaldeposition på 0 kg NH3-N/år og der forventes ingen påvirkning af det pågældende naturområde.</w:t>
      </w: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301C66" w:rsidRPr="000C6B3D" w:rsidRDefault="00301C66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</w:rPr>
      </w:pPr>
      <w:r w:rsidRPr="000C6B3D">
        <w:rPr>
          <w:rFonts w:ascii="Verdana" w:hAnsi="Verdana"/>
          <w:b/>
          <w:sz w:val="20"/>
        </w:rPr>
        <w:t xml:space="preserve">Naturpunkt 4. </w:t>
      </w:r>
    </w:p>
    <w:p w:rsidR="0073386F" w:rsidRPr="000C6B3D" w:rsidRDefault="00854DAC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>Naturpunkt 4 er et kategori 3 beskyttet moseareal beliggende umiddelbart vest for staldbygningerne. Der er i beregningerne indsat 2 naturpunkter for dette moseareal (naturpunkt 4-5)</w:t>
      </w:r>
      <w:r w:rsidR="00E507BD" w:rsidRPr="000C6B3D">
        <w:rPr>
          <w:rFonts w:ascii="Verdana" w:hAnsi="Verdana"/>
          <w:sz w:val="20"/>
        </w:rPr>
        <w:t>. Mosen modtager i naturpunkt 4 en merdeposition fra 8-års driften på 4,1 kg NH3-N/år. Fra nudriften modtages der i</w:t>
      </w:r>
      <w:r w:rsidR="006D37F7" w:rsidRPr="000C6B3D">
        <w:rPr>
          <w:rFonts w:ascii="Verdana" w:hAnsi="Verdana"/>
          <w:sz w:val="20"/>
        </w:rPr>
        <w:t xml:space="preserve">kke en merdeposition. 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854DAC" w:rsidRPr="000C6B3D" w:rsidRDefault="006D37F7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Totalbelastningen i området er beregnet til 5,2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>. Baggrunds</w:t>
      </w:r>
      <w:r w:rsidR="00E507BD" w:rsidRPr="000C6B3D">
        <w:rPr>
          <w:rFonts w:ascii="Verdana" w:hAnsi="Verdana"/>
          <w:sz w:val="20"/>
        </w:rPr>
        <w:t xml:space="preserve">belastningen i området er vurderet til at være </w:t>
      </w:r>
      <w:r w:rsidRPr="000C6B3D">
        <w:rPr>
          <w:rFonts w:ascii="Verdana" w:hAnsi="Verdana"/>
          <w:sz w:val="20"/>
        </w:rPr>
        <w:t>12 kg</w:t>
      </w:r>
      <w:r w:rsidRPr="000C6B3D">
        <w:rPr>
          <w:rFonts w:ascii="Verdana" w:hAnsi="Verdana"/>
          <w:sz w:val="20"/>
        </w:rPr>
        <w:t xml:space="preserve"> NH3-N/år</w:t>
      </w:r>
      <w:r w:rsidRPr="000C6B3D">
        <w:rPr>
          <w:rFonts w:ascii="Verdana" w:hAnsi="Verdana"/>
          <w:sz w:val="20"/>
        </w:rPr>
        <w:t xml:space="preserve">. Den samlede belastning på naturområdet i punktet for beregning er således 17,2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>.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73386F" w:rsidRPr="000C6B3D" w:rsidRDefault="006D37F7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>Mosearealet er senest besigtiget i forbindelse med en miljøgodkendelse i 2014. Mosen blev</w:t>
      </w:r>
      <w:r w:rsidR="0073386F" w:rsidRPr="000C6B3D">
        <w:rPr>
          <w:rFonts w:ascii="Verdana" w:hAnsi="Verdana"/>
          <w:sz w:val="20"/>
        </w:rPr>
        <w:t xml:space="preserve"> på</w:t>
      </w:r>
      <w:r w:rsidRPr="000C6B3D">
        <w:rPr>
          <w:rFonts w:ascii="Verdana" w:hAnsi="Verdana"/>
          <w:sz w:val="20"/>
        </w:rPr>
        <w:t xml:space="preserve"> daværende tidspunkt vurderet som</w:t>
      </w:r>
      <w:r w:rsidR="0073386F" w:rsidRPr="000C6B3D">
        <w:rPr>
          <w:rFonts w:ascii="Verdana" w:hAnsi="Verdana"/>
          <w:sz w:val="20"/>
        </w:rPr>
        <w:t xml:space="preserve"> havende en</w:t>
      </w:r>
      <w:r w:rsidRPr="000C6B3D">
        <w:rPr>
          <w:rFonts w:ascii="Verdana" w:hAnsi="Verdana"/>
          <w:sz w:val="20"/>
        </w:rPr>
        <w:t xml:space="preserve"> ringe</w:t>
      </w:r>
      <w:r w:rsidR="0073386F" w:rsidRPr="000C6B3D">
        <w:rPr>
          <w:rFonts w:ascii="Verdana" w:hAnsi="Verdana"/>
          <w:sz w:val="20"/>
        </w:rPr>
        <w:t xml:space="preserve"> naturtilstand</w:t>
      </w:r>
      <w:r w:rsidRPr="000C6B3D">
        <w:rPr>
          <w:rFonts w:ascii="Verdana" w:hAnsi="Verdana"/>
          <w:sz w:val="20"/>
        </w:rPr>
        <w:t>, og det forventes ikke at tilstanden har ændret sig</w:t>
      </w:r>
      <w:r w:rsidR="0073386F" w:rsidRPr="000C6B3D">
        <w:rPr>
          <w:rFonts w:ascii="Verdana" w:hAnsi="Verdana"/>
          <w:sz w:val="20"/>
        </w:rPr>
        <w:t xml:space="preserve"> væsentligt</w:t>
      </w:r>
      <w:r w:rsidRPr="000C6B3D">
        <w:rPr>
          <w:rFonts w:ascii="Verdana" w:hAnsi="Verdana"/>
          <w:sz w:val="20"/>
        </w:rPr>
        <w:t xml:space="preserve">. 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6D37F7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Sammenholdt med den beregnede totaldeposition og de ændrede tålegrænseintervaller for naturtypen, vurderes det at tålegrænseintervallet for mosetypen ligger på 15-30 kg NH3-N/år, for moser med en ringe naturtilstand ligger tålegrænseintervallet på 22,5-30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>. Tålegrænseintervallet er således overholdt for mosen, selv hvis naturtilstanden skulle forbedre sig.</w:t>
      </w:r>
      <w:r w:rsidR="006D37F7" w:rsidRPr="000C6B3D">
        <w:rPr>
          <w:rFonts w:ascii="Verdana" w:hAnsi="Verdana"/>
          <w:sz w:val="20"/>
        </w:rPr>
        <w:t xml:space="preserve"> </w:t>
      </w:r>
    </w:p>
    <w:p w:rsidR="00854DAC" w:rsidRPr="000C6B3D" w:rsidRDefault="00854DAC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854DAC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</w:rPr>
      </w:pPr>
      <w:r w:rsidRPr="000C6B3D">
        <w:rPr>
          <w:rFonts w:ascii="Verdana" w:hAnsi="Verdana"/>
          <w:b/>
          <w:sz w:val="20"/>
        </w:rPr>
        <w:t>Naturpunkt 5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Naturpunkt 5 refererer til samme moseareal som naturpunkt 4, dog er beregningspunktet beliggende lidt mere nordligt, her er der beregnet en merdeposition fra 8-års driften på 5,7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 xml:space="preserve">, og en totaldeposition på 9,1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>. Der er ingen merdeposition fra nudriften til ansøgt drift.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 xml:space="preserve">Sammenholdt med baggrundsbelastningen, giver det en samlet belastning i punktet på 21,1 </w:t>
      </w:r>
      <w:r w:rsidRPr="000C6B3D">
        <w:rPr>
          <w:rFonts w:ascii="Verdana" w:hAnsi="Verdana"/>
          <w:sz w:val="20"/>
        </w:rPr>
        <w:t>kg NH3-N/år</w:t>
      </w:r>
      <w:r w:rsidRPr="000C6B3D">
        <w:rPr>
          <w:rFonts w:ascii="Verdana" w:hAnsi="Verdana"/>
          <w:sz w:val="20"/>
        </w:rPr>
        <w:t xml:space="preserve">. Så ligesom for naturpunkt 4 vurderes det at tålegrænseintervallerne for denne naturtype overholdes, selv hvis naturtilstanden skulle forbedre sig. 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  <w:r w:rsidRPr="000C6B3D">
        <w:rPr>
          <w:rFonts w:ascii="Verdana" w:hAnsi="Verdana"/>
          <w:sz w:val="20"/>
        </w:rPr>
        <w:t>Der er ikke foretaget beregninger af yderligere punkter tilknyttet mosearealet, da det må forventes at ammoniakdepositionen fra husdyrbruget er størst tættest på staldene.</w:t>
      </w:r>
    </w:p>
    <w:p w:rsidR="0073386F" w:rsidRPr="000C6B3D" w:rsidRDefault="0073386F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</w:rPr>
      </w:pPr>
    </w:p>
    <w:p w:rsidR="0073386F" w:rsidRP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</w:rPr>
      </w:pPr>
      <w:r w:rsidRPr="000C6B3D">
        <w:rPr>
          <w:rFonts w:ascii="Verdana" w:hAnsi="Verdana"/>
          <w:b/>
          <w:sz w:val="20"/>
        </w:rPr>
        <w:t>Naturpunkt 6</w:t>
      </w: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  <w:szCs w:val="20"/>
        </w:rPr>
      </w:pPr>
      <w:r w:rsidRPr="000C6B3D">
        <w:rPr>
          <w:rFonts w:ascii="Verdana" w:hAnsi="Verdana"/>
          <w:sz w:val="20"/>
          <w:szCs w:val="20"/>
        </w:rPr>
        <w:t xml:space="preserve">Naturpunkt 6 er et overdrevsareal beliggende ca. 150 m syd for husdyrbruget. Overdrevsarealet modtager en merbelastning fra 8-års driften på 0,6 </w:t>
      </w:r>
      <w:r w:rsidRPr="000C6B3D">
        <w:rPr>
          <w:rFonts w:ascii="Verdana" w:hAnsi="Verdana"/>
          <w:sz w:val="20"/>
          <w:szCs w:val="20"/>
        </w:rPr>
        <w:t>kg NH3-N/år</w:t>
      </w:r>
      <w:r w:rsidRPr="000C6B3D">
        <w:rPr>
          <w:rFonts w:ascii="Verdana" w:hAnsi="Verdana"/>
          <w:sz w:val="20"/>
          <w:szCs w:val="20"/>
        </w:rPr>
        <w:t>. Det forventes på den baggrund at ændringen ikke kan føre til tilstandsændringer på det pågældende naturområde.</w:t>
      </w: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Naturpunkt 7</w:t>
      </w: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Naturpunkt 7 er beliggende ca. 160 m Nord for staldbygningerne. Der er beregnet en merdeposition til mosen fra 8-årsdriften på 0,8 </w:t>
      </w:r>
      <w:r w:rsidRPr="000C6B3D">
        <w:rPr>
          <w:rFonts w:ascii="Verdana" w:hAnsi="Verdana"/>
          <w:sz w:val="20"/>
          <w:szCs w:val="20"/>
        </w:rPr>
        <w:t>kg NH3-N/år</w:t>
      </w:r>
      <w:r>
        <w:rPr>
          <w:rFonts w:ascii="Verdana" w:hAnsi="Verdana"/>
          <w:sz w:val="20"/>
          <w:szCs w:val="20"/>
        </w:rPr>
        <w:t>. Det vurderes på den baggrund at produktionsændringen ikke vil kunne føre til tilstandsændringer på mosen.</w:t>
      </w: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Generelt</w:t>
      </w:r>
    </w:p>
    <w:p w:rsidR="000C6B3D" w:rsidRPr="000C6B3D" w:rsidRDefault="000C6B3D" w:rsidP="00742700">
      <w:pPr>
        <w:tabs>
          <w:tab w:val="left" w:pos="319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er i ansøgningen ikke foretaget ammoniakberegninger til fjernere beliggen</w:t>
      </w:r>
      <w:r w:rsidR="00543B9E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beskyttede naturtyper</w:t>
      </w:r>
      <w:r w:rsidR="00543B9E">
        <w:rPr>
          <w:rFonts w:ascii="Verdana" w:hAnsi="Verdana"/>
          <w:sz w:val="20"/>
          <w:szCs w:val="20"/>
        </w:rPr>
        <w:t xml:space="preserve">. Da det forudsættes at depositionen til disse vil lavere over afstand. Og det er således vurderet at produktionsændringen ikke vil føre til tilstandsændringer på fjernere beliggende naturtyper. </w:t>
      </w:r>
      <w:bookmarkStart w:id="0" w:name="_GoBack"/>
      <w:bookmarkEnd w:id="0"/>
    </w:p>
    <w:sectPr w:rsidR="000C6B3D" w:rsidRPr="000C6B3D" w:rsidSect="00742700">
      <w:headerReference w:type="default" r:id="rId6"/>
      <w:footerReference w:type="default" r:id="rId7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66" w:rsidRDefault="00301C66" w:rsidP="00742700">
      <w:pPr>
        <w:spacing w:after="0" w:line="240" w:lineRule="auto"/>
      </w:pPr>
      <w:r>
        <w:separator/>
      </w:r>
    </w:p>
  </w:endnote>
  <w:endnote w:type="continuationSeparator" w:id="0">
    <w:p w:rsidR="00301C66" w:rsidRDefault="00301C66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napToGrid w:val="0"/>
        <w:sz w:val="14"/>
        <w:szCs w:val="14"/>
      </w:rPr>
      <w:fldChar w:fldCharType="begin"/>
    </w:r>
    <w:r w:rsidRPr="00742700">
      <w:rPr>
        <w:rFonts w:ascii="Verdana" w:hAnsi="Verdana"/>
        <w:snapToGrid w:val="0"/>
        <w:sz w:val="14"/>
        <w:szCs w:val="14"/>
      </w:rPr>
      <w:instrText xml:space="preserve"> FILENAME \p </w:instrText>
    </w:r>
    <w:r w:rsidRPr="00742700">
      <w:rPr>
        <w:rFonts w:ascii="Verdana" w:hAnsi="Verdana"/>
        <w:snapToGrid w:val="0"/>
        <w:sz w:val="14"/>
        <w:szCs w:val="14"/>
      </w:rPr>
      <w:fldChar w:fldCharType="separate"/>
    </w:r>
    <w:r w:rsidRPr="00742700">
      <w:rPr>
        <w:rFonts w:ascii="Verdana" w:hAnsi="Verdana"/>
        <w:noProof/>
        <w:snapToGrid w:val="0"/>
        <w:sz w:val="14"/>
        <w:szCs w:val="14"/>
      </w:rPr>
      <w:t>Dokument 2</w:t>
    </w:r>
    <w:r w:rsidRPr="00742700">
      <w:rPr>
        <w:rFonts w:ascii="Verdana" w:hAnsi="Verdana"/>
        <w:snapToGrid w:val="0"/>
        <w:sz w:val="14"/>
        <w:szCs w:val="14"/>
      </w:rPr>
      <w:fldChar w:fldCharType="end"/>
    </w:r>
    <w:r w:rsidRPr="00742700">
      <w:rPr>
        <w:rFonts w:ascii="Verdana" w:hAnsi="Verdana"/>
        <w:sz w:val="14"/>
        <w:szCs w:val="14"/>
      </w:rPr>
      <w:tab/>
    </w:r>
  </w:p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  <w:t xml:space="preserve">Side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PAGE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543B9E">
      <w:rPr>
        <w:rStyle w:val="Sidetal"/>
        <w:rFonts w:ascii="Verdana" w:hAnsi="Verdana"/>
        <w:noProof/>
        <w:sz w:val="14"/>
        <w:szCs w:val="14"/>
      </w:rPr>
      <w:t>2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>/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NUMPAGES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543B9E">
      <w:rPr>
        <w:rStyle w:val="Sidetal"/>
        <w:rFonts w:ascii="Verdana" w:hAnsi="Verdana"/>
        <w:noProof/>
        <w:sz w:val="14"/>
        <w:szCs w:val="14"/>
      </w:rPr>
      <w:t>2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ab/>
      <w:t xml:space="preserve">Den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DATE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301C66">
      <w:rPr>
        <w:rStyle w:val="Sidetal"/>
        <w:rFonts w:ascii="Verdana" w:hAnsi="Verdana"/>
        <w:noProof/>
        <w:sz w:val="14"/>
        <w:szCs w:val="14"/>
      </w:rPr>
      <w:t>02-07-2019</w:t>
    </w:r>
    <w:r w:rsidRPr="0074270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66" w:rsidRDefault="00301C66" w:rsidP="00742700">
      <w:pPr>
        <w:spacing w:after="0" w:line="240" w:lineRule="auto"/>
      </w:pPr>
      <w:r>
        <w:separator/>
      </w:r>
    </w:p>
  </w:footnote>
  <w:footnote w:type="continuationSeparator" w:id="0">
    <w:p w:rsidR="00301C66" w:rsidRDefault="00301C66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Default="00543B9E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700" w:rsidRDefault="00742700" w:rsidP="00742700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E/rs&#10;f4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42700" w:rsidRDefault="00742700" w:rsidP="00742700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:rsidR="00742700" w:rsidRDefault="0074270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66"/>
    <w:rsid w:val="000C6B3D"/>
    <w:rsid w:val="00110BB7"/>
    <w:rsid w:val="002D4250"/>
    <w:rsid w:val="00301C66"/>
    <w:rsid w:val="003076EF"/>
    <w:rsid w:val="003C29D7"/>
    <w:rsid w:val="00440B50"/>
    <w:rsid w:val="004813E4"/>
    <w:rsid w:val="004D23EE"/>
    <w:rsid w:val="00543B9E"/>
    <w:rsid w:val="006D37F7"/>
    <w:rsid w:val="0073386F"/>
    <w:rsid w:val="00741965"/>
    <w:rsid w:val="00742700"/>
    <w:rsid w:val="007E171D"/>
    <w:rsid w:val="00854DAC"/>
    <w:rsid w:val="008C58B9"/>
    <w:rsid w:val="008E49E9"/>
    <w:rsid w:val="009B2EEF"/>
    <w:rsid w:val="00BC2C7B"/>
    <w:rsid w:val="00C576D4"/>
    <w:rsid w:val="00C64A28"/>
    <w:rsid w:val="00CA3FAD"/>
    <w:rsid w:val="00E1697C"/>
    <w:rsid w:val="00E22002"/>
    <w:rsid w:val="00E507BD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CD31F2-F5FB-4F98-A0D0-134D175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42700"/>
  </w:style>
  <w:style w:type="paragraph" w:styleId="Sidefod">
    <w:name w:val="footer"/>
    <w:basedOn w:val="Normal"/>
    <w:link w:val="SidefodTegn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table" w:styleId="Tabel-Gitter">
    <w:name w:val="Table Grid"/>
    <w:basedOn w:val="Tabel-Normal"/>
    <w:uiPriority w:val="59"/>
    <w:rsid w:val="00301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Arvidson</dc:creator>
  <cp:keywords/>
  <dc:description/>
  <cp:lastModifiedBy>Rasmus Arvidson</cp:lastModifiedBy>
  <cp:revision>1</cp:revision>
  <dcterms:created xsi:type="dcterms:W3CDTF">2019-07-02T05:58:00Z</dcterms:created>
  <dcterms:modified xsi:type="dcterms:W3CDTF">2019-07-02T08:20:00Z</dcterms:modified>
</cp:coreProperties>
</file>