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400" w:rsidRPr="00177400" w:rsidRDefault="00177400" w:rsidP="00177400">
      <w:pPr>
        <w:pStyle w:val="Default"/>
        <w:rPr>
          <w:rFonts w:ascii="Georgia" w:hAnsi="Georgia"/>
          <w:sz w:val="20"/>
          <w:szCs w:val="20"/>
        </w:rPr>
      </w:pPr>
      <w:r w:rsidRPr="00177400">
        <w:rPr>
          <w:rFonts w:ascii="Georgia" w:hAnsi="Georgia"/>
          <w:b/>
          <w:bCs/>
          <w:sz w:val="20"/>
          <w:szCs w:val="20"/>
        </w:rPr>
        <w:t xml:space="preserve">VI. IKKE-TEKNISK RESUMÉ </w:t>
      </w:r>
    </w:p>
    <w:p w:rsidR="00177400" w:rsidRPr="00177400" w:rsidRDefault="00177400" w:rsidP="00177400">
      <w:pPr>
        <w:pStyle w:val="Default"/>
        <w:rPr>
          <w:rFonts w:ascii="Georgia" w:hAnsi="Georgia"/>
          <w:sz w:val="20"/>
          <w:szCs w:val="20"/>
        </w:rPr>
      </w:pPr>
      <w:r w:rsidRPr="00177400">
        <w:rPr>
          <w:rFonts w:ascii="Georgia" w:hAnsi="Georgia"/>
          <w:sz w:val="20"/>
          <w:szCs w:val="20"/>
        </w:rPr>
        <w:t xml:space="preserve">Inter Terminals Danmark A/S ejer og driver Inter Terminals AOT ApS (AOT), et tanklager for olieprodukter i Kalundborg. Tanklageret har tidligere været en del af Asnæsværket. </w:t>
      </w:r>
    </w:p>
    <w:p w:rsidR="00177400" w:rsidRPr="00177400" w:rsidRDefault="00177400" w:rsidP="00177400">
      <w:pPr>
        <w:pStyle w:val="Default"/>
        <w:rPr>
          <w:rFonts w:ascii="Georgia" w:hAnsi="Georgia"/>
          <w:sz w:val="20"/>
          <w:szCs w:val="20"/>
        </w:rPr>
      </w:pPr>
      <w:r w:rsidRPr="00177400">
        <w:rPr>
          <w:rFonts w:ascii="Georgia" w:hAnsi="Georgia"/>
          <w:sz w:val="20"/>
          <w:szCs w:val="20"/>
        </w:rPr>
        <w:t xml:space="preserve">AOT er beliggende i den sydvestlige del af Kalundborg by med adgang til Kalundborg Havn. </w:t>
      </w:r>
    </w:p>
    <w:p w:rsidR="00177400" w:rsidRPr="00177400" w:rsidRDefault="00177400" w:rsidP="00177400">
      <w:pPr>
        <w:pStyle w:val="Default"/>
        <w:rPr>
          <w:rFonts w:ascii="Georgia" w:hAnsi="Georgia"/>
          <w:sz w:val="20"/>
          <w:szCs w:val="20"/>
        </w:rPr>
      </w:pPr>
      <w:r w:rsidRPr="00177400">
        <w:rPr>
          <w:rFonts w:ascii="Georgia" w:hAnsi="Georgia"/>
          <w:sz w:val="20"/>
          <w:szCs w:val="20"/>
        </w:rPr>
        <w:t xml:space="preserve">Adressen er: </w:t>
      </w:r>
    </w:p>
    <w:p w:rsidR="00177400" w:rsidRPr="00177400" w:rsidRDefault="00177400" w:rsidP="00177400">
      <w:pPr>
        <w:pStyle w:val="Default"/>
        <w:rPr>
          <w:rFonts w:ascii="Georgia" w:hAnsi="Georgia"/>
          <w:sz w:val="20"/>
          <w:szCs w:val="20"/>
        </w:rPr>
      </w:pPr>
      <w:r w:rsidRPr="00177400">
        <w:rPr>
          <w:rFonts w:ascii="Georgia" w:hAnsi="Georgia"/>
          <w:sz w:val="20"/>
          <w:szCs w:val="20"/>
        </w:rPr>
        <w:t xml:space="preserve">Asnæsvej 16A, 16C og 16D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29"/>
        <w:gridCol w:w="1415"/>
        <w:gridCol w:w="1414"/>
        <w:gridCol w:w="2830"/>
      </w:tblGrid>
      <w:tr w:rsidR="00177400" w:rsidRPr="00177400">
        <w:tblPrEx>
          <w:tblCellMar>
            <w:top w:w="0" w:type="dxa"/>
            <w:bottom w:w="0" w:type="dxa"/>
          </w:tblCellMar>
        </w:tblPrEx>
        <w:trPr>
          <w:trHeight w:val="87"/>
        </w:trPr>
        <w:tc>
          <w:tcPr>
            <w:tcW w:w="4244" w:type="dxa"/>
            <w:gridSpan w:val="2"/>
          </w:tcPr>
          <w:p w:rsidR="00177400" w:rsidRPr="00177400" w:rsidRDefault="00177400">
            <w:pPr>
              <w:pStyle w:val="Default"/>
              <w:rPr>
                <w:rFonts w:ascii="Georgia" w:hAnsi="Georgia"/>
                <w:sz w:val="20"/>
                <w:szCs w:val="20"/>
              </w:rPr>
            </w:pPr>
            <w:r w:rsidRPr="00177400">
              <w:rPr>
                <w:rFonts w:ascii="Georgia" w:hAnsi="Georgia"/>
                <w:sz w:val="20"/>
                <w:szCs w:val="20"/>
              </w:rPr>
              <w:t xml:space="preserve">4400 Kalundborg Tlf.: </w:t>
            </w:r>
          </w:p>
        </w:tc>
        <w:tc>
          <w:tcPr>
            <w:tcW w:w="4244" w:type="dxa"/>
            <w:gridSpan w:val="2"/>
          </w:tcPr>
          <w:p w:rsidR="00177400" w:rsidRPr="00177400" w:rsidRDefault="00177400">
            <w:pPr>
              <w:pStyle w:val="Default"/>
              <w:rPr>
                <w:rFonts w:ascii="Georgia" w:hAnsi="Georgia"/>
                <w:sz w:val="20"/>
                <w:szCs w:val="20"/>
              </w:rPr>
            </w:pPr>
            <w:r w:rsidRPr="00177400">
              <w:rPr>
                <w:rFonts w:ascii="Georgia" w:hAnsi="Georgia"/>
                <w:sz w:val="20"/>
                <w:szCs w:val="20"/>
              </w:rPr>
              <w:t xml:space="preserve">58 16 22 03 </w:t>
            </w:r>
          </w:p>
        </w:tc>
      </w:tr>
      <w:tr w:rsidR="00177400" w:rsidRPr="00177400">
        <w:tblPrEx>
          <w:tblCellMar>
            <w:top w:w="0" w:type="dxa"/>
            <w:bottom w:w="0" w:type="dxa"/>
          </w:tblCellMar>
        </w:tblPrEx>
        <w:trPr>
          <w:trHeight w:val="87"/>
        </w:trPr>
        <w:tc>
          <w:tcPr>
            <w:tcW w:w="4244" w:type="dxa"/>
            <w:gridSpan w:val="2"/>
          </w:tcPr>
          <w:p w:rsidR="00177400" w:rsidRPr="00177400" w:rsidRDefault="00177400">
            <w:pPr>
              <w:pStyle w:val="Default"/>
              <w:rPr>
                <w:rFonts w:ascii="Georgia" w:hAnsi="Georgia"/>
                <w:sz w:val="20"/>
                <w:szCs w:val="20"/>
              </w:rPr>
            </w:pPr>
            <w:r w:rsidRPr="00177400">
              <w:rPr>
                <w:rFonts w:ascii="Georgia" w:hAnsi="Georgia"/>
                <w:sz w:val="20"/>
                <w:szCs w:val="20"/>
              </w:rPr>
              <w:t xml:space="preserve">CVR-nr.: </w:t>
            </w:r>
          </w:p>
        </w:tc>
        <w:tc>
          <w:tcPr>
            <w:tcW w:w="4244" w:type="dxa"/>
            <w:gridSpan w:val="2"/>
          </w:tcPr>
          <w:p w:rsidR="00177400" w:rsidRPr="00177400" w:rsidRDefault="00177400">
            <w:pPr>
              <w:pStyle w:val="Default"/>
              <w:rPr>
                <w:rFonts w:ascii="Georgia" w:hAnsi="Georgia"/>
                <w:sz w:val="20"/>
                <w:szCs w:val="20"/>
              </w:rPr>
            </w:pPr>
            <w:r w:rsidRPr="00177400">
              <w:rPr>
                <w:rFonts w:ascii="Georgia" w:hAnsi="Georgia"/>
                <w:sz w:val="20"/>
                <w:szCs w:val="20"/>
              </w:rPr>
              <w:t xml:space="preserve">31080207 </w:t>
            </w:r>
          </w:p>
        </w:tc>
      </w:tr>
      <w:tr w:rsidR="00177400" w:rsidRPr="00177400">
        <w:tblPrEx>
          <w:tblCellMar>
            <w:top w:w="0" w:type="dxa"/>
            <w:bottom w:w="0" w:type="dxa"/>
          </w:tblCellMar>
        </w:tblPrEx>
        <w:trPr>
          <w:trHeight w:val="87"/>
        </w:trPr>
        <w:tc>
          <w:tcPr>
            <w:tcW w:w="2829" w:type="dxa"/>
          </w:tcPr>
          <w:p w:rsidR="00177400" w:rsidRPr="00177400" w:rsidRDefault="00177400">
            <w:pPr>
              <w:pStyle w:val="Default"/>
              <w:rPr>
                <w:rFonts w:ascii="Georgia" w:hAnsi="Georgia"/>
                <w:sz w:val="20"/>
                <w:szCs w:val="20"/>
              </w:rPr>
            </w:pPr>
            <w:r w:rsidRPr="00177400">
              <w:rPr>
                <w:rFonts w:ascii="Georgia" w:hAnsi="Georgia"/>
                <w:sz w:val="20"/>
                <w:szCs w:val="20"/>
              </w:rPr>
              <w:t xml:space="preserve">P-nr.: </w:t>
            </w:r>
          </w:p>
        </w:tc>
        <w:tc>
          <w:tcPr>
            <w:tcW w:w="2829" w:type="dxa"/>
            <w:gridSpan w:val="2"/>
          </w:tcPr>
          <w:p w:rsidR="00177400" w:rsidRPr="00177400" w:rsidRDefault="00177400">
            <w:pPr>
              <w:pStyle w:val="Default"/>
              <w:rPr>
                <w:rFonts w:ascii="Georgia" w:hAnsi="Georgia"/>
                <w:sz w:val="20"/>
                <w:szCs w:val="20"/>
              </w:rPr>
            </w:pPr>
            <w:r w:rsidRPr="00177400">
              <w:rPr>
                <w:rFonts w:ascii="Georgia" w:hAnsi="Georgia"/>
                <w:sz w:val="20"/>
                <w:szCs w:val="20"/>
              </w:rPr>
              <w:t xml:space="preserve">1017541923 </w:t>
            </w:r>
          </w:p>
        </w:tc>
        <w:tc>
          <w:tcPr>
            <w:tcW w:w="2829" w:type="dxa"/>
          </w:tcPr>
          <w:p w:rsidR="00177400" w:rsidRPr="00177400" w:rsidRDefault="00177400">
            <w:pPr>
              <w:pStyle w:val="Default"/>
              <w:rPr>
                <w:rFonts w:ascii="Georgia" w:hAnsi="Georgia"/>
                <w:sz w:val="20"/>
                <w:szCs w:val="20"/>
              </w:rPr>
            </w:pPr>
            <w:r w:rsidRPr="00177400">
              <w:rPr>
                <w:rFonts w:ascii="Georgia" w:hAnsi="Georgia"/>
                <w:sz w:val="20"/>
                <w:szCs w:val="20"/>
              </w:rPr>
              <w:t xml:space="preserve">Inter Terminals AOT ApS i Kalundborg </w:t>
            </w:r>
          </w:p>
        </w:tc>
      </w:tr>
      <w:tr w:rsidR="00177400" w:rsidRPr="00177400">
        <w:tblPrEx>
          <w:tblCellMar>
            <w:top w:w="0" w:type="dxa"/>
            <w:bottom w:w="0" w:type="dxa"/>
          </w:tblCellMar>
        </w:tblPrEx>
        <w:trPr>
          <w:trHeight w:val="87"/>
        </w:trPr>
        <w:tc>
          <w:tcPr>
            <w:tcW w:w="2829" w:type="dxa"/>
          </w:tcPr>
          <w:p w:rsidR="00177400" w:rsidRPr="00177400" w:rsidRDefault="00177400">
            <w:pPr>
              <w:pStyle w:val="Default"/>
              <w:rPr>
                <w:rFonts w:ascii="Georgia" w:hAnsi="Georgia"/>
                <w:sz w:val="20"/>
                <w:szCs w:val="20"/>
              </w:rPr>
            </w:pPr>
            <w:r w:rsidRPr="00177400">
              <w:rPr>
                <w:rFonts w:ascii="Georgia" w:hAnsi="Georgia"/>
                <w:sz w:val="20"/>
                <w:szCs w:val="20"/>
              </w:rPr>
              <w:t xml:space="preserve">P-nr.: </w:t>
            </w:r>
          </w:p>
        </w:tc>
        <w:tc>
          <w:tcPr>
            <w:tcW w:w="2829" w:type="dxa"/>
            <w:gridSpan w:val="2"/>
          </w:tcPr>
          <w:p w:rsidR="00177400" w:rsidRPr="00177400" w:rsidRDefault="00177400">
            <w:pPr>
              <w:pStyle w:val="Default"/>
              <w:rPr>
                <w:rFonts w:ascii="Georgia" w:hAnsi="Georgia"/>
                <w:sz w:val="20"/>
                <w:szCs w:val="20"/>
              </w:rPr>
            </w:pPr>
            <w:r w:rsidRPr="00177400">
              <w:rPr>
                <w:rFonts w:ascii="Georgia" w:hAnsi="Georgia"/>
                <w:sz w:val="20"/>
                <w:szCs w:val="20"/>
              </w:rPr>
              <w:t xml:space="preserve">1013826257 </w:t>
            </w:r>
          </w:p>
        </w:tc>
        <w:tc>
          <w:tcPr>
            <w:tcW w:w="2829" w:type="dxa"/>
          </w:tcPr>
          <w:p w:rsidR="00177400" w:rsidRPr="00177400" w:rsidRDefault="00177400">
            <w:pPr>
              <w:pStyle w:val="Default"/>
              <w:rPr>
                <w:rFonts w:ascii="Georgia" w:hAnsi="Georgia"/>
                <w:sz w:val="20"/>
                <w:szCs w:val="20"/>
              </w:rPr>
            </w:pPr>
            <w:r w:rsidRPr="00177400">
              <w:rPr>
                <w:rFonts w:ascii="Georgia" w:hAnsi="Georgia"/>
                <w:sz w:val="20"/>
                <w:szCs w:val="20"/>
              </w:rPr>
              <w:t xml:space="preserve">Inter Terminals AOT ApS i Skælskør (hovedkvarter) </w:t>
            </w:r>
          </w:p>
        </w:tc>
      </w:tr>
    </w:tbl>
    <w:p w:rsidR="004B7249" w:rsidRPr="00177400" w:rsidRDefault="004B7249">
      <w:pPr>
        <w:rPr>
          <w:rFonts w:ascii="Georgia" w:hAnsi="Georgia"/>
          <w:sz w:val="20"/>
          <w:szCs w:val="20"/>
        </w:rPr>
      </w:pPr>
    </w:p>
    <w:p w:rsidR="00177400" w:rsidRPr="00177400" w:rsidRDefault="00177400" w:rsidP="00177400">
      <w:pPr>
        <w:pStyle w:val="Default"/>
        <w:rPr>
          <w:rFonts w:ascii="Georgia" w:hAnsi="Georgia"/>
          <w:sz w:val="20"/>
          <w:szCs w:val="20"/>
        </w:rPr>
      </w:pPr>
      <w:r w:rsidRPr="00177400">
        <w:rPr>
          <w:rFonts w:ascii="Georgia" w:hAnsi="Georgia"/>
          <w:sz w:val="20"/>
          <w:szCs w:val="20"/>
        </w:rPr>
        <w:t xml:space="preserve">Olieprodukterne på AOT kan være lette olieprodukter (f.eks. diesel og gas olie) og tunge </w:t>
      </w:r>
      <w:proofErr w:type="spellStart"/>
      <w:r w:rsidRPr="00177400">
        <w:rPr>
          <w:rFonts w:ascii="Georgia" w:hAnsi="Georgia"/>
          <w:sz w:val="20"/>
          <w:szCs w:val="20"/>
        </w:rPr>
        <w:t>oliepro-dukter</w:t>
      </w:r>
      <w:proofErr w:type="spellEnd"/>
      <w:r w:rsidRPr="00177400">
        <w:rPr>
          <w:rFonts w:ascii="Georgia" w:hAnsi="Georgia"/>
          <w:sz w:val="20"/>
          <w:szCs w:val="20"/>
        </w:rPr>
        <w:t xml:space="preserve"> (f.eks. </w:t>
      </w:r>
      <w:proofErr w:type="spellStart"/>
      <w:r w:rsidRPr="00177400">
        <w:rPr>
          <w:rFonts w:ascii="Georgia" w:hAnsi="Georgia"/>
          <w:sz w:val="20"/>
          <w:szCs w:val="20"/>
        </w:rPr>
        <w:t>fuel</w:t>
      </w:r>
      <w:proofErr w:type="spellEnd"/>
      <w:r w:rsidRPr="00177400">
        <w:rPr>
          <w:rFonts w:ascii="Georgia" w:hAnsi="Georgia"/>
          <w:sz w:val="20"/>
          <w:szCs w:val="20"/>
        </w:rPr>
        <w:t xml:space="preserve"> olie). Olieprodukterne, der opbevares på AOT, er alle olieprodukter, der er klassificeret som miljøfarlige, og evt. brandfarlige, i forhold til Risikobekendtgørelsen. I forhold til de Tekniske Forskrifter for Brandfarlige og Brændbare Væsker (BEK </w:t>
      </w:r>
      <w:proofErr w:type="spellStart"/>
      <w:r w:rsidRPr="00177400">
        <w:rPr>
          <w:rFonts w:ascii="Georgia" w:hAnsi="Georgia"/>
          <w:sz w:val="20"/>
          <w:szCs w:val="20"/>
        </w:rPr>
        <w:t>nr</w:t>
      </w:r>
      <w:proofErr w:type="spellEnd"/>
      <w:r w:rsidRPr="00177400">
        <w:rPr>
          <w:rFonts w:ascii="Georgia" w:hAnsi="Georgia"/>
          <w:sz w:val="20"/>
          <w:szCs w:val="20"/>
        </w:rPr>
        <w:t xml:space="preserve"> 1639 af 06/12/2016) er olieprodukterne klassificerede som klasse III og klasse IV produkter. Dette betyder, at de har </w:t>
      </w:r>
      <w:proofErr w:type="spellStart"/>
      <w:r w:rsidRPr="00177400">
        <w:rPr>
          <w:rFonts w:ascii="Georgia" w:hAnsi="Georgia"/>
          <w:sz w:val="20"/>
          <w:szCs w:val="20"/>
        </w:rPr>
        <w:t>en-ten</w:t>
      </w:r>
      <w:proofErr w:type="spellEnd"/>
      <w:r w:rsidRPr="00177400">
        <w:rPr>
          <w:rFonts w:ascii="Georgia" w:hAnsi="Georgia"/>
          <w:sz w:val="20"/>
          <w:szCs w:val="20"/>
        </w:rPr>
        <w:t xml:space="preserve"> har et flammepunkt på over 60 °C eller er beskrevet specifikt (såsom gasolie, dieselolie og let fyringsolie), og de dermed vurderes at være svære at antænde. </w:t>
      </w:r>
    </w:p>
    <w:p w:rsidR="00177400" w:rsidRDefault="00177400" w:rsidP="00177400">
      <w:pPr>
        <w:pStyle w:val="Default"/>
        <w:rPr>
          <w:rFonts w:ascii="Georgia" w:hAnsi="Georgia"/>
          <w:sz w:val="20"/>
          <w:szCs w:val="20"/>
        </w:rPr>
      </w:pPr>
    </w:p>
    <w:p w:rsidR="00177400" w:rsidRPr="00177400" w:rsidRDefault="00177400" w:rsidP="00177400">
      <w:pPr>
        <w:pStyle w:val="Default"/>
        <w:rPr>
          <w:rFonts w:ascii="Georgia" w:hAnsi="Georgia"/>
          <w:sz w:val="20"/>
          <w:szCs w:val="20"/>
        </w:rPr>
      </w:pPr>
      <w:r w:rsidRPr="00177400">
        <w:rPr>
          <w:rFonts w:ascii="Georgia" w:hAnsi="Georgia"/>
          <w:sz w:val="20"/>
          <w:szCs w:val="20"/>
        </w:rPr>
        <w:t xml:space="preserve">Da kapaciteten af oplaget af olieprodukter på tanklageret vil kunne overstige tærskelmængden på 25.000 tons, vil oplaget ifølge den seneste revision af Risikobekendtgørelsen (BEK nr. 372 af 25/04/2016) blive underlagt reglerne for en kolonne III virksomhed, med et krav om </w:t>
      </w:r>
      <w:proofErr w:type="spellStart"/>
      <w:r w:rsidRPr="00177400">
        <w:rPr>
          <w:rFonts w:ascii="Georgia" w:hAnsi="Georgia"/>
          <w:sz w:val="20"/>
          <w:szCs w:val="20"/>
        </w:rPr>
        <w:t>udarbejdel-se</w:t>
      </w:r>
      <w:proofErr w:type="spellEnd"/>
      <w:r w:rsidRPr="00177400">
        <w:rPr>
          <w:rFonts w:ascii="Georgia" w:hAnsi="Georgia"/>
          <w:sz w:val="20"/>
          <w:szCs w:val="20"/>
        </w:rPr>
        <w:t xml:space="preserve"> af nærværende sikkerhedsrapport. Sikkerhedsrapporten og en anmeldelse i forhold til Risiko-bekendtgørelsen er sendt til risikomyndighederne. </w:t>
      </w:r>
    </w:p>
    <w:p w:rsidR="00177400" w:rsidRDefault="00177400" w:rsidP="00177400">
      <w:pPr>
        <w:pStyle w:val="Default"/>
        <w:rPr>
          <w:rFonts w:ascii="Georgia" w:hAnsi="Georgia"/>
          <w:sz w:val="20"/>
          <w:szCs w:val="20"/>
        </w:rPr>
      </w:pPr>
    </w:p>
    <w:p w:rsidR="00177400" w:rsidRPr="00177400" w:rsidRDefault="00177400" w:rsidP="00177400">
      <w:pPr>
        <w:pStyle w:val="Default"/>
        <w:rPr>
          <w:rFonts w:ascii="Georgia" w:hAnsi="Georgia"/>
          <w:sz w:val="20"/>
          <w:szCs w:val="20"/>
        </w:rPr>
      </w:pPr>
      <w:r w:rsidRPr="00177400">
        <w:rPr>
          <w:rFonts w:ascii="Georgia" w:hAnsi="Georgia"/>
          <w:sz w:val="20"/>
          <w:szCs w:val="20"/>
        </w:rPr>
        <w:t xml:space="preserve">Formålet med sikkerhedsrapporten er at dokumentere, at AOT har et højt beskyttelsesniveau for mennesker og miljø i og uden for virksomheden, hvorledes denne beskyttelse fungerer i praksis, samt at sikkerhedssystemerne er indrettet således, at den høje grad af sikkerhed vil blive </w:t>
      </w:r>
      <w:proofErr w:type="spellStart"/>
      <w:r w:rsidRPr="00177400">
        <w:rPr>
          <w:rFonts w:ascii="Georgia" w:hAnsi="Georgia"/>
          <w:sz w:val="20"/>
          <w:szCs w:val="20"/>
        </w:rPr>
        <w:t>opret-holdt</w:t>
      </w:r>
      <w:proofErr w:type="spellEnd"/>
      <w:r w:rsidRPr="00177400">
        <w:rPr>
          <w:rFonts w:ascii="Georgia" w:hAnsi="Georgia"/>
          <w:sz w:val="20"/>
          <w:szCs w:val="20"/>
        </w:rPr>
        <w:t xml:space="preserve"> i fremtiden. </w:t>
      </w:r>
    </w:p>
    <w:p w:rsidR="00177400" w:rsidRDefault="00177400" w:rsidP="00177400">
      <w:pPr>
        <w:pStyle w:val="Default"/>
        <w:rPr>
          <w:rFonts w:ascii="Georgia" w:hAnsi="Georgia"/>
          <w:sz w:val="20"/>
          <w:szCs w:val="20"/>
        </w:rPr>
      </w:pPr>
    </w:p>
    <w:p w:rsidR="00177400" w:rsidRPr="00177400" w:rsidRDefault="00177400" w:rsidP="00177400">
      <w:pPr>
        <w:pStyle w:val="Default"/>
        <w:rPr>
          <w:rFonts w:ascii="Georgia" w:hAnsi="Georgia"/>
          <w:sz w:val="20"/>
          <w:szCs w:val="20"/>
        </w:rPr>
      </w:pPr>
      <w:r w:rsidRPr="00177400">
        <w:rPr>
          <w:rFonts w:ascii="Georgia" w:hAnsi="Georgia"/>
          <w:sz w:val="20"/>
          <w:szCs w:val="20"/>
        </w:rPr>
        <w:t xml:space="preserve">Det samlede anlæg består af to anlægspladser (en kulpier og en oliekaj), et overjordisk </w:t>
      </w:r>
      <w:proofErr w:type="spellStart"/>
      <w:r w:rsidRPr="00177400">
        <w:rPr>
          <w:rFonts w:ascii="Georgia" w:hAnsi="Georgia"/>
          <w:sz w:val="20"/>
          <w:szCs w:val="20"/>
        </w:rPr>
        <w:t>tankan</w:t>
      </w:r>
      <w:proofErr w:type="spellEnd"/>
      <w:r w:rsidRPr="00177400">
        <w:rPr>
          <w:rFonts w:ascii="Georgia" w:hAnsi="Georgia"/>
          <w:sz w:val="20"/>
          <w:szCs w:val="20"/>
        </w:rPr>
        <w:t xml:space="preserve">-læg samt et lukket overjordisk rørsystem. Kulpier er ejet af Ørsted og benyttes af AOT til losning og lastning af olie til/fra skibe. Kulpieren benyttes ikke længere til losning af kul. Olien </w:t>
      </w:r>
      <w:proofErr w:type="spellStart"/>
      <w:r w:rsidRPr="00177400">
        <w:rPr>
          <w:rFonts w:ascii="Georgia" w:hAnsi="Georgia"/>
          <w:sz w:val="20"/>
          <w:szCs w:val="20"/>
        </w:rPr>
        <w:t>transpor-teres</w:t>
      </w:r>
      <w:proofErr w:type="spellEnd"/>
      <w:r w:rsidRPr="00177400">
        <w:rPr>
          <w:rFonts w:ascii="Georgia" w:hAnsi="Georgia"/>
          <w:sz w:val="20"/>
          <w:szCs w:val="20"/>
        </w:rPr>
        <w:t xml:space="preserve"> til AOT ad søvejen, hvor olien losses fra skibe til olietankene via et rørsystem ved oliekajen eller Asnæsværkets kulpier. Desuden sker der på samme måde lastning af olie fra lagertankene til skibe. Overførslen til/fra skib sker via slanger. Derudover foretages pier til pier overførsel af olie, dvs. til/fra et skib ved oliekajen til/fra et skib ved kulpieren, via </w:t>
      </w:r>
      <w:proofErr w:type="spellStart"/>
      <w:r w:rsidRPr="00177400">
        <w:rPr>
          <w:rFonts w:ascii="Georgia" w:hAnsi="Georgia"/>
          <w:sz w:val="20"/>
          <w:szCs w:val="20"/>
        </w:rPr>
        <w:t>AOTs</w:t>
      </w:r>
      <w:proofErr w:type="spellEnd"/>
      <w:r w:rsidRPr="00177400">
        <w:rPr>
          <w:rFonts w:ascii="Georgia" w:hAnsi="Georgia"/>
          <w:sz w:val="20"/>
          <w:szCs w:val="20"/>
        </w:rPr>
        <w:t xml:space="preserve"> rørsystemer, men uden at olien oplagres på anlægget. Desuden kan olieprodukter via olierør pumpes fra/til det nærliggende raffinaderi (Statoil). </w:t>
      </w:r>
    </w:p>
    <w:p w:rsidR="00177400" w:rsidRDefault="00177400" w:rsidP="00177400">
      <w:pPr>
        <w:pStyle w:val="Default"/>
        <w:rPr>
          <w:rFonts w:ascii="Georgia" w:hAnsi="Georgia"/>
          <w:sz w:val="20"/>
          <w:szCs w:val="20"/>
        </w:rPr>
      </w:pPr>
    </w:p>
    <w:p w:rsidR="00177400" w:rsidRPr="00177400" w:rsidRDefault="00177400" w:rsidP="00177400">
      <w:pPr>
        <w:pStyle w:val="Default"/>
        <w:rPr>
          <w:rFonts w:ascii="Georgia" w:hAnsi="Georgia"/>
          <w:sz w:val="20"/>
          <w:szCs w:val="20"/>
        </w:rPr>
      </w:pPr>
      <w:r w:rsidRPr="00177400">
        <w:rPr>
          <w:rFonts w:ascii="Georgia" w:hAnsi="Georgia"/>
          <w:sz w:val="20"/>
          <w:szCs w:val="20"/>
        </w:rPr>
        <w:t xml:space="preserve">Der er gennemført en risikoanalyse med det formål at vurdere den risiko, der er for olieudslip i forbindelse med store uheld ved AOT med fokus på de store lagertanke, på rørstrækninger på land og over vand, samt slanger på kulpieren og oliekajen. </w:t>
      </w:r>
    </w:p>
    <w:p w:rsidR="00177400" w:rsidRDefault="00177400" w:rsidP="00177400">
      <w:pPr>
        <w:pStyle w:val="Default"/>
        <w:rPr>
          <w:rFonts w:ascii="Georgia" w:hAnsi="Georgia"/>
          <w:sz w:val="20"/>
          <w:szCs w:val="20"/>
        </w:rPr>
      </w:pPr>
    </w:p>
    <w:p w:rsidR="00177400" w:rsidRPr="00177400" w:rsidRDefault="00177400" w:rsidP="00177400">
      <w:pPr>
        <w:pStyle w:val="Default"/>
        <w:rPr>
          <w:rFonts w:ascii="Georgia" w:hAnsi="Georgia"/>
          <w:sz w:val="20"/>
          <w:szCs w:val="20"/>
        </w:rPr>
      </w:pPr>
      <w:r w:rsidRPr="00177400">
        <w:rPr>
          <w:rFonts w:ascii="Georgia" w:hAnsi="Georgia"/>
          <w:sz w:val="20"/>
          <w:szCs w:val="20"/>
        </w:rPr>
        <w:t xml:space="preserve">De største farer for uheld er relateret til udslip af olie ved tanke, slanger og rørledninger. </w:t>
      </w:r>
    </w:p>
    <w:p w:rsidR="00177400" w:rsidRPr="00177400" w:rsidRDefault="00177400" w:rsidP="00177400">
      <w:pPr>
        <w:pStyle w:val="Default"/>
        <w:rPr>
          <w:rFonts w:ascii="Georgia" w:hAnsi="Georgia"/>
          <w:sz w:val="20"/>
          <w:szCs w:val="20"/>
        </w:rPr>
      </w:pPr>
      <w:r w:rsidRPr="00177400">
        <w:rPr>
          <w:rFonts w:ascii="Georgia" w:hAnsi="Georgia"/>
          <w:sz w:val="20"/>
          <w:szCs w:val="20"/>
        </w:rPr>
        <w:t xml:space="preserve">Et stort udslip af olie vil i værste fald kunne løbe til havet. Der er kun olie i rørledningerne, når der pumpes til/fra tankene, og det er derfor kun i disse situationer, at der vil kunne løbe olie ud til havet. Udslip af olie fra rør eller tanken inde i tankgården vil blive tilbageholdt i tankgården og vil dermed ikke kunne løbe til havet. </w:t>
      </w:r>
    </w:p>
    <w:p w:rsidR="00177400" w:rsidRDefault="00177400" w:rsidP="00177400">
      <w:pPr>
        <w:rPr>
          <w:rFonts w:ascii="Georgia" w:hAnsi="Georgia"/>
          <w:sz w:val="20"/>
          <w:szCs w:val="20"/>
        </w:rPr>
      </w:pPr>
    </w:p>
    <w:p w:rsidR="00177400" w:rsidRPr="00177400" w:rsidRDefault="00177400" w:rsidP="00177400">
      <w:pPr>
        <w:rPr>
          <w:rFonts w:ascii="Georgia" w:hAnsi="Georgia"/>
          <w:sz w:val="20"/>
          <w:szCs w:val="20"/>
        </w:rPr>
      </w:pPr>
      <w:r w:rsidRPr="00177400">
        <w:rPr>
          <w:rFonts w:ascii="Georgia" w:hAnsi="Georgia"/>
          <w:sz w:val="20"/>
          <w:szCs w:val="20"/>
        </w:rPr>
        <w:t xml:space="preserve">Olieudslip til havet vil kunne sprede sig over et større areal afhængig af vindretning og </w:t>
      </w:r>
      <w:proofErr w:type="spellStart"/>
      <w:r w:rsidRPr="00177400">
        <w:rPr>
          <w:rFonts w:ascii="Georgia" w:hAnsi="Georgia"/>
          <w:sz w:val="20"/>
          <w:szCs w:val="20"/>
        </w:rPr>
        <w:t>vindha</w:t>
      </w:r>
      <w:proofErr w:type="spellEnd"/>
      <w:r w:rsidRPr="00177400">
        <w:rPr>
          <w:rFonts w:ascii="Georgia" w:hAnsi="Georgia"/>
          <w:sz w:val="20"/>
          <w:szCs w:val="20"/>
        </w:rPr>
        <w:t xml:space="preserve">-stighed, og det vil kunne skade dyreliv og det marine miljø. Ved større udslip informeres </w:t>
      </w:r>
      <w:proofErr w:type="spellStart"/>
      <w:r w:rsidRPr="00177400">
        <w:rPr>
          <w:rFonts w:ascii="Georgia" w:hAnsi="Georgia"/>
          <w:sz w:val="20"/>
          <w:szCs w:val="20"/>
        </w:rPr>
        <w:t>bered-skabet</w:t>
      </w:r>
      <w:proofErr w:type="spellEnd"/>
      <w:r w:rsidRPr="00177400">
        <w:rPr>
          <w:rFonts w:ascii="Georgia" w:hAnsi="Georgia"/>
          <w:sz w:val="20"/>
          <w:szCs w:val="20"/>
        </w:rPr>
        <w:t xml:space="preserve"> hurtigst muligt, så indsatsen for at minimere udbredelsen af </w:t>
      </w:r>
      <w:r>
        <w:rPr>
          <w:rFonts w:ascii="Georgia" w:hAnsi="Georgia"/>
          <w:sz w:val="20"/>
          <w:szCs w:val="20"/>
        </w:rPr>
        <w:t>olien kan sættes i gang. Virk</w:t>
      </w:r>
      <w:bookmarkStart w:id="0" w:name="_GoBack"/>
      <w:bookmarkEnd w:id="0"/>
      <w:r w:rsidRPr="00177400">
        <w:rPr>
          <w:rFonts w:ascii="Georgia" w:hAnsi="Georgia"/>
          <w:sz w:val="20"/>
          <w:szCs w:val="20"/>
        </w:rPr>
        <w:t xml:space="preserve">somheden projekterer pt. et system af barrierer, som skal sikre, at et udslip fra rørbrud og lign. vil blive begrænset i forhold til den mængde, som kan undslippe til havet. </w:t>
      </w:r>
    </w:p>
    <w:p w:rsidR="00177400" w:rsidRPr="00177400" w:rsidRDefault="00177400" w:rsidP="00177400">
      <w:pPr>
        <w:rPr>
          <w:rFonts w:ascii="Georgia" w:hAnsi="Georgia"/>
          <w:sz w:val="20"/>
          <w:szCs w:val="20"/>
        </w:rPr>
      </w:pPr>
      <w:r w:rsidRPr="00177400">
        <w:rPr>
          <w:rFonts w:ascii="Georgia" w:hAnsi="Georgia"/>
          <w:sz w:val="20"/>
          <w:szCs w:val="20"/>
        </w:rPr>
        <w:t>Ved udslip til havet vil virksomheden og beredskabet forsøge at minimere udbredelsen af olien med flydespærrer. Når olien er inddæmmet vil det være muligt at suge en stor del op fra havet, og derved mindske forureningen.</w:t>
      </w:r>
    </w:p>
    <w:sectPr w:rsidR="00177400" w:rsidRPr="0017740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00"/>
    <w:rsid w:val="000C5C2E"/>
    <w:rsid w:val="00145A3B"/>
    <w:rsid w:val="00177400"/>
    <w:rsid w:val="003304D7"/>
    <w:rsid w:val="004B7249"/>
    <w:rsid w:val="00537B17"/>
    <w:rsid w:val="00A44AC0"/>
    <w:rsid w:val="00A567BE"/>
    <w:rsid w:val="00E553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704D"/>
  <w15:chartTrackingRefBased/>
  <w15:docId w15:val="{7A3DD047-2E73-4229-8022-0CEFEADE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177400"/>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578</Words>
  <Characters>3528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Larsen</dc:creator>
  <cp:keywords/>
  <dc:description/>
  <cp:lastModifiedBy>Karin Larsen</cp:lastModifiedBy>
  <cp:revision>1</cp:revision>
  <dcterms:created xsi:type="dcterms:W3CDTF">2019-02-22T08:17:00Z</dcterms:created>
  <dcterms:modified xsi:type="dcterms:W3CDTF">2019-02-22T08:20:00Z</dcterms:modified>
</cp:coreProperties>
</file>