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158" w:rsidRPr="00F46158" w:rsidRDefault="009D13A0" w:rsidP="002F7670">
      <w:bookmarkStart w:id="0" w:name="_GoBack"/>
      <w:bookmarkEnd w:id="0"/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1A42180B" wp14:editId="74A11C55">
            <wp:simplePos x="0" y="0"/>
            <mc:AlternateContent>
              <mc:Choice Requires="wp14">
                <wp:positionH relativeFrom="margin">
                  <wp14:pctPosHOffset>0</wp14:pctPosHOffset>
                </wp:positionH>
              </mc:Choice>
              <mc:Fallback>
                <wp:positionH relativeFrom="page">
                  <wp:posOffset>900430</wp:posOffset>
                </wp:positionH>
              </mc:Fallback>
            </mc:AlternateContent>
            <wp:positionV relativeFrom="page">
              <wp:posOffset>540385</wp:posOffset>
            </wp:positionV>
            <wp:extent cx="1609090" cy="144145"/>
            <wp:effectExtent l="0" t="0" r="0" b="825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nders_kommu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597" cy="144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63C8EDE0" wp14:editId="2E5A941A">
            <wp:simplePos x="0" y="0"/>
            <mc:AlternateContent>
              <mc:Choice Requires="wp14">
                <wp:positionH relativeFrom="rightMargin">
                  <wp14:pctPosHOffset>0</wp14:pctPosHOffset>
                </wp:positionH>
              </mc:Choice>
              <mc:Fallback>
                <wp:positionH relativeFrom="page">
                  <wp:posOffset>5760085</wp:posOffset>
                </wp:positionH>
              </mc:Fallback>
            </mc:AlternateContent>
            <wp:positionV relativeFrom="page">
              <wp:posOffset>540385</wp:posOffset>
            </wp:positionV>
            <wp:extent cx="603885" cy="683895"/>
            <wp:effectExtent l="0" t="0" r="5715" b="1905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yvaaben_farv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51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158" w:rsidRPr="00F46158">
        <w:t xml:space="preserve"> </w:t>
      </w:r>
    </w:p>
    <w:p w:rsidR="00FC3429" w:rsidRDefault="00EB691E" w:rsidP="00D014F7">
      <w:p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felt 2" o:spid="_x0000_s1026" type="#_x0000_t202" style="position:absolute;margin-left:453.6pt;margin-top:113.4pt;width:127.55pt;height:157.6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" filled="f" stroked="f">
            <v:textbox style="mso-next-textbox:#Tekstfelt 2" inset="0,0,0,0">
              <w:txbxContent>
                <w:p w:rsidR="00FC3429" w:rsidRDefault="00FC3429" w:rsidP="00C87E94">
                  <w:pPr>
                    <w:pStyle w:val="brevtekst"/>
                  </w:pPr>
                  <w:r w:rsidRPr="00984E68">
                    <w:t>Udvikling, Miljø og Teknik</w:t>
                  </w:r>
                </w:p>
                <w:p w:rsidR="00FC3429" w:rsidRPr="000B666A" w:rsidRDefault="00FC3429" w:rsidP="00C87E94">
                  <w:pPr>
                    <w:pStyle w:val="brevtekst"/>
                  </w:pPr>
                  <w:r w:rsidRPr="000B666A">
                    <w:t>Miljø Natur og Landbrug</w:t>
                  </w:r>
                </w:p>
                <w:p w:rsidR="00FC3429" w:rsidRDefault="00FC3429" w:rsidP="00C87E94">
                  <w:pPr>
                    <w:pStyle w:val="brevtekst"/>
                  </w:pPr>
                  <w:r>
                    <w:t>Laksetorvet</w:t>
                  </w:r>
                </w:p>
                <w:p w:rsidR="00FC3429" w:rsidRPr="000B666A" w:rsidRDefault="00FC3429" w:rsidP="00C87E94">
                  <w:pPr>
                    <w:pStyle w:val="brevtekst"/>
                  </w:pPr>
                  <w:r>
                    <w:t>8900 Randers C</w:t>
                  </w:r>
                </w:p>
                <w:p w:rsidR="00FC3429" w:rsidRDefault="00FC3429" w:rsidP="00C87E94">
                  <w:pPr>
                    <w:pStyle w:val="brevtekst"/>
                  </w:pPr>
                </w:p>
                <w:p w:rsidR="00FC3429" w:rsidRDefault="00FC3429" w:rsidP="00015B3E">
                  <w:pPr>
                    <w:pStyle w:val="brevtekst"/>
                  </w:pPr>
                  <w:r w:rsidRPr="000B666A">
                    <w:t>Telefon</w:t>
                  </w:r>
                  <w:r>
                    <w:t xml:space="preserve"> </w:t>
                  </w:r>
                  <w:r w:rsidRPr="000B666A">
                    <w:t xml:space="preserve">+45 </w:t>
                  </w:r>
                  <w:r>
                    <w:t>8915 1515</w:t>
                  </w:r>
                </w:p>
                <w:p w:rsidR="00FC3429" w:rsidRDefault="00FC3429" w:rsidP="00015B3E">
                  <w:pPr>
                    <w:pStyle w:val="brevtekst"/>
                  </w:pPr>
                  <w:r>
                    <w:t>Direkte 8915 1843</w:t>
                  </w:r>
                </w:p>
                <w:p w:rsidR="00FC3429" w:rsidRPr="000B666A" w:rsidRDefault="00FC3429" w:rsidP="00015B3E">
                  <w:pPr>
                    <w:pStyle w:val="brevtekst"/>
                  </w:pPr>
                  <w:r>
                    <w:br/>
                    <w:t>Anni.Nielsen@Randers.dk</w:t>
                  </w:r>
                  <w:r>
                    <w:br/>
                  </w:r>
                  <w:r w:rsidRPr="00151DB4">
                    <w:t>www.randers.dk</w:t>
                  </w:r>
                  <w:r>
                    <w:br/>
                  </w:r>
                </w:p>
              </w:txbxContent>
            </v:textbox>
            <w10:wrap anchorx="page" anchory="page"/>
          </v:shape>
        </w:pict>
      </w:r>
    </w:p>
    <w:p w:rsidR="00FC3429" w:rsidRPr="00AC4B13" w:rsidRDefault="00FC3429" w:rsidP="00D014F7">
      <w:pPr>
        <w:spacing w:after="0"/>
        <w:rPr>
          <w:szCs w:val="20"/>
        </w:rPr>
      </w:pPr>
    </w:p>
    <w:p w:rsidR="00FC3429" w:rsidRPr="00D014F7" w:rsidRDefault="00EB691E" w:rsidP="00D014F7">
      <w:pPr>
        <w:spacing w:after="0"/>
        <w:rPr>
          <w:sz w:val="20"/>
          <w:szCs w:val="20"/>
        </w:rPr>
      </w:pPr>
      <w:r>
        <w:rPr>
          <w:noProof/>
        </w:rPr>
        <w:pict>
          <v:shape id="_x0000_s1027" type="#_x0000_t202" style="position:absolute;margin-left:70.9pt;margin-top:113.4pt;width:333.35pt;height:86.1pt;z-index:-251653120;visibility:visible;mso-position-horizontal-relative:page;mso-position-vertical-relative:page;mso-width-relative:margin;mso-height-relative:margin" filled="f" stroked="f">
            <v:textbox inset="0,0,0,0">
              <w:txbxContent>
                <w:p w:rsidR="00FC3429" w:rsidRPr="00151DB4" w:rsidRDefault="00FC3429" w:rsidP="00D014F7">
                  <w:pPr>
                    <w:spacing w:after="0"/>
                    <w:rPr>
                      <w:szCs w:val="20"/>
                    </w:rPr>
                  </w:pPr>
                  <w:proofErr w:type="spellStart"/>
                  <w:r w:rsidRPr="00151DB4">
                    <w:rPr>
                      <w:szCs w:val="20"/>
                    </w:rPr>
                    <w:t>Hofjægerm.Godsejer</w:t>
                  </w:r>
                  <w:proofErr w:type="spellEnd"/>
                  <w:r w:rsidRPr="00151DB4">
                    <w:rPr>
                      <w:szCs w:val="20"/>
                    </w:rPr>
                    <w:t xml:space="preserve"> Chr. F. la Cour</w:t>
                  </w:r>
                </w:p>
                <w:p w:rsidR="00FC3429" w:rsidRPr="00151DB4" w:rsidRDefault="00FC3429" w:rsidP="00D014F7">
                  <w:pPr>
                    <w:spacing w:after="0"/>
                    <w:rPr>
                      <w:szCs w:val="20"/>
                    </w:rPr>
                  </w:pPr>
                  <w:r w:rsidRPr="00151DB4">
                    <w:rPr>
                      <w:szCs w:val="20"/>
                    </w:rPr>
                    <w:t>Trudsholm Alle 10</w:t>
                  </w:r>
                </w:p>
                <w:p w:rsidR="00FC3429" w:rsidRPr="00426CB9" w:rsidRDefault="00FC3429" w:rsidP="00426CB9">
                  <w:pPr>
                    <w:spacing w:after="0"/>
                    <w:rPr>
                      <w:szCs w:val="20"/>
                    </w:rPr>
                  </w:pPr>
                  <w:r w:rsidRPr="00426CB9">
                    <w:rPr>
                      <w:szCs w:val="20"/>
                    </w:rPr>
                    <w:t>8970</w:t>
                  </w:r>
                  <w:r>
                    <w:rPr>
                      <w:szCs w:val="20"/>
                    </w:rPr>
                    <w:t xml:space="preserve"> Havndal</w:t>
                  </w:r>
                </w:p>
              </w:txbxContent>
            </v:textbox>
            <w10:wrap anchorx="page" anchory="page"/>
          </v:shape>
        </w:pict>
      </w:r>
    </w:p>
    <w:p w:rsidR="00FC3429" w:rsidRPr="00D014F7" w:rsidRDefault="00FC3429" w:rsidP="00D014F7">
      <w:pPr>
        <w:spacing w:after="0"/>
        <w:rPr>
          <w:sz w:val="20"/>
          <w:szCs w:val="20"/>
        </w:rPr>
      </w:pPr>
    </w:p>
    <w:p w:rsidR="00FC3429" w:rsidRPr="00D014F7" w:rsidRDefault="00FC3429" w:rsidP="00D014F7">
      <w:pPr>
        <w:spacing w:after="0"/>
        <w:rPr>
          <w:sz w:val="20"/>
          <w:szCs w:val="20"/>
        </w:rPr>
      </w:pPr>
    </w:p>
    <w:p w:rsidR="00FC3429" w:rsidRPr="00D014F7" w:rsidRDefault="00FC3429" w:rsidP="00D014F7">
      <w:pPr>
        <w:spacing w:after="0"/>
        <w:rPr>
          <w:sz w:val="20"/>
          <w:szCs w:val="20"/>
        </w:rPr>
      </w:pPr>
    </w:p>
    <w:p w:rsidR="00FC3429" w:rsidRPr="00D014F7" w:rsidRDefault="00FC3429" w:rsidP="00D014F7">
      <w:pPr>
        <w:spacing w:after="0"/>
        <w:rPr>
          <w:sz w:val="20"/>
          <w:szCs w:val="20"/>
        </w:rPr>
      </w:pPr>
    </w:p>
    <w:p w:rsidR="00FC3429" w:rsidRPr="00D014F7" w:rsidRDefault="00FC3429" w:rsidP="00D014F7">
      <w:pPr>
        <w:spacing w:after="0"/>
        <w:rPr>
          <w:sz w:val="20"/>
          <w:szCs w:val="20"/>
        </w:rPr>
      </w:pPr>
    </w:p>
    <w:p w:rsidR="00FC3429" w:rsidRDefault="00FC3429" w:rsidP="00D014F7">
      <w:pPr>
        <w:spacing w:after="0"/>
        <w:rPr>
          <w:noProof/>
          <w:szCs w:val="20"/>
        </w:rPr>
      </w:pPr>
      <w:r>
        <w:rPr>
          <w:szCs w:val="20"/>
        </w:rPr>
        <w:fldChar w:fldCharType="begin"/>
      </w:r>
      <w:r>
        <w:rPr>
          <w:szCs w:val="20"/>
        </w:rPr>
        <w:instrText xml:space="preserve"> DATE  </w:instrText>
      </w:r>
      <w:r>
        <w:rPr>
          <w:szCs w:val="20"/>
        </w:rPr>
        <w:fldChar w:fldCharType="separate"/>
      </w:r>
      <w:r w:rsidR="00EB691E">
        <w:rPr>
          <w:noProof/>
          <w:szCs w:val="20"/>
        </w:rPr>
        <w:t>08-01-2021</w:t>
      </w:r>
      <w:r>
        <w:rPr>
          <w:szCs w:val="20"/>
        </w:rPr>
        <w:fldChar w:fldCharType="end"/>
      </w:r>
      <w:r>
        <w:rPr>
          <w:szCs w:val="20"/>
          <w:lang w:val="en-GB"/>
        </w:rPr>
        <w:t xml:space="preserve"> </w:t>
      </w:r>
      <w:r w:rsidRPr="00151DB4">
        <w:rPr>
          <w:szCs w:val="20"/>
          <w:lang w:val="en-GB"/>
        </w:rPr>
        <w:t xml:space="preserve">/ </w:t>
      </w:r>
      <w:r w:rsidRPr="00151DB4">
        <w:rPr>
          <w:noProof/>
          <w:szCs w:val="20"/>
        </w:rPr>
        <w:t>09.17.60-K08-104-20</w:t>
      </w:r>
    </w:p>
    <w:p w:rsidR="00FC3429" w:rsidRDefault="00FC3429" w:rsidP="00D014F7">
      <w:pPr>
        <w:spacing w:after="0"/>
        <w:rPr>
          <w:noProof/>
          <w:szCs w:val="20"/>
        </w:rPr>
      </w:pPr>
    </w:p>
    <w:p w:rsidR="009B47D7" w:rsidRDefault="009B47D7" w:rsidP="009B47D7">
      <w:pPr>
        <w:pStyle w:val="Ingenafstand"/>
        <w:rPr>
          <w:b/>
        </w:rPr>
      </w:pPr>
      <w:r>
        <w:rPr>
          <w:b/>
        </w:rPr>
        <w:t xml:space="preserve">Miljøtilsyn på husdyrbruget beliggende </w:t>
      </w:r>
      <w:proofErr w:type="spellStart"/>
      <w:r>
        <w:rPr>
          <w:b/>
        </w:rPr>
        <w:t>Klattrupgade</w:t>
      </w:r>
      <w:proofErr w:type="spellEnd"/>
      <w:r>
        <w:rPr>
          <w:b/>
        </w:rPr>
        <w:t xml:space="preserve"> 36</w:t>
      </w:r>
    </w:p>
    <w:p w:rsidR="009B47D7" w:rsidRDefault="009B47D7" w:rsidP="009B47D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CVR-nr. 11079180</w:t>
      </w:r>
    </w:p>
    <w:p w:rsidR="009B47D7" w:rsidRDefault="009B47D7" w:rsidP="009B47D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:rsidR="004B27F2" w:rsidRPr="004B27F2" w:rsidRDefault="004B27F2" w:rsidP="004B27F2">
      <w:pPr>
        <w:spacing w:after="0"/>
        <w:rPr>
          <w:b/>
          <w:noProof/>
          <w:szCs w:val="20"/>
        </w:rPr>
      </w:pPr>
      <w:r w:rsidRPr="004B27F2">
        <w:rPr>
          <w:b/>
          <w:noProof/>
          <w:szCs w:val="20"/>
        </w:rPr>
        <w:t>Revideret tilsynsrapport. Erstatter tilsynsrapport fra den 9. december 2020.</w:t>
      </w:r>
    </w:p>
    <w:p w:rsidR="004B27F2" w:rsidRDefault="004B27F2" w:rsidP="009B47D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:rsidR="009B47D7" w:rsidRDefault="009B47D7" w:rsidP="009B47D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Baggrund</w:t>
      </w:r>
    </w:p>
    <w:p w:rsidR="009B47D7" w:rsidRDefault="009B47D7" w:rsidP="009B47D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Randers Kommune har den 3. december 2020 udført miljøtilsyn på husdyrbruget. Der var ingen tilstede fra husdyrbruget ved tilsynet. </w:t>
      </w:r>
    </w:p>
    <w:p w:rsidR="009B47D7" w:rsidRDefault="009B47D7" w:rsidP="009B47D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B47D7" w:rsidRDefault="009B47D7" w:rsidP="009B47D7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Tilsynet er foretaget som et prioriteret tilsyn. Jf. bekendtgørelse om miljøtilsyn</w:t>
      </w:r>
      <w:r>
        <w:rPr>
          <w:rStyle w:val="Fodnotehenvisning"/>
          <w:rFonts w:cs="Calibri"/>
          <w:bCs/>
        </w:rPr>
        <w:footnoteReference w:id="1"/>
      </w:r>
      <w:r>
        <w:rPr>
          <w:rFonts w:cs="Calibri"/>
          <w:bCs/>
        </w:rPr>
        <w:t xml:space="preserve">. </w:t>
      </w:r>
    </w:p>
    <w:p w:rsidR="009B47D7" w:rsidRDefault="009B47D7" w:rsidP="009B47D7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:rsidR="009B47D7" w:rsidRDefault="009B47D7" w:rsidP="009B47D7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Husdyrbruget er et erhvervsmæssigt dyrehold med tilladelse til en malkekvægsbesætning.</w:t>
      </w:r>
    </w:p>
    <w:p w:rsidR="009B47D7" w:rsidRDefault="009B47D7" w:rsidP="009B47D7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:rsidR="009B47D7" w:rsidRDefault="009B47D7" w:rsidP="009B47D7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Der er sket ejerskifte siden sidste tilsyn i 2017.</w:t>
      </w:r>
    </w:p>
    <w:p w:rsidR="009B47D7" w:rsidRDefault="009B47D7" w:rsidP="009B47D7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:rsidR="009B47D7" w:rsidRDefault="009B47D7" w:rsidP="009B47D7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En del af bygningsanlægget som maskinhus, stalde og gyllebeholdere er beliggende på ejendommen Fuglsø Mark 2, men er beliggende i tilknytning til </w:t>
      </w:r>
      <w:proofErr w:type="spellStart"/>
      <w:r>
        <w:rPr>
          <w:rFonts w:cs="Arial"/>
          <w:bCs/>
        </w:rPr>
        <w:t>Klattrupgade</w:t>
      </w:r>
      <w:proofErr w:type="spellEnd"/>
      <w:r>
        <w:rPr>
          <w:rFonts w:cs="Arial"/>
          <w:bCs/>
        </w:rPr>
        <w:t xml:space="preserve"> 36.</w:t>
      </w:r>
    </w:p>
    <w:p w:rsidR="009B47D7" w:rsidRDefault="009B47D7" w:rsidP="009B47D7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:rsidR="009B47D7" w:rsidRDefault="009B47D7" w:rsidP="009B47D7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:rsidR="009B47D7" w:rsidRDefault="009B47D7" w:rsidP="009B47D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Bemærkninger til miljøtilsynet</w:t>
      </w:r>
    </w:p>
    <w:p w:rsidR="009B47D7" w:rsidRDefault="009B47D7" w:rsidP="009B47D7">
      <w:pPr>
        <w:spacing w:after="0"/>
      </w:pPr>
      <w:r>
        <w:t>Tilsynet har givet anledning til følgende håndhævelser:</w:t>
      </w:r>
    </w:p>
    <w:p w:rsidR="004D5387" w:rsidRDefault="009B47D7" w:rsidP="009B47D7">
      <w:pPr>
        <w:pStyle w:val="Listeafsnit"/>
        <w:numPr>
          <w:ilvl w:val="0"/>
          <w:numId w:val="4"/>
        </w:numPr>
        <w:spacing w:after="0"/>
      </w:pPr>
      <w:r>
        <w:t xml:space="preserve">Indskærpelse om </w:t>
      </w:r>
      <w:r w:rsidR="004D5387">
        <w:t>at lovliggøre husdyrproduktion</w:t>
      </w:r>
      <w:r w:rsidR="00AD6E34">
        <w:t>en</w:t>
      </w:r>
      <w:r w:rsidR="004D5387">
        <w:t>.</w:t>
      </w:r>
    </w:p>
    <w:p w:rsidR="004D5387" w:rsidRDefault="004D5387" w:rsidP="009B47D7">
      <w:pPr>
        <w:pStyle w:val="Listeafsnit"/>
        <w:numPr>
          <w:ilvl w:val="0"/>
          <w:numId w:val="4"/>
        </w:numPr>
        <w:spacing w:after="0"/>
      </w:pPr>
      <w:r>
        <w:t>Indskærpelse om reparation af gyllelagune.</w:t>
      </w:r>
    </w:p>
    <w:p w:rsidR="009B47D7" w:rsidRDefault="004D5387" w:rsidP="004D5387">
      <w:pPr>
        <w:pStyle w:val="Listeafsnit"/>
        <w:numPr>
          <w:ilvl w:val="0"/>
          <w:numId w:val="4"/>
        </w:numPr>
        <w:spacing w:after="0"/>
      </w:pPr>
      <w:r>
        <w:t>Indskærpelse om at anmelde olietank.</w:t>
      </w:r>
      <w:r w:rsidR="009B47D7">
        <w:rPr>
          <w:noProof/>
          <w:lang w:eastAsia="da-DK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align>center</wp:align>
            </wp:positionH>
            <wp:positionV relativeFrom="bottomMargin">
              <wp:posOffset>542290</wp:posOffset>
            </wp:positionV>
            <wp:extent cx="1882775" cy="302260"/>
            <wp:effectExtent l="0" t="0" r="3175" b="2540"/>
            <wp:wrapNone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30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47D7" w:rsidRDefault="009B47D7" w:rsidP="009B47D7">
      <w:pPr>
        <w:spacing w:after="0"/>
      </w:pPr>
    </w:p>
    <w:p w:rsidR="00C01F15" w:rsidRDefault="00C01F15" w:rsidP="009B47D7">
      <w:pPr>
        <w:spacing w:after="0"/>
      </w:pPr>
    </w:p>
    <w:p w:rsidR="009B47D7" w:rsidRDefault="009B47D7" w:rsidP="009B47D7">
      <w:pPr>
        <w:spacing w:after="0"/>
        <w:rPr>
          <w:b/>
          <w:bCs/>
        </w:rPr>
      </w:pPr>
      <w:r>
        <w:rPr>
          <w:b/>
          <w:bCs/>
        </w:rPr>
        <w:t>Jordforurening</w:t>
      </w:r>
    </w:p>
    <w:p w:rsidR="009B47D7" w:rsidRDefault="009B47D7" w:rsidP="009B47D7">
      <w:pPr>
        <w:spacing w:after="0"/>
      </w:pPr>
      <w:r>
        <w:t>Det er ved tilsynet ikke undersøgt, om der er forhold, som har givet anledning til jordforurening på husdyrbruget.</w:t>
      </w:r>
    </w:p>
    <w:p w:rsidR="009B47D7" w:rsidRDefault="009B47D7" w:rsidP="009B47D7">
      <w:pPr>
        <w:spacing w:after="0"/>
      </w:pPr>
    </w:p>
    <w:p w:rsidR="00C01F15" w:rsidRDefault="00C01F15" w:rsidP="009B47D7">
      <w:pPr>
        <w:spacing w:after="0"/>
      </w:pPr>
    </w:p>
    <w:p w:rsidR="00C01F15" w:rsidRDefault="00C01F15" w:rsidP="009B47D7">
      <w:pPr>
        <w:spacing w:after="0"/>
      </w:pPr>
    </w:p>
    <w:p w:rsidR="009B47D7" w:rsidRDefault="009B47D7" w:rsidP="009B47D7">
      <w:pPr>
        <w:spacing w:after="0"/>
      </w:pPr>
    </w:p>
    <w:p w:rsidR="009B47D7" w:rsidRDefault="009B47D7" w:rsidP="009B47D7">
      <w:pPr>
        <w:spacing w:after="0"/>
        <w:rPr>
          <w:b/>
        </w:rPr>
      </w:pPr>
      <w:r>
        <w:rPr>
          <w:b/>
        </w:rPr>
        <w:lastRenderedPageBreak/>
        <w:t>Gældende afgørelser</w:t>
      </w:r>
    </w:p>
    <w:p w:rsidR="009B47D7" w:rsidRDefault="009B47D7" w:rsidP="009B47D7">
      <w:pPr>
        <w:pStyle w:val="Listeafsnit"/>
        <w:numPr>
          <w:ilvl w:val="0"/>
          <w:numId w:val="5"/>
        </w:numPr>
        <w:spacing w:after="0"/>
      </w:pPr>
      <w:r>
        <w:t>Afgørelse fra den 23. april 2015 om at skift i dyretype fra malkekøer, kvier, tyre og slagtesvin til malkekøer og kvier ikke kræver miljøgodkendelse.</w:t>
      </w:r>
    </w:p>
    <w:p w:rsidR="009B47D7" w:rsidRDefault="009B47D7" w:rsidP="009B47D7">
      <w:pPr>
        <w:pStyle w:val="Listeafsnit"/>
        <w:numPr>
          <w:ilvl w:val="0"/>
          <w:numId w:val="5"/>
        </w:numPr>
        <w:spacing w:after="0"/>
      </w:pPr>
      <w:r>
        <w:t>Afgørelse fra den 23. april 2015 om at tilbygning til mælkerum ikke kræver miljøgodkendelse.</w:t>
      </w:r>
    </w:p>
    <w:p w:rsidR="009B47D7" w:rsidRDefault="009B47D7" w:rsidP="009B47D7">
      <w:pPr>
        <w:pStyle w:val="Listeafsnit"/>
        <w:numPr>
          <w:ilvl w:val="0"/>
          <w:numId w:val="5"/>
        </w:numPr>
        <w:spacing w:after="0"/>
      </w:pPr>
      <w:r>
        <w:t>Afgørelse fra den 30. juni 2015 om at tilbygning til stald til opfyldelse af dyrevelfærdsmæssige krav ikke kræver miljøgodkendelse.</w:t>
      </w:r>
    </w:p>
    <w:p w:rsidR="009B47D7" w:rsidRDefault="009B47D7" w:rsidP="009B47D7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Afgørelse fra den 7. april 2016 om at skift i dyretype fra stor race til jersey ikke kræver miljøgodkendelse.</w:t>
      </w:r>
    </w:p>
    <w:p w:rsidR="009B47D7" w:rsidRDefault="009B47D7" w:rsidP="009B47D7">
      <w:pPr>
        <w:spacing w:after="0"/>
      </w:pPr>
    </w:p>
    <w:p w:rsidR="009B47D7" w:rsidRDefault="009B47D7" w:rsidP="009B47D7">
      <w:pPr>
        <w:spacing w:after="0"/>
        <w:ind w:right="-2"/>
        <w:rPr>
          <w:rFonts w:eastAsia="Times New Roman" w:cs="Arial"/>
          <w:b/>
          <w:bCs/>
          <w:kern w:val="28"/>
        </w:rPr>
      </w:pPr>
      <w:r>
        <w:rPr>
          <w:rFonts w:eastAsia="Times New Roman" w:cs="Arial"/>
          <w:b/>
          <w:bCs/>
          <w:kern w:val="28"/>
        </w:rPr>
        <w:t>Tilsynet</w:t>
      </w:r>
    </w:p>
    <w:p w:rsidR="009B47D7" w:rsidRDefault="009B47D7" w:rsidP="009B47D7">
      <w:pPr>
        <w:spacing w:after="0"/>
        <w:ind w:right="-2"/>
        <w:rPr>
          <w:rFonts w:eastAsia="Times New Roman" w:cs="Arial"/>
          <w:bCs/>
          <w:kern w:val="28"/>
          <w:u w:val="single"/>
        </w:rPr>
      </w:pPr>
      <w:r>
        <w:rPr>
          <w:rFonts w:eastAsia="Times New Roman" w:cs="Arial"/>
          <w:bCs/>
          <w:kern w:val="28"/>
          <w:u w:val="single"/>
        </w:rPr>
        <w:t>Husdyrhold</w:t>
      </w:r>
    </w:p>
    <w:p w:rsidR="009B47D7" w:rsidRDefault="009B47D7" w:rsidP="009B47D7">
      <w:pPr>
        <w:spacing w:after="0"/>
      </w:pPr>
      <w:r>
        <w:t>Husdyrbrugets produktionsrettighed er på:</w:t>
      </w:r>
    </w:p>
    <w:p w:rsidR="009B47D7" w:rsidRPr="009B47D7" w:rsidRDefault="009B47D7" w:rsidP="009B47D7">
      <w:pPr>
        <w:pStyle w:val="Listeafsnit"/>
        <w:numPr>
          <w:ilvl w:val="0"/>
          <w:numId w:val="6"/>
        </w:numPr>
        <w:spacing w:after="0"/>
      </w:pPr>
      <w:r w:rsidRPr="009B47D7">
        <w:t>99 malkekøer, 4 kvier (22 – 24 mdr.), 10 kvier (6 – 8 mdr.), 26 småkalve (0 – 6 mdr.) og 52 tyrekalve (25 – 35 kg) – alle jersey svarende til 122 DE.</w:t>
      </w:r>
    </w:p>
    <w:p w:rsidR="009B47D7" w:rsidRDefault="009B47D7" w:rsidP="009B47D7">
      <w:pPr>
        <w:spacing w:after="0"/>
      </w:pPr>
    </w:p>
    <w:p w:rsidR="009B47D7" w:rsidRDefault="009B47D7" w:rsidP="009B47D7">
      <w:pPr>
        <w:spacing w:after="0"/>
        <w:ind w:right="-2"/>
        <w:rPr>
          <w:rFonts w:eastAsia="Times New Roman" w:cs="Arial"/>
          <w:bCs/>
          <w:kern w:val="28"/>
        </w:rPr>
      </w:pPr>
      <w:r>
        <w:rPr>
          <w:rFonts w:eastAsia="Times New Roman" w:cs="Arial"/>
          <w:bCs/>
          <w:kern w:val="28"/>
        </w:rPr>
        <w:t xml:space="preserve">Dyreholdet </w:t>
      </w:r>
      <w:r w:rsidR="002C7B7B">
        <w:rPr>
          <w:rFonts w:eastAsia="Times New Roman" w:cs="Arial"/>
          <w:bCs/>
          <w:kern w:val="28"/>
        </w:rPr>
        <w:t xml:space="preserve">har </w:t>
      </w:r>
      <w:r>
        <w:rPr>
          <w:rFonts w:eastAsia="Times New Roman" w:cs="Arial"/>
          <w:bCs/>
          <w:kern w:val="28"/>
        </w:rPr>
        <w:t>bestå</w:t>
      </w:r>
      <w:r w:rsidR="002C7B7B">
        <w:rPr>
          <w:rFonts w:eastAsia="Times New Roman" w:cs="Arial"/>
          <w:bCs/>
          <w:kern w:val="28"/>
        </w:rPr>
        <w:t>et</w:t>
      </w:r>
      <w:r>
        <w:rPr>
          <w:rFonts w:eastAsia="Times New Roman" w:cs="Arial"/>
          <w:bCs/>
          <w:kern w:val="28"/>
        </w:rPr>
        <w:t xml:space="preserve"> jf. gødnings- og husdyrindberetning for de seneste 2 planperioder af:</w:t>
      </w:r>
    </w:p>
    <w:p w:rsidR="009B47D7" w:rsidRDefault="009B47D7" w:rsidP="009B47D7">
      <w:pPr>
        <w:pStyle w:val="Listeafsnit"/>
        <w:spacing w:after="0"/>
        <w:ind w:left="644" w:right="-2"/>
        <w:rPr>
          <w:rFonts w:eastAsia="Times New Roman" w:cs="Arial"/>
          <w:bCs/>
          <w:kern w:val="28"/>
        </w:rPr>
      </w:pPr>
      <w:r>
        <w:rPr>
          <w:rFonts w:eastAsia="Times New Roman" w:cs="Arial"/>
          <w:bCs/>
          <w:kern w:val="28"/>
        </w:rPr>
        <w:t>1. august 2018 – 31. juli 2019 (Gårdejer Hans Jørgen Mogensen) ophørt den 31. august 2019</w:t>
      </w:r>
    </w:p>
    <w:tbl>
      <w:tblPr>
        <w:tblW w:w="70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828"/>
        <w:gridCol w:w="1031"/>
        <w:gridCol w:w="799"/>
        <w:gridCol w:w="2387"/>
      </w:tblGrid>
      <w:tr w:rsidR="009B47D7" w:rsidTr="009B47D7">
        <w:trPr>
          <w:cantSplit/>
          <w:trHeight w:val="263"/>
          <w:jc w:val="center"/>
        </w:trPr>
        <w:tc>
          <w:tcPr>
            <w:tcW w:w="282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Art: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keepNext/>
              <w:tabs>
                <w:tab w:val="left" w:pos="3130"/>
              </w:tabs>
              <w:spacing w:after="0" w:line="240" w:lineRule="auto"/>
              <w:jc w:val="center"/>
              <w:outlineLvl w:val="4"/>
              <w:rPr>
                <w:rFonts w:eastAsia="Times New Roman"/>
              </w:rPr>
            </w:pPr>
            <w:r>
              <w:rPr>
                <w:rFonts w:eastAsia="Times New Roman"/>
              </w:rPr>
              <w:t>Antal dyr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</w:t>
            </w:r>
          </w:p>
        </w:tc>
        <w:tc>
          <w:tcPr>
            <w:tcW w:w="238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Gødning / staldsystem </w:t>
            </w:r>
          </w:p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</w:p>
        </w:tc>
      </w:tr>
      <w:tr w:rsidR="009B47D7" w:rsidTr="009B47D7">
        <w:trPr>
          <w:cantSplit/>
          <w:trHeight w:val="263"/>
          <w:jc w:val="center"/>
        </w:trPr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Malkekøer (10.691 kg mælk EKM)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21,6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Sengestald med spalter</w:t>
            </w:r>
          </w:p>
        </w:tc>
      </w:tr>
      <w:tr w:rsidR="009B47D7" w:rsidTr="009B47D7">
        <w:trPr>
          <w:cantSplit/>
          <w:trHeight w:val="263"/>
          <w:jc w:val="center"/>
        </w:trPr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Malkekøer (9.547 kg mælk), jersey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2,4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Dybstrøelse</w:t>
            </w:r>
          </w:p>
        </w:tc>
      </w:tr>
      <w:tr w:rsidR="009B47D7" w:rsidTr="009B47D7">
        <w:trPr>
          <w:cantSplit/>
          <w:trHeight w:val="263"/>
          <w:jc w:val="center"/>
        </w:trPr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Årsopdræt (0–5,1 mdr.)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7,6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Dybstrøelse</w:t>
            </w:r>
          </w:p>
        </w:tc>
      </w:tr>
      <w:tr w:rsidR="009B47D7" w:rsidTr="009B47D7">
        <w:trPr>
          <w:cantSplit/>
          <w:trHeight w:val="264"/>
          <w:jc w:val="center"/>
        </w:trPr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Årsopdræt (11,5-15,7 mdr.)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Spaltegulvbokse</w:t>
            </w:r>
          </w:p>
        </w:tc>
      </w:tr>
      <w:tr w:rsidR="009B47D7" w:rsidTr="009B47D7">
        <w:trPr>
          <w:cantSplit/>
          <w:trHeight w:val="264"/>
          <w:jc w:val="center"/>
        </w:trPr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Slagtekalv (41-190 kg)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Dybstrøelse</w:t>
            </w:r>
          </w:p>
        </w:tc>
      </w:tr>
      <w:tr w:rsidR="009B47D7" w:rsidTr="009B47D7">
        <w:trPr>
          <w:cantSplit/>
          <w:trHeight w:val="264"/>
          <w:jc w:val="center"/>
        </w:trPr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Slagtekalv (213-243 kg)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Spaltegulvbokse</w:t>
            </w:r>
          </w:p>
        </w:tc>
      </w:tr>
      <w:tr w:rsidR="009B47D7" w:rsidTr="009B47D7">
        <w:trPr>
          <w:cantSplit/>
          <w:trHeight w:val="264"/>
          <w:jc w:val="center"/>
        </w:trPr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Årsopdræt (2,8-4,7 mdr.), jersey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Dybstrøelse</w:t>
            </w:r>
          </w:p>
        </w:tc>
      </w:tr>
      <w:tr w:rsidR="009B47D7" w:rsidTr="009B47D7">
        <w:trPr>
          <w:cantSplit/>
          <w:trHeight w:val="264"/>
          <w:jc w:val="center"/>
        </w:trPr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Årsopdræt (7,4-12 mdr.), jersey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2,7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Sengestald med spalter</w:t>
            </w:r>
          </w:p>
        </w:tc>
      </w:tr>
      <w:tr w:rsidR="009B47D7" w:rsidTr="009B47D7">
        <w:trPr>
          <w:cantSplit/>
          <w:trHeight w:val="263"/>
          <w:jc w:val="center"/>
        </w:trPr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Slagtekalv (25-154 kg), Jersey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Dybstrøelse</w:t>
            </w:r>
          </w:p>
        </w:tc>
      </w:tr>
      <w:tr w:rsidR="009B47D7" w:rsidTr="009B47D7">
        <w:trPr>
          <w:cantSplit/>
          <w:trHeight w:val="263"/>
          <w:jc w:val="center"/>
        </w:trPr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/>
              </w:rPr>
              <w:t>Slagtekalv (153-209 kg), jersey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Dybstrøelse</w:t>
            </w:r>
          </w:p>
        </w:tc>
      </w:tr>
      <w:tr w:rsidR="009B47D7" w:rsidTr="009B47D7">
        <w:trPr>
          <w:cantSplit/>
          <w:trHeight w:val="263"/>
          <w:jc w:val="center"/>
        </w:trPr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  <w:bCs/>
              </w:rPr>
            </w:pPr>
            <w:proofErr w:type="spellStart"/>
            <w:r>
              <w:rPr>
                <w:rFonts w:eastAsia="Times New Roman"/>
                <w:bCs/>
              </w:rPr>
              <w:t>Ammeko</w:t>
            </w:r>
            <w:proofErr w:type="spellEnd"/>
            <w:r>
              <w:rPr>
                <w:rFonts w:eastAsia="Times New Roman"/>
                <w:bCs/>
              </w:rPr>
              <w:t xml:space="preserve"> (400 – 600 kg)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0,5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7D7" w:rsidRDefault="009B47D7">
            <w:pPr>
              <w:keepNext/>
              <w:tabs>
                <w:tab w:val="left" w:pos="3130"/>
              </w:tabs>
              <w:spacing w:after="0" w:line="240" w:lineRule="auto"/>
              <w:jc w:val="center"/>
              <w:outlineLvl w:val="7"/>
              <w:rPr>
                <w:rFonts w:eastAsia="Times New Roman"/>
                <w:bCs/>
              </w:rPr>
            </w:pP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9B47D7" w:rsidTr="009B47D7">
        <w:trPr>
          <w:cantSplit/>
          <w:trHeight w:val="263"/>
          <w:jc w:val="center"/>
        </w:trPr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 alt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7D7" w:rsidRDefault="009B47D7">
            <w:pPr>
              <w:keepNext/>
              <w:tabs>
                <w:tab w:val="left" w:pos="3130"/>
              </w:tabs>
              <w:spacing w:after="0" w:line="240" w:lineRule="auto"/>
              <w:jc w:val="center"/>
              <w:outlineLvl w:val="7"/>
              <w:rPr>
                <w:rFonts w:eastAsia="Times New Roman"/>
                <w:b/>
                <w:bCs/>
              </w:rPr>
            </w:pP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</w:tbl>
    <w:p w:rsidR="009B47D7" w:rsidRDefault="009B47D7" w:rsidP="009B47D7">
      <w:pPr>
        <w:spacing w:after="0"/>
        <w:ind w:right="-2"/>
        <w:rPr>
          <w:rFonts w:eastAsia="Times New Roman" w:cs="Arial"/>
          <w:bCs/>
          <w:kern w:val="28"/>
        </w:rPr>
      </w:pPr>
      <w:r>
        <w:rPr>
          <w:rFonts w:eastAsia="Times New Roman" w:cs="Arial"/>
          <w:bCs/>
          <w:kern w:val="28"/>
        </w:rPr>
        <w:t xml:space="preserve"> </w:t>
      </w:r>
    </w:p>
    <w:p w:rsidR="009B47D7" w:rsidRDefault="009B47D7" w:rsidP="009B47D7">
      <w:pPr>
        <w:spacing w:after="0"/>
        <w:ind w:right="-2"/>
        <w:rPr>
          <w:rFonts w:eastAsia="Times New Roman" w:cs="Arial"/>
          <w:bCs/>
          <w:kern w:val="28"/>
        </w:rPr>
      </w:pPr>
      <w:r>
        <w:rPr>
          <w:rFonts w:eastAsia="Times New Roman" w:cs="Arial"/>
          <w:bCs/>
          <w:kern w:val="28"/>
        </w:rPr>
        <w:t>1. august 2017 – 31. juli 2018</w:t>
      </w:r>
      <w:r w:rsidR="00731D91">
        <w:rPr>
          <w:rFonts w:eastAsia="Times New Roman" w:cs="Arial"/>
          <w:bCs/>
          <w:kern w:val="28"/>
        </w:rPr>
        <w:t xml:space="preserve"> (Gårdejer Hans Jørgen Mogensen)</w:t>
      </w:r>
    </w:p>
    <w:tbl>
      <w:tblPr>
        <w:tblW w:w="70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828"/>
        <w:gridCol w:w="1031"/>
        <w:gridCol w:w="799"/>
        <w:gridCol w:w="2387"/>
      </w:tblGrid>
      <w:tr w:rsidR="009B47D7" w:rsidTr="009B47D7">
        <w:trPr>
          <w:cantSplit/>
          <w:trHeight w:val="263"/>
          <w:jc w:val="center"/>
        </w:trPr>
        <w:tc>
          <w:tcPr>
            <w:tcW w:w="282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Art: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keepNext/>
              <w:tabs>
                <w:tab w:val="left" w:pos="3130"/>
              </w:tabs>
              <w:spacing w:after="0" w:line="240" w:lineRule="auto"/>
              <w:jc w:val="center"/>
              <w:outlineLvl w:val="4"/>
              <w:rPr>
                <w:rFonts w:eastAsia="Times New Roman"/>
              </w:rPr>
            </w:pPr>
            <w:r>
              <w:rPr>
                <w:rFonts w:eastAsia="Times New Roman"/>
              </w:rPr>
              <w:t>Antal dyr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</w:t>
            </w:r>
          </w:p>
        </w:tc>
        <w:tc>
          <w:tcPr>
            <w:tcW w:w="238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Gødning / staldsystem </w:t>
            </w:r>
          </w:p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</w:p>
        </w:tc>
      </w:tr>
      <w:tr w:rsidR="009B47D7" w:rsidTr="009B47D7">
        <w:trPr>
          <w:cantSplit/>
          <w:trHeight w:val="263"/>
          <w:jc w:val="center"/>
        </w:trPr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Malkekøer (11.730 kg mælk EKM)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77,4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117,11</w:t>
            </w: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Sengestald med spalter</w:t>
            </w:r>
          </w:p>
        </w:tc>
      </w:tr>
      <w:tr w:rsidR="009B47D7" w:rsidTr="009B47D7">
        <w:trPr>
          <w:cantSplit/>
          <w:trHeight w:val="264"/>
          <w:jc w:val="center"/>
        </w:trPr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Årsopdræt (0,7–5,2 mdr.)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20,5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5,52</w:t>
            </w: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Dybstrøelse</w:t>
            </w:r>
          </w:p>
        </w:tc>
      </w:tr>
      <w:tr w:rsidR="009B47D7" w:rsidTr="009B47D7">
        <w:trPr>
          <w:cantSplit/>
          <w:trHeight w:val="264"/>
          <w:jc w:val="center"/>
        </w:trPr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Årsopdræt (15-17 mdr.)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8,9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4,17</w:t>
            </w: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Spaltegulvbokse</w:t>
            </w:r>
          </w:p>
        </w:tc>
      </w:tr>
      <w:tr w:rsidR="009B47D7" w:rsidTr="009B47D7">
        <w:trPr>
          <w:cantSplit/>
          <w:trHeight w:val="264"/>
          <w:jc w:val="center"/>
        </w:trPr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Slagtekalv (40-230 kg)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3,18</w:t>
            </w: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Dybstrøelse</w:t>
            </w:r>
          </w:p>
        </w:tc>
      </w:tr>
      <w:tr w:rsidR="009B47D7" w:rsidTr="009B47D7">
        <w:trPr>
          <w:cantSplit/>
          <w:trHeight w:val="264"/>
          <w:jc w:val="center"/>
        </w:trPr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Slagtekalv (230-440 kg)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0,26</w:t>
            </w: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Spaltegulvbokse</w:t>
            </w:r>
          </w:p>
        </w:tc>
      </w:tr>
      <w:tr w:rsidR="009B47D7" w:rsidTr="009B47D7">
        <w:trPr>
          <w:cantSplit/>
          <w:trHeight w:val="264"/>
          <w:jc w:val="center"/>
        </w:trPr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Malkekøer (11.730 kg mælk EKM), jersey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20,5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28,55</w:t>
            </w: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Sengestald med spalter</w:t>
            </w:r>
          </w:p>
        </w:tc>
      </w:tr>
      <w:tr w:rsidR="009B47D7" w:rsidTr="009B47D7">
        <w:trPr>
          <w:cantSplit/>
          <w:trHeight w:val="264"/>
          <w:jc w:val="center"/>
        </w:trPr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Årsopdræt (1,7–5,3 mdr.), jersey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6,3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1,3</w:t>
            </w: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Dybstrøelse</w:t>
            </w:r>
          </w:p>
        </w:tc>
      </w:tr>
      <w:tr w:rsidR="009B47D7" w:rsidTr="009B47D7">
        <w:trPr>
          <w:cantSplit/>
          <w:trHeight w:val="263"/>
          <w:jc w:val="center"/>
        </w:trPr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Årsopdræt (16-18 mdr.), jersey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4,7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1,77</w:t>
            </w: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Dybstrøelse</w:t>
            </w:r>
          </w:p>
        </w:tc>
      </w:tr>
      <w:tr w:rsidR="009B47D7" w:rsidTr="009B47D7">
        <w:trPr>
          <w:cantSplit/>
          <w:trHeight w:val="263"/>
          <w:jc w:val="center"/>
        </w:trPr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/>
              </w:rPr>
              <w:t>Slagtekalv (25-149 kg), jersey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0,36</w:t>
            </w: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Dybstrøelse</w:t>
            </w:r>
          </w:p>
        </w:tc>
      </w:tr>
      <w:tr w:rsidR="009B47D7" w:rsidTr="009B47D7">
        <w:trPr>
          <w:cantSplit/>
          <w:trHeight w:val="263"/>
          <w:jc w:val="center"/>
        </w:trPr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Slagtekalv (155-164 kg)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keepNext/>
              <w:tabs>
                <w:tab w:val="left" w:pos="3130"/>
              </w:tabs>
              <w:spacing w:after="0" w:line="240" w:lineRule="auto"/>
              <w:jc w:val="center"/>
              <w:outlineLvl w:val="7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0,02</w:t>
            </w: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Dybstrøelse</w:t>
            </w:r>
          </w:p>
        </w:tc>
      </w:tr>
      <w:tr w:rsidR="009B47D7" w:rsidTr="009B47D7">
        <w:trPr>
          <w:cantSplit/>
          <w:trHeight w:val="263"/>
          <w:jc w:val="center"/>
        </w:trPr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 alt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47D7" w:rsidRDefault="009B47D7">
            <w:pPr>
              <w:keepNext/>
              <w:tabs>
                <w:tab w:val="left" w:pos="3130"/>
              </w:tabs>
              <w:spacing w:after="0" w:line="240" w:lineRule="auto"/>
              <w:jc w:val="center"/>
              <w:outlineLvl w:val="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162</w:t>
            </w:r>
          </w:p>
        </w:tc>
        <w:tc>
          <w:tcPr>
            <w:tcW w:w="2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7D7" w:rsidRDefault="009B47D7">
            <w:pPr>
              <w:tabs>
                <w:tab w:val="left" w:pos="3130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</w:tbl>
    <w:p w:rsidR="002D2E7B" w:rsidRDefault="002D2E7B" w:rsidP="002D2E7B">
      <w:pPr>
        <w:spacing w:after="0"/>
        <w:ind w:right="-2"/>
        <w:rPr>
          <w:sz w:val="18"/>
          <w:szCs w:val="18"/>
        </w:rPr>
      </w:pPr>
      <w:r>
        <w:rPr>
          <w:sz w:val="18"/>
          <w:szCs w:val="18"/>
        </w:rPr>
        <w:t>Dyreenhedsberegningen er efter omregningsfaktorer i bilag 1, afsnit H i bekendtgørelse nr. 1324 af 15. november 2016 om erhvervsmæssigt dyrehold, husdyrgødning, ensilage m.v.</w:t>
      </w:r>
    </w:p>
    <w:p w:rsidR="002D2E7B" w:rsidRDefault="002D2E7B" w:rsidP="009B47D7">
      <w:pPr>
        <w:spacing w:after="0"/>
        <w:ind w:right="-2"/>
      </w:pPr>
    </w:p>
    <w:p w:rsidR="009B47D7" w:rsidRDefault="009B47D7" w:rsidP="009B47D7">
      <w:pPr>
        <w:spacing w:after="0"/>
        <w:ind w:right="-2"/>
      </w:pPr>
      <w:r>
        <w:t xml:space="preserve">Desuden </w:t>
      </w:r>
      <w:r w:rsidR="002D2E7B">
        <w:t xml:space="preserve">var der i </w:t>
      </w:r>
      <w:proofErr w:type="spellStart"/>
      <w:r w:rsidR="002D2E7B">
        <w:t>planåret</w:t>
      </w:r>
      <w:proofErr w:type="spellEnd"/>
      <w:r w:rsidR="002D2E7B">
        <w:t xml:space="preserve"> 201</w:t>
      </w:r>
      <w:r w:rsidR="005B7D88">
        <w:t>8</w:t>
      </w:r>
      <w:r w:rsidR="002D2E7B">
        <w:t xml:space="preserve"> – 2019 </w:t>
      </w:r>
      <w:r w:rsidR="002D2E7B">
        <w:rPr>
          <w:rFonts w:eastAsia="Times New Roman" w:cs="Arial"/>
          <w:bCs/>
          <w:kern w:val="28"/>
        </w:rPr>
        <w:t xml:space="preserve">ca. 10 kvægopdræt på Fuglsø Mark 2 og i </w:t>
      </w:r>
      <w:proofErr w:type="spellStart"/>
      <w:r w:rsidR="002D2E7B">
        <w:rPr>
          <w:rFonts w:eastAsia="Times New Roman" w:cs="Arial"/>
          <w:bCs/>
          <w:kern w:val="28"/>
        </w:rPr>
        <w:t>planåret</w:t>
      </w:r>
      <w:proofErr w:type="spellEnd"/>
      <w:r w:rsidR="002D2E7B">
        <w:rPr>
          <w:rFonts w:eastAsia="Times New Roman" w:cs="Arial"/>
          <w:bCs/>
          <w:kern w:val="28"/>
        </w:rPr>
        <w:t xml:space="preserve"> </w:t>
      </w:r>
      <w:r w:rsidR="002D2E7B">
        <w:rPr>
          <w:rFonts w:eastAsia="Times New Roman" w:cs="Calibri"/>
          <w:bCs/>
          <w:kern w:val="28"/>
        </w:rPr>
        <w:t>201</w:t>
      </w:r>
      <w:r w:rsidR="005B7D88">
        <w:rPr>
          <w:rFonts w:eastAsia="Times New Roman" w:cs="Calibri"/>
          <w:bCs/>
          <w:kern w:val="28"/>
        </w:rPr>
        <w:t>7</w:t>
      </w:r>
      <w:r w:rsidR="002D2E7B">
        <w:rPr>
          <w:rFonts w:eastAsia="Times New Roman" w:cs="Calibri"/>
          <w:bCs/>
          <w:kern w:val="28"/>
        </w:rPr>
        <w:t>-201</w:t>
      </w:r>
      <w:r w:rsidR="005B7D88">
        <w:rPr>
          <w:rFonts w:eastAsia="Times New Roman" w:cs="Calibri"/>
          <w:bCs/>
          <w:kern w:val="28"/>
        </w:rPr>
        <w:t>8</w:t>
      </w:r>
      <w:r w:rsidR="002D2E7B">
        <w:rPr>
          <w:rFonts w:eastAsia="Times New Roman" w:cs="Arial"/>
          <w:bCs/>
          <w:kern w:val="28"/>
        </w:rPr>
        <w:t xml:space="preserve"> </w:t>
      </w:r>
      <w:r>
        <w:t xml:space="preserve">ca. </w:t>
      </w:r>
      <w:r w:rsidR="005B7D88">
        <w:t>27</w:t>
      </w:r>
      <w:r>
        <w:t xml:space="preserve"> årsopdræt på </w:t>
      </w:r>
      <w:r w:rsidR="002D2E7B">
        <w:t>denne adresse. Ifølge GHI ophørte husdyrholdet på Fuglsø Mark 2</w:t>
      </w:r>
      <w:r w:rsidR="002D2E7B">
        <w:rPr>
          <w:rFonts w:eastAsia="Times New Roman" w:cs="Arial"/>
          <w:bCs/>
          <w:kern w:val="28"/>
        </w:rPr>
        <w:t xml:space="preserve"> den 13. september 2019.</w:t>
      </w:r>
    </w:p>
    <w:p w:rsidR="009B47D7" w:rsidRDefault="009B47D7" w:rsidP="009B47D7">
      <w:pPr>
        <w:spacing w:after="0"/>
        <w:ind w:right="-2"/>
        <w:rPr>
          <w:rFonts w:eastAsia="Times New Roman" w:cs="Arial"/>
          <w:bCs/>
          <w:kern w:val="28"/>
        </w:rPr>
      </w:pPr>
    </w:p>
    <w:p w:rsidR="002D2E7B" w:rsidRDefault="002D2E7B" w:rsidP="009B47D7">
      <w:pPr>
        <w:spacing w:after="0"/>
        <w:ind w:right="-2"/>
        <w:rPr>
          <w:rFonts w:eastAsia="Times New Roman" w:cs="Arial"/>
          <w:bCs/>
          <w:kern w:val="28"/>
        </w:rPr>
      </w:pPr>
      <w:r>
        <w:rPr>
          <w:rFonts w:eastAsia="Times New Roman" w:cs="Arial"/>
          <w:bCs/>
          <w:kern w:val="28"/>
        </w:rPr>
        <w:t>Det er telefonisk oplyst, at der ikke længere er husdyr på Fuglsø Mark 2.</w:t>
      </w:r>
    </w:p>
    <w:p w:rsidR="002D2E7B" w:rsidRDefault="002D2E7B" w:rsidP="009B47D7">
      <w:pPr>
        <w:spacing w:after="0"/>
        <w:ind w:right="-2"/>
        <w:rPr>
          <w:rFonts w:eastAsia="Times New Roman" w:cs="Arial"/>
          <w:bCs/>
          <w:kern w:val="28"/>
        </w:rPr>
      </w:pPr>
    </w:p>
    <w:p w:rsidR="009B47D7" w:rsidRDefault="002D2E7B" w:rsidP="009B47D7">
      <w:pPr>
        <w:spacing w:after="0"/>
        <w:rPr>
          <w:rFonts w:eastAsia="Times New Roman" w:cs="Calibri"/>
          <w:bCs/>
          <w:kern w:val="28"/>
        </w:rPr>
      </w:pPr>
      <w:r>
        <w:rPr>
          <w:rFonts w:eastAsia="Times New Roman" w:cs="Calibri"/>
          <w:bCs/>
          <w:kern w:val="28"/>
        </w:rPr>
        <w:t xml:space="preserve">Ifølge </w:t>
      </w:r>
      <w:r w:rsidR="009B47D7">
        <w:rPr>
          <w:rFonts w:eastAsia="Times New Roman" w:cs="Calibri"/>
          <w:bCs/>
          <w:kern w:val="28"/>
        </w:rPr>
        <w:t>CHR</w:t>
      </w:r>
      <w:r>
        <w:rPr>
          <w:rFonts w:eastAsia="Times New Roman" w:cs="Calibri"/>
          <w:bCs/>
          <w:kern w:val="28"/>
        </w:rPr>
        <w:t xml:space="preserve"> er der følgende </w:t>
      </w:r>
      <w:r w:rsidR="009B47D7">
        <w:rPr>
          <w:rFonts w:eastAsia="Times New Roman" w:cs="Calibri"/>
          <w:bCs/>
          <w:kern w:val="28"/>
        </w:rPr>
        <w:t>kødkvægsbesætninger</w:t>
      </w:r>
      <w:r>
        <w:rPr>
          <w:rFonts w:eastAsia="Times New Roman" w:cs="Calibri"/>
          <w:bCs/>
          <w:kern w:val="28"/>
        </w:rPr>
        <w:t xml:space="preserve"> på </w:t>
      </w:r>
      <w:proofErr w:type="spellStart"/>
      <w:r>
        <w:rPr>
          <w:rFonts w:eastAsia="Times New Roman" w:cs="Calibri"/>
          <w:bCs/>
          <w:kern w:val="28"/>
        </w:rPr>
        <w:t>Klattrupgade</w:t>
      </w:r>
      <w:proofErr w:type="spellEnd"/>
      <w:r>
        <w:rPr>
          <w:rFonts w:eastAsia="Times New Roman" w:cs="Calibri"/>
          <w:bCs/>
          <w:kern w:val="28"/>
        </w:rPr>
        <w:t xml:space="preserve"> 36</w:t>
      </w:r>
      <w:r w:rsidR="009B47D7">
        <w:rPr>
          <w:rFonts w:eastAsia="Times New Roman" w:cs="Calibri"/>
          <w:bCs/>
          <w:kern w:val="28"/>
        </w:rPr>
        <w:t>:</w:t>
      </w:r>
    </w:p>
    <w:p w:rsidR="009B47D7" w:rsidRDefault="009B47D7" w:rsidP="009B47D7">
      <w:pPr>
        <w:spacing w:after="0"/>
        <w:rPr>
          <w:rFonts w:eastAsia="Times New Roman" w:cs="Calibri"/>
          <w:bCs/>
          <w:kern w:val="28"/>
        </w:rPr>
      </w:pPr>
      <w:r>
        <w:rPr>
          <w:rFonts w:eastAsia="Times New Roman" w:cs="Calibri"/>
          <w:bCs/>
          <w:kern w:val="28"/>
        </w:rPr>
        <w:t>19 kvier (HCM Agro ApS)</w:t>
      </w:r>
    </w:p>
    <w:p w:rsidR="009B47D7" w:rsidRDefault="009B47D7" w:rsidP="009B47D7">
      <w:pPr>
        <w:spacing w:after="0"/>
        <w:rPr>
          <w:rFonts w:eastAsia="Times New Roman" w:cs="Calibri"/>
          <w:bCs/>
          <w:kern w:val="28"/>
        </w:rPr>
      </w:pPr>
      <w:r>
        <w:rPr>
          <w:rFonts w:eastAsia="Times New Roman" w:cs="Calibri"/>
          <w:bCs/>
          <w:kern w:val="28"/>
        </w:rPr>
        <w:t>21 køer, 58 kvier og 11 handyr</w:t>
      </w:r>
      <w:r w:rsidR="00861F5F">
        <w:rPr>
          <w:rFonts w:eastAsia="Times New Roman" w:cs="Calibri"/>
          <w:bCs/>
          <w:kern w:val="28"/>
        </w:rPr>
        <w:t xml:space="preserve"> (</w:t>
      </w:r>
      <w:proofErr w:type="spellStart"/>
      <w:r w:rsidR="00861F5F">
        <w:rPr>
          <w:rFonts w:eastAsia="Times New Roman" w:cs="Calibri"/>
          <w:bCs/>
          <w:kern w:val="28"/>
        </w:rPr>
        <w:t>Hofjæger.Godsejer</w:t>
      </w:r>
      <w:proofErr w:type="spellEnd"/>
      <w:r w:rsidR="00861F5F">
        <w:rPr>
          <w:rFonts w:eastAsia="Times New Roman" w:cs="Calibri"/>
          <w:bCs/>
          <w:kern w:val="28"/>
        </w:rPr>
        <w:t xml:space="preserve"> Chr. F. la Cour)</w:t>
      </w:r>
    </w:p>
    <w:p w:rsidR="009B47D7" w:rsidRDefault="009B47D7" w:rsidP="009B47D7">
      <w:pPr>
        <w:spacing w:after="0"/>
        <w:rPr>
          <w:rFonts w:eastAsia="Times New Roman" w:cs="Calibri"/>
          <w:bCs/>
          <w:kern w:val="28"/>
        </w:rPr>
      </w:pPr>
    </w:p>
    <w:p w:rsidR="008806C6" w:rsidRDefault="00861F5F" w:rsidP="009B47D7">
      <w:pPr>
        <w:spacing w:after="0"/>
        <w:rPr>
          <w:rFonts w:eastAsia="Times New Roman" w:cs="Calibri"/>
          <w:bCs/>
          <w:kern w:val="28"/>
        </w:rPr>
      </w:pPr>
      <w:r>
        <w:rPr>
          <w:rFonts w:eastAsia="Times New Roman" w:cs="Calibri"/>
          <w:bCs/>
          <w:kern w:val="28"/>
        </w:rPr>
        <w:t>Der er ikke ændret på staldsystemerne</w:t>
      </w:r>
      <w:r w:rsidR="008806C6">
        <w:rPr>
          <w:rFonts w:eastAsia="Times New Roman" w:cs="Calibri"/>
          <w:bCs/>
          <w:kern w:val="28"/>
        </w:rPr>
        <w:t>: sengestald med spalter, spaltegulvbokse og dybstrøelse.</w:t>
      </w:r>
    </w:p>
    <w:p w:rsidR="008806C6" w:rsidRDefault="008806C6" w:rsidP="009B47D7">
      <w:pPr>
        <w:spacing w:after="0"/>
        <w:rPr>
          <w:rFonts w:eastAsia="Times New Roman" w:cs="Calibri"/>
          <w:bCs/>
          <w:kern w:val="28"/>
        </w:rPr>
      </w:pPr>
    </w:p>
    <w:p w:rsidR="008806C6" w:rsidRDefault="008806C6" w:rsidP="008806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Ændring af produktionen fra en malkekvægsbesætning til en </w:t>
      </w:r>
      <w:proofErr w:type="spellStart"/>
      <w:r>
        <w:rPr>
          <w:sz w:val="22"/>
          <w:szCs w:val="22"/>
        </w:rPr>
        <w:t>ammekvægsbesætning</w:t>
      </w:r>
      <w:proofErr w:type="spellEnd"/>
      <w:r>
        <w:rPr>
          <w:sz w:val="22"/>
          <w:szCs w:val="22"/>
        </w:rPr>
        <w:t xml:space="preserve"> er ikke anmeldt eller ansøgt om tilladelse hos kommunen. Jf. Husdyrgodkendelsesbekendtgørelsens § 15 og Husdyrlovens § 16b. </w:t>
      </w:r>
    </w:p>
    <w:p w:rsidR="00CA6A67" w:rsidRDefault="00CA6A67" w:rsidP="008806C6">
      <w:pPr>
        <w:pStyle w:val="Default"/>
        <w:rPr>
          <w:i/>
          <w:iCs/>
          <w:sz w:val="22"/>
          <w:szCs w:val="22"/>
        </w:rPr>
      </w:pPr>
    </w:p>
    <w:p w:rsidR="008806C6" w:rsidRDefault="008806C6" w:rsidP="008806C6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Det indskærpes, at ændring af dyreholdet lovliggøres. </w:t>
      </w:r>
    </w:p>
    <w:p w:rsidR="00CA6A67" w:rsidRDefault="00CA6A67" w:rsidP="008806C6">
      <w:pPr>
        <w:pStyle w:val="Default"/>
        <w:rPr>
          <w:i/>
          <w:iCs/>
          <w:sz w:val="22"/>
          <w:szCs w:val="22"/>
        </w:rPr>
      </w:pPr>
    </w:p>
    <w:p w:rsidR="008806C6" w:rsidRDefault="008806C6" w:rsidP="008806C6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Der kan ansøges om lovliggørelse af dyreholdet ved at indsende ansøg</w:t>
      </w:r>
      <w:r w:rsidR="00CA6A67">
        <w:rPr>
          <w:i/>
          <w:iCs/>
          <w:sz w:val="22"/>
          <w:szCs w:val="22"/>
        </w:rPr>
        <w:t>ning om tilla</w:t>
      </w:r>
      <w:r>
        <w:rPr>
          <w:i/>
          <w:iCs/>
          <w:sz w:val="22"/>
          <w:szCs w:val="22"/>
        </w:rPr>
        <w:t xml:space="preserve">delse efter Husdyrbrugloven eller anmeldelse om skift i dyretype efter Godkendelses-bekendtgørelsen. </w:t>
      </w:r>
    </w:p>
    <w:p w:rsidR="00CA6A67" w:rsidRDefault="00CA6A67" w:rsidP="008806C6">
      <w:pPr>
        <w:spacing w:after="0"/>
        <w:rPr>
          <w:i/>
          <w:iCs/>
        </w:rPr>
      </w:pPr>
    </w:p>
    <w:p w:rsidR="009B47D7" w:rsidRDefault="008806C6" w:rsidP="008806C6">
      <w:pPr>
        <w:spacing w:after="0"/>
        <w:rPr>
          <w:rFonts w:eastAsia="Times New Roman" w:cs="Calibri"/>
          <w:bCs/>
          <w:kern w:val="28"/>
        </w:rPr>
      </w:pPr>
      <w:r>
        <w:rPr>
          <w:i/>
          <w:iCs/>
        </w:rPr>
        <w:t>Ansøgning / anmeldelse om lovliggørelse sk</w:t>
      </w:r>
      <w:r w:rsidR="00731D91">
        <w:rPr>
          <w:i/>
          <w:iCs/>
        </w:rPr>
        <w:t xml:space="preserve">al være fremsendt senest den 1. </w:t>
      </w:r>
      <w:r>
        <w:rPr>
          <w:i/>
          <w:iCs/>
        </w:rPr>
        <w:t xml:space="preserve">februar </w:t>
      </w:r>
      <w:r w:rsidR="00CA6A67">
        <w:rPr>
          <w:rFonts w:eastAsia="Times New Roman" w:cs="Calibri"/>
          <w:bCs/>
          <w:kern w:val="28"/>
        </w:rPr>
        <w:t>2021.</w:t>
      </w:r>
    </w:p>
    <w:p w:rsidR="009B47D7" w:rsidRDefault="009B47D7" w:rsidP="009B47D7">
      <w:pPr>
        <w:spacing w:after="0"/>
        <w:rPr>
          <w:rFonts w:eastAsia="Times New Roman" w:cs="Calibri"/>
          <w:bCs/>
          <w:kern w:val="28"/>
        </w:rPr>
      </w:pPr>
    </w:p>
    <w:p w:rsidR="009B47D7" w:rsidRDefault="009B47D7" w:rsidP="009B47D7">
      <w:pPr>
        <w:spacing w:after="0"/>
        <w:rPr>
          <w:rFonts w:eastAsia="Times New Roman" w:cs="Calibri"/>
          <w:bCs/>
          <w:kern w:val="28"/>
          <w:u w:val="single"/>
        </w:rPr>
      </w:pPr>
      <w:r>
        <w:rPr>
          <w:rFonts w:eastAsia="Times New Roman" w:cs="Calibri"/>
          <w:bCs/>
          <w:kern w:val="28"/>
          <w:u w:val="single"/>
        </w:rPr>
        <w:t>Gødning</w:t>
      </w:r>
    </w:p>
    <w:p w:rsidR="00C33C4F" w:rsidRDefault="00C33C4F" w:rsidP="009B47D7">
      <w:pPr>
        <w:rPr>
          <w:rFonts w:cs="Arial"/>
          <w:bCs/>
          <w:kern w:val="28"/>
        </w:rPr>
      </w:pPr>
      <w:r>
        <w:rPr>
          <w:rFonts w:cs="Arial"/>
          <w:bCs/>
          <w:kern w:val="28"/>
        </w:rPr>
        <w:t>Der er 2 beholdere til opbevaring af flydende husdyrgødning på ejendommen:</w:t>
      </w:r>
    </w:p>
    <w:p w:rsidR="00C33C4F" w:rsidRPr="00C33C4F" w:rsidRDefault="00C33C4F" w:rsidP="00C33C4F">
      <w:pPr>
        <w:pStyle w:val="Listeafsnit"/>
        <w:numPr>
          <w:ilvl w:val="0"/>
          <w:numId w:val="6"/>
        </w:numPr>
        <w:rPr>
          <w:rFonts w:eastAsiaTheme="minorHAnsi" w:cs="Arial"/>
          <w:bCs/>
          <w:kern w:val="28"/>
        </w:rPr>
      </w:pPr>
      <w:r>
        <w:rPr>
          <w:rFonts w:cs="Arial"/>
          <w:bCs/>
          <w:kern w:val="28"/>
        </w:rPr>
        <w:t xml:space="preserve">Gyllelagune på 750 m³ fra 1980. Lagunen er omfattet af 10-års </w:t>
      </w:r>
      <w:proofErr w:type="spellStart"/>
      <w:r>
        <w:rPr>
          <w:rFonts w:cs="Arial"/>
          <w:bCs/>
          <w:kern w:val="28"/>
        </w:rPr>
        <w:t>beholderkontrol</w:t>
      </w:r>
      <w:proofErr w:type="spellEnd"/>
      <w:r>
        <w:rPr>
          <w:rFonts w:cs="Arial"/>
          <w:bCs/>
          <w:kern w:val="28"/>
        </w:rPr>
        <w:t>. Seneste kontrol er foretaget den 22. november 2018.</w:t>
      </w:r>
    </w:p>
    <w:p w:rsidR="00C33C4F" w:rsidRDefault="00C33C4F" w:rsidP="00C33C4F">
      <w:pPr>
        <w:pStyle w:val="Listeafsnit"/>
        <w:rPr>
          <w:rFonts w:cs="Arial"/>
          <w:bCs/>
          <w:kern w:val="28"/>
        </w:rPr>
      </w:pPr>
    </w:p>
    <w:p w:rsidR="00C33C4F" w:rsidRDefault="00C33C4F" w:rsidP="00C33C4F">
      <w:pPr>
        <w:pStyle w:val="Listeafsnit"/>
        <w:rPr>
          <w:rFonts w:cs="Arial"/>
          <w:bCs/>
          <w:kern w:val="28"/>
        </w:rPr>
      </w:pPr>
      <w:r>
        <w:rPr>
          <w:rFonts w:cs="Arial"/>
          <w:bCs/>
          <w:kern w:val="28"/>
        </w:rPr>
        <w:lastRenderedPageBreak/>
        <w:t xml:space="preserve">Ved den autoriserede kontrollants eftersyn </w:t>
      </w:r>
      <w:r w:rsidR="00BB3B69">
        <w:rPr>
          <w:rFonts w:cs="Arial"/>
          <w:bCs/>
          <w:kern w:val="28"/>
        </w:rPr>
        <w:t>er der konstateret 3 revner med skadesgrad 2.</w:t>
      </w:r>
    </w:p>
    <w:p w:rsidR="00BB3B69" w:rsidRDefault="00BB3B69" w:rsidP="00C33C4F">
      <w:pPr>
        <w:pStyle w:val="Listeafsnit"/>
        <w:rPr>
          <w:rFonts w:cs="Arial"/>
          <w:bCs/>
          <w:kern w:val="28"/>
        </w:rPr>
      </w:pPr>
    </w:p>
    <w:p w:rsidR="00BB3B69" w:rsidRDefault="00BB3B69" w:rsidP="00C33C4F">
      <w:pPr>
        <w:pStyle w:val="Listeafsnit"/>
        <w:rPr>
          <w:rFonts w:cs="Arial"/>
          <w:bCs/>
          <w:kern w:val="28"/>
        </w:rPr>
      </w:pPr>
      <w:r>
        <w:rPr>
          <w:rFonts w:cs="Arial"/>
          <w:bCs/>
          <w:kern w:val="28"/>
        </w:rPr>
        <w:t>Det blev efterfølgende indskærpet til forrige ejer om at bringe beholderen i forsvarlig stand.</w:t>
      </w:r>
    </w:p>
    <w:p w:rsidR="00BB3B69" w:rsidRDefault="00BB3B69" w:rsidP="00C33C4F">
      <w:pPr>
        <w:pStyle w:val="Listeafsnit"/>
        <w:rPr>
          <w:rFonts w:cs="Arial"/>
          <w:bCs/>
          <w:kern w:val="28"/>
        </w:rPr>
      </w:pPr>
    </w:p>
    <w:p w:rsidR="00BB3B69" w:rsidRPr="00C33C4F" w:rsidRDefault="00BB3B69" w:rsidP="00C33C4F">
      <w:pPr>
        <w:pStyle w:val="Listeafsnit"/>
        <w:rPr>
          <w:rFonts w:eastAsiaTheme="minorHAnsi" w:cs="Arial"/>
          <w:bCs/>
          <w:kern w:val="28"/>
        </w:rPr>
      </w:pPr>
      <w:r>
        <w:rPr>
          <w:rFonts w:cs="Arial"/>
          <w:bCs/>
          <w:kern w:val="28"/>
        </w:rPr>
        <w:t>Det ses ikke</w:t>
      </w:r>
      <w:r w:rsidR="00CB2625">
        <w:rPr>
          <w:rFonts w:cs="Arial"/>
          <w:bCs/>
          <w:kern w:val="28"/>
        </w:rPr>
        <w:t>,</w:t>
      </w:r>
      <w:r>
        <w:rPr>
          <w:rFonts w:cs="Arial"/>
          <w:bCs/>
          <w:kern w:val="28"/>
        </w:rPr>
        <w:t xml:space="preserve"> at der er foretaget reparation af lagunen. Der er bevoksning / græs i revnerne.</w:t>
      </w:r>
    </w:p>
    <w:p w:rsidR="00C33C4F" w:rsidRDefault="00C33C4F" w:rsidP="00C33C4F">
      <w:pPr>
        <w:pStyle w:val="Listeafsnit"/>
        <w:rPr>
          <w:rFonts w:eastAsiaTheme="minorHAnsi" w:cs="Arial"/>
          <w:bCs/>
          <w:kern w:val="28"/>
        </w:rPr>
      </w:pPr>
    </w:p>
    <w:p w:rsidR="00C33C4F" w:rsidRDefault="00BB3B69" w:rsidP="00C33C4F">
      <w:pPr>
        <w:pStyle w:val="Listeafsnit"/>
        <w:rPr>
          <w:rFonts w:eastAsiaTheme="minorHAnsi" w:cs="Arial"/>
          <w:bCs/>
          <w:i/>
          <w:kern w:val="28"/>
        </w:rPr>
      </w:pPr>
      <w:r>
        <w:rPr>
          <w:rFonts w:eastAsiaTheme="minorHAnsi" w:cs="Arial"/>
          <w:bCs/>
          <w:i/>
          <w:kern w:val="28"/>
        </w:rPr>
        <w:t>Det indskærpes, at lagunen bringes i forsvarlig stand fx ved at reparere 3 revner fra bundpladen og op til overkanten.</w:t>
      </w:r>
    </w:p>
    <w:p w:rsidR="00BB3B69" w:rsidRDefault="00BB3B69" w:rsidP="00C33C4F">
      <w:pPr>
        <w:pStyle w:val="Listeafsnit"/>
        <w:rPr>
          <w:rFonts w:eastAsiaTheme="minorHAnsi" w:cs="Arial"/>
          <w:bCs/>
          <w:i/>
          <w:kern w:val="28"/>
        </w:rPr>
      </w:pPr>
    </w:p>
    <w:p w:rsidR="00BB3B69" w:rsidRPr="00BB3B69" w:rsidRDefault="00BB3B69" w:rsidP="00C33C4F">
      <w:pPr>
        <w:pStyle w:val="Listeafsnit"/>
        <w:rPr>
          <w:rFonts w:eastAsiaTheme="minorHAnsi" w:cs="Arial"/>
          <w:bCs/>
          <w:i/>
          <w:kern w:val="28"/>
        </w:rPr>
      </w:pPr>
      <w:r>
        <w:rPr>
          <w:rFonts w:eastAsiaTheme="minorHAnsi" w:cs="Arial"/>
          <w:bCs/>
          <w:i/>
          <w:kern w:val="28"/>
        </w:rPr>
        <w:t xml:space="preserve">Arbejdet skal udføres snarest muligt og senest den 1. </w:t>
      </w:r>
      <w:r w:rsidR="00BE4C02">
        <w:rPr>
          <w:rFonts w:eastAsiaTheme="minorHAnsi" w:cs="Arial"/>
          <w:bCs/>
          <w:i/>
          <w:kern w:val="28"/>
        </w:rPr>
        <w:t>maj</w:t>
      </w:r>
      <w:r>
        <w:rPr>
          <w:rFonts w:eastAsiaTheme="minorHAnsi" w:cs="Arial"/>
          <w:bCs/>
          <w:i/>
          <w:kern w:val="28"/>
        </w:rPr>
        <w:t xml:space="preserve"> 2021. </w:t>
      </w:r>
      <w:r w:rsidRPr="00BB3B69">
        <w:rPr>
          <w:rFonts w:eastAsiaTheme="minorHAnsi" w:cs="Arial"/>
          <w:bCs/>
          <w:i/>
          <w:kern w:val="28"/>
        </w:rPr>
        <w:t>Randers Kommune</w:t>
      </w:r>
      <w:r>
        <w:rPr>
          <w:rFonts w:eastAsiaTheme="minorHAnsi" w:cs="Arial"/>
          <w:bCs/>
          <w:i/>
          <w:kern w:val="28"/>
        </w:rPr>
        <w:t xml:space="preserve"> skal underrettes, når arbejdet er udført.</w:t>
      </w:r>
    </w:p>
    <w:p w:rsidR="00C33C4F" w:rsidRPr="00C33C4F" w:rsidRDefault="00C33C4F" w:rsidP="002E7F78">
      <w:pPr>
        <w:pStyle w:val="Listeafsnit"/>
        <w:rPr>
          <w:rFonts w:eastAsiaTheme="minorHAnsi" w:cs="Arial"/>
          <w:bCs/>
          <w:kern w:val="28"/>
        </w:rPr>
      </w:pPr>
    </w:p>
    <w:p w:rsidR="002E7F78" w:rsidRPr="002E7F78" w:rsidRDefault="002E7F78" w:rsidP="00C33C4F">
      <w:pPr>
        <w:pStyle w:val="Listeafsnit"/>
        <w:numPr>
          <w:ilvl w:val="0"/>
          <w:numId w:val="6"/>
        </w:numPr>
        <w:rPr>
          <w:rFonts w:eastAsiaTheme="minorHAnsi" w:cs="Arial"/>
          <w:bCs/>
          <w:kern w:val="28"/>
        </w:rPr>
      </w:pPr>
      <w:r>
        <w:rPr>
          <w:rFonts w:cs="Arial"/>
          <w:bCs/>
          <w:kern w:val="28"/>
        </w:rPr>
        <w:t xml:space="preserve">Gyllebeholder på 730 m³ fra 2007. Beholderen er omfattet af 10-års </w:t>
      </w:r>
      <w:proofErr w:type="spellStart"/>
      <w:r>
        <w:rPr>
          <w:rFonts w:cs="Arial"/>
          <w:bCs/>
          <w:kern w:val="28"/>
        </w:rPr>
        <w:t>beholderkontrol</w:t>
      </w:r>
      <w:proofErr w:type="spellEnd"/>
      <w:r>
        <w:rPr>
          <w:rFonts w:cs="Arial"/>
          <w:bCs/>
          <w:kern w:val="28"/>
        </w:rPr>
        <w:t xml:space="preserve">. </w:t>
      </w:r>
      <w:r w:rsidR="00901490">
        <w:rPr>
          <w:rFonts w:cs="Arial"/>
          <w:bCs/>
          <w:kern w:val="28"/>
        </w:rPr>
        <w:t>Seneste kontrol er foretaget den 14. december 2017</w:t>
      </w:r>
      <w:r>
        <w:rPr>
          <w:rFonts w:cs="Arial"/>
          <w:bCs/>
          <w:kern w:val="28"/>
        </w:rPr>
        <w:t>.</w:t>
      </w:r>
    </w:p>
    <w:p w:rsidR="002E7F78" w:rsidRDefault="002E7F78" w:rsidP="002E7F78">
      <w:pPr>
        <w:pStyle w:val="Listeafsnit"/>
        <w:rPr>
          <w:rFonts w:eastAsiaTheme="minorHAnsi" w:cs="Arial"/>
          <w:bCs/>
          <w:kern w:val="28"/>
        </w:rPr>
      </w:pPr>
    </w:p>
    <w:p w:rsidR="002E7F78" w:rsidRDefault="002E7F78" w:rsidP="002E7F78">
      <w:pPr>
        <w:pStyle w:val="Listeafsnit"/>
        <w:rPr>
          <w:rFonts w:eastAsiaTheme="minorHAnsi" w:cs="Arial"/>
          <w:bCs/>
          <w:kern w:val="28"/>
        </w:rPr>
      </w:pPr>
      <w:r>
        <w:rPr>
          <w:rFonts w:eastAsiaTheme="minorHAnsi" w:cs="Arial"/>
          <w:bCs/>
          <w:kern w:val="28"/>
        </w:rPr>
        <w:t xml:space="preserve">Ved </w:t>
      </w:r>
      <w:r w:rsidR="00FD4F2D">
        <w:rPr>
          <w:rFonts w:eastAsiaTheme="minorHAnsi" w:cs="Arial"/>
          <w:bCs/>
          <w:kern w:val="28"/>
        </w:rPr>
        <w:t>miljø</w:t>
      </w:r>
      <w:r>
        <w:rPr>
          <w:rFonts w:eastAsiaTheme="minorHAnsi" w:cs="Arial"/>
          <w:bCs/>
          <w:kern w:val="28"/>
        </w:rPr>
        <w:t>tilsynet</w:t>
      </w:r>
      <w:r w:rsidR="00FD4F2D">
        <w:rPr>
          <w:rFonts w:eastAsiaTheme="minorHAnsi" w:cs="Arial"/>
          <w:bCs/>
          <w:kern w:val="28"/>
        </w:rPr>
        <w:t xml:space="preserve"> i</w:t>
      </w:r>
      <w:r>
        <w:rPr>
          <w:rFonts w:eastAsiaTheme="minorHAnsi" w:cs="Arial"/>
          <w:bCs/>
          <w:kern w:val="28"/>
        </w:rPr>
        <w:t xml:space="preserve"> 2017 blev det registreret at indløbet til beholderen va</w:t>
      </w:r>
      <w:r w:rsidRPr="002E7F78">
        <w:rPr>
          <w:iCs/>
        </w:rPr>
        <w:t>r placeret tæt på overkanten af gyllebeholderen</w:t>
      </w:r>
      <w:r>
        <w:rPr>
          <w:rFonts w:eastAsiaTheme="minorHAnsi" w:cs="Arial"/>
          <w:bCs/>
          <w:kern w:val="28"/>
        </w:rPr>
        <w:t>, og det blev i</w:t>
      </w:r>
      <w:r w:rsidRPr="002E7F78">
        <w:rPr>
          <w:rFonts w:eastAsiaTheme="minorHAnsi" w:cs="Arial"/>
          <w:bCs/>
          <w:kern w:val="28"/>
        </w:rPr>
        <w:t>ndskærpet at indløb til beholderen skulle være neddykket.</w:t>
      </w:r>
    </w:p>
    <w:p w:rsidR="002E7F78" w:rsidRDefault="002E7F78" w:rsidP="002E7F78">
      <w:pPr>
        <w:pStyle w:val="Listeafsnit"/>
        <w:rPr>
          <w:rFonts w:eastAsiaTheme="minorHAnsi" w:cs="Arial"/>
          <w:bCs/>
          <w:kern w:val="28"/>
        </w:rPr>
      </w:pPr>
    </w:p>
    <w:p w:rsidR="002E7F78" w:rsidRDefault="002E7F78" w:rsidP="002E7F78">
      <w:pPr>
        <w:pStyle w:val="Listeafsnit"/>
        <w:rPr>
          <w:rFonts w:eastAsiaTheme="minorHAnsi" w:cs="Arial"/>
          <w:bCs/>
          <w:kern w:val="28"/>
        </w:rPr>
      </w:pPr>
      <w:r>
        <w:rPr>
          <w:rFonts w:eastAsiaTheme="minorHAnsi" w:cs="Arial"/>
          <w:bCs/>
          <w:kern w:val="28"/>
        </w:rPr>
        <w:t xml:space="preserve">Ved tilsynet er det konstateret, at indløbet er </w:t>
      </w:r>
      <w:r w:rsidR="00E45828">
        <w:rPr>
          <w:rFonts w:eastAsiaTheme="minorHAnsi" w:cs="Arial"/>
          <w:bCs/>
          <w:kern w:val="28"/>
        </w:rPr>
        <w:t>neddykket. Indskærpelse anses derfor for efterkommet.</w:t>
      </w:r>
    </w:p>
    <w:p w:rsidR="004D5387" w:rsidRDefault="004D5387" w:rsidP="002E7F78">
      <w:pPr>
        <w:pStyle w:val="Listeafsnit"/>
        <w:rPr>
          <w:rFonts w:eastAsiaTheme="minorHAnsi" w:cs="Arial"/>
          <w:bCs/>
          <w:kern w:val="28"/>
        </w:rPr>
      </w:pPr>
    </w:p>
    <w:p w:rsidR="004D5387" w:rsidRPr="002E7F78" w:rsidRDefault="004D5387" w:rsidP="002E7F78">
      <w:pPr>
        <w:pStyle w:val="Listeafsnit"/>
        <w:rPr>
          <w:rFonts w:eastAsiaTheme="minorHAnsi" w:cs="Arial"/>
          <w:bCs/>
          <w:kern w:val="28"/>
        </w:rPr>
      </w:pPr>
      <w:r>
        <w:rPr>
          <w:rFonts w:eastAsiaTheme="minorHAnsi" w:cs="Arial"/>
          <w:bCs/>
          <w:kern w:val="28"/>
        </w:rPr>
        <w:t>Flydelaget i gyllebeholderen var fuldt dækkende.</w:t>
      </w:r>
    </w:p>
    <w:p w:rsidR="009B47D7" w:rsidRDefault="009B47D7" w:rsidP="009B47D7">
      <w:pPr>
        <w:spacing w:after="0"/>
        <w:rPr>
          <w:u w:val="single"/>
        </w:rPr>
      </w:pPr>
      <w:r>
        <w:rPr>
          <w:u w:val="single"/>
        </w:rPr>
        <w:t xml:space="preserve">Dieseltank </w:t>
      </w:r>
    </w:p>
    <w:p w:rsidR="00FD4F2D" w:rsidRDefault="00FD4F2D" w:rsidP="009B47D7">
      <w:pPr>
        <w:spacing w:after="0"/>
      </w:pPr>
      <w:r>
        <w:t>Ved miljøtilsynet i 2017 blev der i</w:t>
      </w:r>
      <w:r w:rsidR="009B47D7">
        <w:t xml:space="preserve"> maskinhuset </w:t>
      </w:r>
      <w:r>
        <w:t>registreret en</w:t>
      </w:r>
      <w:r w:rsidR="009B47D7">
        <w:t xml:space="preserve"> dieseltank på 2.500 l fra 1986. </w:t>
      </w:r>
      <w:r>
        <w:t>Det blev indskærpet</w:t>
      </w:r>
      <w:r w:rsidR="00AD6E34">
        <w:t>,</w:t>
      </w:r>
      <w:r>
        <w:t xml:space="preserve"> at tanken sløjfes.</w:t>
      </w:r>
      <w:r w:rsidR="002C7B7B">
        <w:t xml:space="preserve"> Det er konstateret, at tanken er fjernet fra maskinhuset.</w:t>
      </w:r>
    </w:p>
    <w:p w:rsidR="00FD4F2D" w:rsidRDefault="00FD4F2D" w:rsidP="009B47D7">
      <w:pPr>
        <w:spacing w:after="0"/>
      </w:pPr>
    </w:p>
    <w:p w:rsidR="00FD4F2D" w:rsidRDefault="00FD4F2D" w:rsidP="004D5387">
      <w:pPr>
        <w:spacing w:after="0"/>
        <w:rPr>
          <w:rFonts w:ascii="Calibri" w:hAnsi="Calibri" w:cs="Calibri"/>
          <w:color w:val="000000"/>
        </w:rPr>
      </w:pPr>
      <w:r>
        <w:t xml:space="preserve">I stedet er der etableret en tank på 2.500 l fra 2010. Tanken er ikke anmeldt til kommunen. </w:t>
      </w:r>
      <w:r>
        <w:rPr>
          <w:rFonts w:ascii="Calibri" w:hAnsi="Calibri" w:cs="Calibri"/>
          <w:color w:val="000000"/>
        </w:rPr>
        <w:t>I henhold til olietankbekendtgørelsens § 31 skal etablering af en tank anmeldes til kommunen.</w:t>
      </w:r>
    </w:p>
    <w:p w:rsidR="00FD4F2D" w:rsidRDefault="00FD4F2D" w:rsidP="00FD4F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D4F2D" w:rsidRDefault="00FD4F2D" w:rsidP="00FD4F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For registrering af olietanken skal der fremsendes en etableringserklæring og en skitse. Etableringserklæring skal </w:t>
      </w:r>
      <w:r w:rsidR="00AD6E34">
        <w:rPr>
          <w:rFonts w:ascii="Calibri" w:hAnsi="Calibri" w:cs="Calibri"/>
          <w:color w:val="000000"/>
        </w:rPr>
        <w:t xml:space="preserve">fremsendes </w:t>
      </w:r>
      <w:r>
        <w:rPr>
          <w:rFonts w:ascii="Calibri" w:hAnsi="Calibri" w:cs="Calibri"/>
          <w:color w:val="000000"/>
        </w:rPr>
        <w:t>til kommunen, sammen med en skitse, der viser tankens placering på ejendommen. Endvidere skal tankattest fremsendes. Hvis tankattest ikke findes, kan der i stedet fremsendes foto af mærkeskiltet på tanken.</w:t>
      </w:r>
    </w:p>
    <w:p w:rsidR="00FD4F2D" w:rsidRDefault="00FD4F2D" w:rsidP="00FD4F2D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</w:p>
    <w:p w:rsidR="00FD4F2D" w:rsidRDefault="00FD4F2D" w:rsidP="00FD4F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  <w:r w:rsidRPr="00FD4F2D">
        <w:rPr>
          <w:rFonts w:cstheme="minorHAnsi"/>
          <w:i/>
          <w:iCs/>
          <w:color w:val="000000"/>
        </w:rPr>
        <w:t xml:space="preserve">De manglende dokumenter skal være kommunen i hænde senest den 1. </w:t>
      </w:r>
      <w:r w:rsidR="004D5387">
        <w:rPr>
          <w:rFonts w:cstheme="minorHAnsi"/>
          <w:i/>
          <w:iCs/>
          <w:color w:val="000000"/>
        </w:rPr>
        <w:t>februar 2021</w:t>
      </w:r>
      <w:r w:rsidRPr="00FD4F2D">
        <w:rPr>
          <w:rFonts w:cstheme="minorHAnsi"/>
          <w:i/>
          <w:iCs/>
          <w:color w:val="000000"/>
        </w:rPr>
        <w:t>.</w:t>
      </w:r>
    </w:p>
    <w:p w:rsidR="004D5387" w:rsidRPr="00FD4F2D" w:rsidRDefault="004D5387" w:rsidP="00FD4F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</w:p>
    <w:p w:rsidR="00FD4F2D" w:rsidRDefault="00FD4F2D" w:rsidP="00FD4F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Anmeldelse om etablering af olietanke kan ske via kommunens hjemmeside:</w:t>
      </w:r>
    </w:p>
    <w:p w:rsidR="00FD4F2D" w:rsidRDefault="00EB691E" w:rsidP="00FD4F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  <w:hyperlink r:id="rId10" w:history="1">
        <w:r w:rsidR="00AD6E34" w:rsidRPr="00C31F1E">
          <w:rPr>
            <w:rStyle w:val="Hyperlink"/>
            <w:rFonts w:ascii="Calibri" w:hAnsi="Calibri" w:cs="Calibri"/>
          </w:rPr>
          <w:t>https://www.randers.dk/erhverv/miljoe/olie-og-kemikalier/olietanke/etablering/</w:t>
        </w:r>
      </w:hyperlink>
    </w:p>
    <w:p w:rsidR="004D5387" w:rsidRDefault="004D5387" w:rsidP="00FD4F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</w:p>
    <w:p w:rsidR="009B47D7" w:rsidRDefault="009B47D7" w:rsidP="009B47D7">
      <w:pPr>
        <w:spacing w:after="0"/>
      </w:pPr>
    </w:p>
    <w:p w:rsidR="009B47D7" w:rsidRDefault="009B47D7" w:rsidP="009B47D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Brugerbetaling:</w:t>
      </w:r>
    </w:p>
    <w:p w:rsidR="009B47D7" w:rsidRDefault="009B47D7" w:rsidP="009B47D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Du skal betale brugerbetaling for miljøtilsynet.</w:t>
      </w:r>
      <w:r>
        <w:rPr>
          <w:rStyle w:val="Fodnotehenvisning"/>
          <w:rFonts w:cs="Calibri"/>
        </w:rPr>
        <w:footnoteReference w:id="2"/>
      </w:r>
      <w:r>
        <w:rPr>
          <w:rFonts w:cs="Calibri"/>
        </w:rPr>
        <w:t xml:space="preserve"> Betalingen beregnes ud fra det timeforbrug kommunen har i forbindelse med forberedelse, gennemførelse og afrapportering af miljøtilsynet.</w:t>
      </w:r>
    </w:p>
    <w:p w:rsidR="009B47D7" w:rsidRDefault="009B47D7" w:rsidP="009B47D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B47D7" w:rsidRDefault="009B47D7" w:rsidP="009B47D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Timetaksten er for 2020 fastsat af Miljøstyrelsen til 333,22 kr. Regning for opkrævning af brugerbetaling uds</w:t>
      </w:r>
      <w:r w:rsidR="004D5387">
        <w:rPr>
          <w:rFonts w:cs="Calibri"/>
        </w:rPr>
        <w:t>endes efter den 1. november 2021</w:t>
      </w:r>
      <w:r>
        <w:rPr>
          <w:rFonts w:cs="Calibri"/>
        </w:rPr>
        <w:t>.</w:t>
      </w:r>
    </w:p>
    <w:p w:rsidR="009B47D7" w:rsidRDefault="009B47D7" w:rsidP="009B47D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:rsidR="009B47D7" w:rsidRDefault="009B47D7" w:rsidP="009B47D7">
      <w:pPr>
        <w:autoSpaceDE w:val="0"/>
        <w:autoSpaceDN w:val="0"/>
      </w:pPr>
      <w:r>
        <w:rPr>
          <w:b/>
          <w:bCs/>
        </w:rPr>
        <w:t>Lovgrundlag</w:t>
      </w:r>
      <w:r>
        <w:rPr>
          <w:b/>
          <w:bCs/>
        </w:rPr>
        <w:br/>
      </w:r>
      <w:r>
        <w:t>Husdyrbrug reguleres efter følgende lovgivning:</w:t>
      </w:r>
    </w:p>
    <w:p w:rsidR="009B47D7" w:rsidRDefault="009B47D7" w:rsidP="009B47D7">
      <w:pPr>
        <w:numPr>
          <w:ilvl w:val="0"/>
          <w:numId w:val="7"/>
        </w:numPr>
        <w:autoSpaceDE w:val="0"/>
        <w:autoSpaceDN w:val="0"/>
        <w:spacing w:after="0" w:line="240" w:lineRule="auto"/>
        <w:rPr>
          <w:rFonts w:eastAsia="Times New Roman"/>
        </w:rPr>
      </w:pPr>
      <w:r>
        <w:rPr>
          <w:rFonts w:eastAsia="Times New Roman"/>
          <w:lang w:eastAsia="nb-NO"/>
        </w:rPr>
        <w:t xml:space="preserve">Lovbekendtgørelse nr. 520 af 1. maj 2019 om husdyrbrug og anvendelse af gødning m.v. </w:t>
      </w:r>
      <w:r>
        <w:rPr>
          <w:rFonts w:eastAsia="Times New Roman"/>
        </w:rPr>
        <w:t>(Husdyrloven).</w:t>
      </w:r>
    </w:p>
    <w:p w:rsidR="009B47D7" w:rsidRDefault="009B47D7" w:rsidP="009B47D7">
      <w:pPr>
        <w:numPr>
          <w:ilvl w:val="0"/>
          <w:numId w:val="7"/>
        </w:numPr>
        <w:autoSpaceDE w:val="0"/>
        <w:autoSpaceDN w:val="0"/>
        <w:spacing w:after="0" w:line="240" w:lineRule="auto"/>
        <w:rPr>
          <w:rFonts w:eastAsia="Times New Roman"/>
        </w:rPr>
      </w:pPr>
      <w:r>
        <w:rPr>
          <w:rFonts w:eastAsia="Times New Roman"/>
        </w:rPr>
        <w:t>Lovbekendtgørelse nr. 1218 af 25. november 2019 - Lov om miljøbeskyttelse (Miljøbeskyttelsesloven).</w:t>
      </w:r>
    </w:p>
    <w:p w:rsidR="009B47D7" w:rsidRDefault="009B47D7" w:rsidP="009B47D7">
      <w:pPr>
        <w:numPr>
          <w:ilvl w:val="0"/>
          <w:numId w:val="7"/>
        </w:numPr>
        <w:autoSpaceDE w:val="0"/>
        <w:autoSpaceDN w:val="0"/>
        <w:spacing w:after="0" w:line="240" w:lineRule="auto"/>
        <w:rPr>
          <w:rFonts w:eastAsia="Times New Roman"/>
        </w:rPr>
      </w:pPr>
      <w:r>
        <w:rPr>
          <w:rFonts w:eastAsia="Times New Roman"/>
        </w:rPr>
        <w:t>Bekendtgørelse nr. 1261 af 29. november 2019 om godkendelse og tilladelse m.v. af husdyrbrug (Godkendelsesbekendtgørelsen).</w:t>
      </w:r>
    </w:p>
    <w:p w:rsidR="009B47D7" w:rsidRDefault="009B47D7" w:rsidP="009B47D7">
      <w:pPr>
        <w:numPr>
          <w:ilvl w:val="0"/>
          <w:numId w:val="7"/>
        </w:numPr>
        <w:autoSpaceDE w:val="0"/>
        <w:autoSpaceDN w:val="0"/>
        <w:spacing w:after="0" w:line="240" w:lineRule="auto"/>
        <w:rPr>
          <w:rFonts w:eastAsia="Times New Roman"/>
        </w:rPr>
      </w:pPr>
      <w:r>
        <w:rPr>
          <w:rFonts w:eastAsia="Times New Roman"/>
        </w:rPr>
        <w:t>Bekendtgørelse nr. 760 af 30. juli 2019 om miljøregulering af dyrehold og om opbevaring og anvendelse af gødning (Husdyrgødningsbekendtgørelsen).</w:t>
      </w:r>
    </w:p>
    <w:p w:rsidR="009B47D7" w:rsidRDefault="009B47D7" w:rsidP="009B47D7">
      <w:pPr>
        <w:numPr>
          <w:ilvl w:val="0"/>
          <w:numId w:val="7"/>
        </w:numPr>
        <w:autoSpaceDE w:val="0"/>
        <w:autoSpaceDN w:val="0"/>
        <w:spacing w:after="0" w:line="240" w:lineRule="auto"/>
        <w:rPr>
          <w:rFonts w:eastAsia="Times New Roman"/>
        </w:rPr>
      </w:pPr>
      <w:r>
        <w:rPr>
          <w:rFonts w:eastAsia="Times New Roman"/>
        </w:rPr>
        <w:t>Bekendtgørelse nr. 1322 af 14. december 2012 om kontrol af beholdere til opbevaring af flydende husdyrgødning og ensilagesaft. (Beholderkontrol).</w:t>
      </w:r>
    </w:p>
    <w:p w:rsidR="009B47D7" w:rsidRDefault="009B47D7" w:rsidP="009B47D7">
      <w:pPr>
        <w:numPr>
          <w:ilvl w:val="0"/>
          <w:numId w:val="7"/>
        </w:numPr>
        <w:autoSpaceDE w:val="0"/>
        <w:autoSpaceDN w:val="0"/>
        <w:spacing w:after="0" w:line="240" w:lineRule="auto"/>
        <w:rPr>
          <w:rFonts w:eastAsia="Times New Roman"/>
        </w:rPr>
      </w:pPr>
      <w:r>
        <w:rPr>
          <w:rFonts w:eastAsia="Times New Roman"/>
        </w:rPr>
        <w:t>Bekendtgørelse nr. 1257 af 27. november 2019 om indretning, etablering og drift af olietanke, rørsystemer og pipelines (Olietanksbekendtgørelsen).</w:t>
      </w:r>
    </w:p>
    <w:p w:rsidR="009B47D7" w:rsidRDefault="009B47D7" w:rsidP="009B47D7">
      <w:pPr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>Bekendtgørelse nr. 224 af 8. marts 2019 om affald. (Affaldsbekendtgørelsen).</w:t>
      </w:r>
    </w:p>
    <w:p w:rsidR="009B47D7" w:rsidRDefault="009B47D7" w:rsidP="009B47D7">
      <w:pPr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Bekendtgørelse nr. </w:t>
      </w:r>
      <w:r>
        <w:t>1536 af 9. december 2019 om miljøtilsyn</w:t>
      </w:r>
      <w:r>
        <w:rPr>
          <w:rFonts w:eastAsia="Times New Roman"/>
        </w:rPr>
        <w:t>.</w:t>
      </w:r>
      <w:r>
        <w:rPr>
          <w:rFonts w:eastAsia="Times New Roman"/>
          <w:sz w:val="18"/>
          <w:szCs w:val="18"/>
        </w:rPr>
        <w:t xml:space="preserve"> </w:t>
      </w:r>
    </w:p>
    <w:p w:rsidR="009B47D7" w:rsidRDefault="009B47D7" w:rsidP="009B47D7">
      <w:pPr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>Lovbekendtgørelse nr. 282 af 27. marts 2017 om forurenet jord.</w:t>
      </w:r>
    </w:p>
    <w:p w:rsidR="009B47D7" w:rsidRDefault="009B47D7" w:rsidP="009B47D7">
      <w:pPr>
        <w:autoSpaceDE w:val="0"/>
        <w:autoSpaceDN w:val="0"/>
        <w:rPr>
          <w:b/>
        </w:rPr>
      </w:pPr>
    </w:p>
    <w:p w:rsidR="009B47D7" w:rsidRDefault="009B47D7" w:rsidP="009B47D7">
      <w:pPr>
        <w:spacing w:after="0"/>
        <w:rPr>
          <w:rFonts w:cs="Calibri"/>
          <w:b/>
        </w:rPr>
      </w:pPr>
      <w:r>
        <w:rPr>
          <w:rFonts w:cs="Calibri"/>
          <w:b/>
        </w:rPr>
        <w:t>Klagevejledning:</w:t>
      </w:r>
    </w:p>
    <w:p w:rsidR="009B47D7" w:rsidRDefault="009B47D7" w:rsidP="009B47D7">
      <w:pPr>
        <w:spacing w:after="0"/>
        <w:rPr>
          <w:rFonts w:cs="Calibri"/>
        </w:rPr>
      </w:pPr>
      <w:r>
        <w:rPr>
          <w:rFonts w:cs="Calibri"/>
        </w:rPr>
        <w:t>Indskærpelser meddeles i henhold til Husdyrlovens § 46 og kan ikke påklages til anden administrativ myndighed.</w:t>
      </w:r>
      <w:r>
        <w:rPr>
          <w:rFonts w:cs="Calibri"/>
        </w:rPr>
        <w:br/>
      </w:r>
      <w:r>
        <w:rPr>
          <w:rFonts w:cs="Calibri"/>
        </w:rPr>
        <w:br/>
        <w:t>Jf. § 90 i Husdyrloven, har du ret til at anlægge en sag ved en civilretlig domstol, for at prøve lovligheden af en indskærpelse. Sagsanlægget skal i henhold til Miljøbeskyttelsesloven være anlagt inden 6 måneder fra dags dato. Efter Forvaltningslovens kapitel 4 har du ret til aktindsigt i sagen. Ønskes dette bedes du rette henvendelse til kommunen.</w:t>
      </w:r>
    </w:p>
    <w:p w:rsidR="004D5387" w:rsidRDefault="004D5387" w:rsidP="009B47D7">
      <w:pPr>
        <w:spacing w:after="0"/>
        <w:rPr>
          <w:rFonts w:cs="Calibri"/>
        </w:rPr>
      </w:pPr>
    </w:p>
    <w:p w:rsidR="004D5387" w:rsidRDefault="004D5387" w:rsidP="004D5387">
      <w:pPr>
        <w:spacing w:after="0"/>
        <w:rPr>
          <w:rFonts w:cs="Calibri"/>
        </w:rPr>
      </w:pPr>
      <w:r>
        <w:rPr>
          <w:rFonts w:cs="Calibri"/>
          <w:bCs/>
        </w:rPr>
        <w:t>Hvis du har spørgsmål, rettelser eller kommentarer til tilsynsbrevet, er du velkommen til at kontakte mig.</w:t>
      </w:r>
    </w:p>
    <w:p w:rsidR="009B47D7" w:rsidRDefault="009B47D7" w:rsidP="009B47D7"/>
    <w:p w:rsidR="00FC3429" w:rsidRPr="00C05820" w:rsidRDefault="00FC3429" w:rsidP="00D817CE">
      <w:pPr>
        <w:spacing w:after="0"/>
        <w:rPr>
          <w:rFonts w:cs="Calibri"/>
          <w:szCs w:val="24"/>
        </w:rPr>
      </w:pPr>
      <w:r w:rsidRPr="00C05820">
        <w:rPr>
          <w:rFonts w:cs="Calibri"/>
          <w:szCs w:val="24"/>
        </w:rPr>
        <w:lastRenderedPageBreak/>
        <w:t>Med venlig hilsen</w:t>
      </w:r>
    </w:p>
    <w:p w:rsidR="00FC3429" w:rsidRPr="00C05820" w:rsidRDefault="00FC3429" w:rsidP="00D817CE">
      <w:pPr>
        <w:spacing w:after="0"/>
        <w:rPr>
          <w:rFonts w:cs="Calibri"/>
          <w:szCs w:val="24"/>
        </w:rPr>
      </w:pPr>
    </w:p>
    <w:p w:rsidR="00FC3429" w:rsidRDefault="00FC3429">
      <w:pPr>
        <w:spacing w:after="0"/>
        <w:rPr>
          <w:rFonts w:cs="Calibri"/>
        </w:rPr>
      </w:pPr>
    </w:p>
    <w:p w:rsidR="00FC3429" w:rsidRDefault="00FC3429">
      <w:pPr>
        <w:spacing w:after="0"/>
        <w:rPr>
          <w:rFonts w:cs="Calibri"/>
        </w:rPr>
      </w:pPr>
      <w:r w:rsidRPr="00B54292">
        <w:rPr>
          <w:rFonts w:cs="Calibri"/>
        </w:rPr>
        <w:t>Anni Nielsen</w:t>
      </w:r>
    </w:p>
    <w:p w:rsidR="00FC3429" w:rsidRDefault="00FC3429">
      <w:pPr>
        <w:spacing w:after="0"/>
        <w:rPr>
          <w:rFonts w:cs="Calibri"/>
        </w:rPr>
      </w:pPr>
      <w:r w:rsidRPr="00DA10BE">
        <w:rPr>
          <w:rFonts w:cs="Calibri"/>
        </w:rPr>
        <w:t>Miljøtekniker</w:t>
      </w:r>
    </w:p>
    <w:p w:rsidR="00F46158" w:rsidRPr="00F46158" w:rsidRDefault="00F46158" w:rsidP="00F46158"/>
    <w:sectPr w:rsidR="00F46158" w:rsidRPr="00F46158" w:rsidSect="00856F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2835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429" w:rsidRDefault="00FC3429" w:rsidP="00A6335A">
      <w:pPr>
        <w:spacing w:after="0" w:line="240" w:lineRule="auto"/>
      </w:pPr>
      <w:r>
        <w:separator/>
      </w:r>
    </w:p>
  </w:endnote>
  <w:endnote w:type="continuationSeparator" w:id="0">
    <w:p w:rsidR="00FC3429" w:rsidRDefault="00FC3429" w:rsidP="00A6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03" w:rsidRDefault="00E44D03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FE9" w:rsidRPr="00E44D03" w:rsidRDefault="00856FE9" w:rsidP="00E44D03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03" w:rsidRDefault="00E44D03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429" w:rsidRDefault="00FC3429" w:rsidP="00A6335A">
      <w:pPr>
        <w:spacing w:after="0" w:line="240" w:lineRule="auto"/>
      </w:pPr>
      <w:r>
        <w:separator/>
      </w:r>
    </w:p>
  </w:footnote>
  <w:footnote w:type="continuationSeparator" w:id="0">
    <w:p w:rsidR="00FC3429" w:rsidRDefault="00FC3429" w:rsidP="00A6335A">
      <w:pPr>
        <w:spacing w:after="0" w:line="240" w:lineRule="auto"/>
      </w:pPr>
      <w:r>
        <w:continuationSeparator/>
      </w:r>
    </w:p>
  </w:footnote>
  <w:footnote w:id="1">
    <w:p w:rsidR="009B47D7" w:rsidRDefault="009B47D7" w:rsidP="009B47D7">
      <w:pPr>
        <w:pStyle w:val="Fodnotetekst"/>
      </w:pPr>
      <w:r>
        <w:rPr>
          <w:rStyle w:val="Fodnotehenvisning"/>
          <w:sz w:val="18"/>
          <w:szCs w:val="18"/>
        </w:rPr>
        <w:footnoteRef/>
      </w:r>
      <w:r>
        <w:rPr>
          <w:sz w:val="18"/>
          <w:szCs w:val="18"/>
        </w:rPr>
        <w:t xml:space="preserve"> Bekendtgørelse nr. 1536 af 9. december 2019 om miljøtilsyn.</w:t>
      </w:r>
    </w:p>
  </w:footnote>
  <w:footnote w:id="2">
    <w:p w:rsidR="009B47D7" w:rsidRDefault="009B47D7" w:rsidP="009B47D7">
      <w:pPr>
        <w:pStyle w:val="Fodnotetekst"/>
      </w:pPr>
      <w:r>
        <w:rPr>
          <w:rStyle w:val="Fodnotehenvisning"/>
        </w:rPr>
        <w:footnoteRef/>
      </w:r>
      <w:r>
        <w:t xml:space="preserve"> Bekendtgørelse nr. 1475 af 12. december 2017 om brugerbetaling for godkendelse mv. og tilsyn efter lov om miljøbeskyttelse og lov om husdyrbrug og anvendelse af gødning mv.</w:t>
      </w:r>
    </w:p>
    <w:p w:rsidR="009B47D7" w:rsidRDefault="009B47D7" w:rsidP="009B47D7">
      <w:pPr>
        <w:pStyle w:val="Fodnoteteks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03" w:rsidRDefault="00E44D03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03" w:rsidRDefault="00E44D03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03" w:rsidRDefault="00E44D03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5D8E"/>
    <w:multiLevelType w:val="hybridMultilevel"/>
    <w:tmpl w:val="C6BA806C"/>
    <w:lvl w:ilvl="0" w:tplc="B546D88A">
      <w:start w:val="1"/>
      <w:numFmt w:val="decimal"/>
      <w:lvlText w:val="%1."/>
      <w:lvlJc w:val="left"/>
      <w:pPr>
        <w:ind w:left="284" w:hanging="284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423F"/>
    <w:multiLevelType w:val="hybridMultilevel"/>
    <w:tmpl w:val="9D286F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92471"/>
    <w:multiLevelType w:val="hybridMultilevel"/>
    <w:tmpl w:val="E7487C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E0BC3"/>
    <w:multiLevelType w:val="hybridMultilevel"/>
    <w:tmpl w:val="CACA3F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C74C5"/>
    <w:multiLevelType w:val="hybridMultilevel"/>
    <w:tmpl w:val="8A1CD5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A0"/>
    <w:rsid w:val="00131C73"/>
    <w:rsid w:val="00140062"/>
    <w:rsid w:val="001C7246"/>
    <w:rsid w:val="00247D0A"/>
    <w:rsid w:val="002850DB"/>
    <w:rsid w:val="002861A2"/>
    <w:rsid w:val="002C7B7B"/>
    <w:rsid w:val="002D2E7B"/>
    <w:rsid w:val="002E7F78"/>
    <w:rsid w:val="002F7670"/>
    <w:rsid w:val="003D0A4E"/>
    <w:rsid w:val="003D422A"/>
    <w:rsid w:val="00433E70"/>
    <w:rsid w:val="00494668"/>
    <w:rsid w:val="004B27F2"/>
    <w:rsid w:val="004C7B1F"/>
    <w:rsid w:val="004D5387"/>
    <w:rsid w:val="005B7D88"/>
    <w:rsid w:val="00610B01"/>
    <w:rsid w:val="00636EF6"/>
    <w:rsid w:val="00680BE6"/>
    <w:rsid w:val="0068168C"/>
    <w:rsid w:val="006B75C5"/>
    <w:rsid w:val="006D70DB"/>
    <w:rsid w:val="00731D91"/>
    <w:rsid w:val="00733E69"/>
    <w:rsid w:val="00800C32"/>
    <w:rsid w:val="00813324"/>
    <w:rsid w:val="00837764"/>
    <w:rsid w:val="00856FE9"/>
    <w:rsid w:val="00861F5F"/>
    <w:rsid w:val="008806C6"/>
    <w:rsid w:val="00891ADB"/>
    <w:rsid w:val="008F465B"/>
    <w:rsid w:val="00901490"/>
    <w:rsid w:val="00970D2C"/>
    <w:rsid w:val="009975F0"/>
    <w:rsid w:val="009B47D7"/>
    <w:rsid w:val="009D13A0"/>
    <w:rsid w:val="009E7AAB"/>
    <w:rsid w:val="00A6335A"/>
    <w:rsid w:val="00A85A30"/>
    <w:rsid w:val="00AD6E34"/>
    <w:rsid w:val="00AF5F67"/>
    <w:rsid w:val="00BB3B69"/>
    <w:rsid w:val="00BD00FE"/>
    <w:rsid w:val="00BE4C02"/>
    <w:rsid w:val="00C01F15"/>
    <w:rsid w:val="00C33C4F"/>
    <w:rsid w:val="00CA6A67"/>
    <w:rsid w:val="00CB2625"/>
    <w:rsid w:val="00CC0486"/>
    <w:rsid w:val="00CD6B58"/>
    <w:rsid w:val="00D23C70"/>
    <w:rsid w:val="00DA68E5"/>
    <w:rsid w:val="00DB088C"/>
    <w:rsid w:val="00E44D03"/>
    <w:rsid w:val="00E45828"/>
    <w:rsid w:val="00E86BFB"/>
    <w:rsid w:val="00EB691E"/>
    <w:rsid w:val="00EE763F"/>
    <w:rsid w:val="00EF18DB"/>
    <w:rsid w:val="00F46158"/>
    <w:rsid w:val="00F5702B"/>
    <w:rsid w:val="00F94689"/>
    <w:rsid w:val="00FA25D6"/>
    <w:rsid w:val="00FB7295"/>
    <w:rsid w:val="00FC3429"/>
    <w:rsid w:val="00FD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06E4273C-8B76-4973-BC33-7507EEB0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062"/>
    <w:pPr>
      <w:spacing w:after="280" w:line="280" w:lineRule="exact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46158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46158"/>
    <w:pPr>
      <w:keepNext/>
      <w:keepLines/>
      <w:spacing w:before="280" w:after="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46158"/>
    <w:pPr>
      <w:keepNext/>
      <w:keepLines/>
      <w:spacing w:before="200" w:after="0"/>
      <w:outlineLvl w:val="2"/>
    </w:pPr>
    <w:rPr>
      <w:rFonts w:eastAsiaTheme="majorEastAsia" w:cstheme="majorBidi"/>
      <w:bCs/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46158"/>
    <w:rPr>
      <w:rFonts w:eastAsiaTheme="majorEastAsia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46158"/>
    <w:rPr>
      <w:rFonts w:eastAsiaTheme="majorEastAsi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46158"/>
    <w:rPr>
      <w:rFonts w:eastAsiaTheme="majorEastAsia" w:cstheme="majorBidi"/>
      <w:bCs/>
      <w:i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088C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F46158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46158"/>
    <w:rPr>
      <w:rFonts w:eastAsiaTheme="majorEastAsia" w:cstheme="majorBidi"/>
      <w:b/>
      <w:spacing w:val="5"/>
      <w:kern w:val="28"/>
      <w:sz w:val="32"/>
      <w:szCs w:val="52"/>
    </w:rPr>
  </w:style>
  <w:style w:type="paragraph" w:styleId="Ingenafstand">
    <w:name w:val="No Spacing"/>
    <w:uiPriority w:val="1"/>
    <w:qFormat/>
    <w:rsid w:val="00140062"/>
    <w:pPr>
      <w:spacing w:after="0" w:line="280" w:lineRule="exact"/>
    </w:pPr>
  </w:style>
  <w:style w:type="character" w:styleId="Hyperlink">
    <w:name w:val="Hyperlink"/>
    <w:basedOn w:val="Standardskrifttypeiafsnit"/>
    <w:uiPriority w:val="99"/>
    <w:unhideWhenUsed/>
    <w:rsid w:val="001C7246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A633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6335A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A633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6335A"/>
    <w:rPr>
      <w:sz w:val="20"/>
    </w:rPr>
  </w:style>
  <w:style w:type="paragraph" w:customStyle="1" w:styleId="brevtekst">
    <w:name w:val="brevtekst"/>
    <w:basedOn w:val="Normal"/>
    <w:link w:val="brevtekstTegn"/>
    <w:qFormat/>
    <w:rsid w:val="00FC3429"/>
    <w:pPr>
      <w:spacing w:after="0" w:line="200" w:lineRule="exact"/>
    </w:pPr>
    <w:rPr>
      <w:rFonts w:eastAsiaTheme="minorEastAsia" w:cs="Calibri"/>
      <w:color w:val="929496"/>
      <w:sz w:val="16"/>
      <w:szCs w:val="20"/>
      <w:lang w:eastAsia="da-DK"/>
    </w:rPr>
  </w:style>
  <w:style w:type="character" w:customStyle="1" w:styleId="brevtekstTegn">
    <w:name w:val="brevtekst Tegn"/>
    <w:basedOn w:val="Standardskrifttypeiafsnit"/>
    <w:link w:val="brevtekst"/>
    <w:locked/>
    <w:rsid w:val="00FC3429"/>
    <w:rPr>
      <w:rFonts w:eastAsiaTheme="minorEastAsia" w:cs="Calibri"/>
      <w:color w:val="929496"/>
      <w:sz w:val="16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FC3429"/>
    <w:pPr>
      <w:ind w:left="720"/>
      <w:contextualSpacing/>
    </w:pPr>
    <w:rPr>
      <w:rFonts w:eastAsiaTheme="minorEastAsia" w:cs="Times New Roman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FC3429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C3429"/>
    <w:rPr>
      <w:rFonts w:eastAsiaTheme="minorEastAsia" w:cs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C3429"/>
    <w:rPr>
      <w:rFonts w:cs="Times New Roman"/>
      <w:vertAlign w:val="superscript"/>
    </w:rPr>
  </w:style>
  <w:style w:type="paragraph" w:customStyle="1" w:styleId="Default">
    <w:name w:val="Default"/>
    <w:rsid w:val="008806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4D53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5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randers.dk/erhverv/miljoe/olie-og-kemikalier/olietanke/etablerin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1233</Words>
  <Characters>7528</Characters>
  <Application>Microsoft Office Word</Application>
  <DocSecurity>4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 Nielsen</dc:creator>
  <cp:lastModifiedBy>Anni Nielsen</cp:lastModifiedBy>
  <cp:revision>2</cp:revision>
  <cp:lastPrinted>2020-12-08T13:17:00Z</cp:lastPrinted>
  <dcterms:created xsi:type="dcterms:W3CDTF">2021-01-08T11:44:00Z</dcterms:created>
  <dcterms:modified xsi:type="dcterms:W3CDTF">2021-01-08T11:44:00Z</dcterms:modified>
</cp:coreProperties>
</file>