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pPr w:vertAnchor="page" w:horzAnchor="page" w:tblpX="6975" w:tblpY="25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2"/>
      </w:tblGrid>
      <w:tr w:rsidR="00926816" w:rsidRPr="00313A10" w:rsidTr="000A0D31">
        <w:trPr>
          <w:trHeight w:val="261"/>
        </w:trPr>
        <w:tc>
          <w:tcPr>
            <w:tcW w:w="3962" w:type="dxa"/>
          </w:tcPr>
          <w:p w:rsidR="00926816" w:rsidRPr="00313A10" w:rsidRDefault="00457B0E" w:rsidP="000A0D31">
            <w:pPr>
              <w:spacing w:line="240" w:lineRule="auto"/>
              <w:jc w:val="right"/>
              <w:rPr>
                <w:b/>
                <w:sz w:val="15"/>
                <w:szCs w:val="15"/>
              </w:rPr>
            </w:pPr>
            <w:bookmarkStart w:id="0" w:name="bmkDepartment"/>
            <w:bookmarkStart w:id="1" w:name="_GoBack"/>
            <w:bookmarkEnd w:id="0"/>
            <w:bookmarkEnd w:id="1"/>
            <w:r>
              <w:rPr>
                <w:b/>
                <w:sz w:val="15"/>
                <w:szCs w:val="15"/>
              </w:rPr>
              <w:t>Center for Teknik og Miljø</w:t>
            </w:r>
          </w:p>
        </w:tc>
      </w:tr>
    </w:tbl>
    <w:tbl>
      <w:tblPr>
        <w:tblStyle w:val="Tabel-Gitter"/>
        <w:tblpPr w:vertAnchor="text" w:horzAnchor="page" w:tblpX="6833"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67"/>
      </w:tblGrid>
      <w:tr w:rsidR="00926816" w:rsidRPr="00E524FB" w:rsidTr="006E457A">
        <w:trPr>
          <w:trHeight w:hRule="exact" w:val="2831"/>
        </w:trPr>
        <w:tc>
          <w:tcPr>
            <w:tcW w:w="4967" w:type="dxa"/>
          </w:tcPr>
          <w:p w:rsidR="00457B0E" w:rsidRDefault="00457B0E" w:rsidP="00DA4324">
            <w:pPr>
              <w:spacing w:line="240" w:lineRule="auto"/>
              <w:ind w:left="2722"/>
              <w:rPr>
                <w:sz w:val="15"/>
                <w:szCs w:val="15"/>
              </w:rPr>
            </w:pPr>
            <w:bookmarkStart w:id="2" w:name="bmkSender"/>
            <w:bookmarkEnd w:id="2"/>
            <w:r>
              <w:rPr>
                <w:sz w:val="15"/>
                <w:szCs w:val="15"/>
              </w:rPr>
              <w:t>Teknik og miljø</w:t>
            </w:r>
          </w:p>
          <w:p w:rsidR="00457B0E" w:rsidRDefault="00457B0E" w:rsidP="00DA4324">
            <w:pPr>
              <w:spacing w:line="240" w:lineRule="auto"/>
              <w:ind w:left="2722"/>
              <w:rPr>
                <w:sz w:val="15"/>
                <w:szCs w:val="15"/>
              </w:rPr>
            </w:pPr>
            <w:r>
              <w:rPr>
                <w:sz w:val="15"/>
                <w:szCs w:val="15"/>
              </w:rPr>
              <w:t>Mørdrupvej 15</w:t>
            </w:r>
          </w:p>
          <w:p w:rsidR="00457B0E" w:rsidRDefault="00457B0E" w:rsidP="00DA4324">
            <w:pPr>
              <w:spacing w:line="240" w:lineRule="auto"/>
              <w:ind w:left="2722"/>
              <w:rPr>
                <w:sz w:val="15"/>
                <w:szCs w:val="15"/>
              </w:rPr>
            </w:pPr>
            <w:r>
              <w:rPr>
                <w:sz w:val="15"/>
                <w:szCs w:val="15"/>
              </w:rPr>
              <w:t>3060 Espergærde</w:t>
            </w:r>
          </w:p>
          <w:p w:rsidR="00457B0E" w:rsidRDefault="00457B0E" w:rsidP="00DA4324">
            <w:pPr>
              <w:spacing w:line="240" w:lineRule="auto"/>
              <w:ind w:left="2722"/>
              <w:rPr>
                <w:sz w:val="15"/>
                <w:szCs w:val="15"/>
              </w:rPr>
            </w:pPr>
          </w:p>
          <w:p w:rsidR="00457B0E" w:rsidRDefault="00457B0E" w:rsidP="00DA4324">
            <w:pPr>
              <w:spacing w:line="240" w:lineRule="auto"/>
              <w:ind w:left="2722"/>
              <w:rPr>
                <w:sz w:val="15"/>
                <w:szCs w:val="15"/>
              </w:rPr>
            </w:pPr>
            <w:r>
              <w:rPr>
                <w:sz w:val="15"/>
                <w:szCs w:val="15"/>
              </w:rPr>
              <w:t>Tlf. 4928</w:t>
            </w:r>
            <w:r w:rsidR="003E6B87">
              <w:rPr>
                <w:sz w:val="15"/>
                <w:szCs w:val="15"/>
              </w:rPr>
              <w:t xml:space="preserve"> </w:t>
            </w:r>
            <w:r>
              <w:rPr>
                <w:sz w:val="15"/>
                <w:szCs w:val="15"/>
              </w:rPr>
              <w:t>2454</w:t>
            </w:r>
          </w:p>
          <w:p w:rsidR="00457B0E" w:rsidRDefault="00457B0E" w:rsidP="00DA4324">
            <w:pPr>
              <w:spacing w:line="240" w:lineRule="auto"/>
              <w:ind w:left="2722"/>
              <w:rPr>
                <w:sz w:val="15"/>
                <w:szCs w:val="15"/>
              </w:rPr>
            </w:pPr>
            <w:r>
              <w:rPr>
                <w:sz w:val="15"/>
                <w:szCs w:val="15"/>
              </w:rPr>
              <w:t>mka55@helsingor.dk</w:t>
            </w:r>
          </w:p>
          <w:p w:rsidR="00457B0E" w:rsidRDefault="00457B0E" w:rsidP="00DA4324">
            <w:pPr>
              <w:spacing w:line="240" w:lineRule="auto"/>
              <w:ind w:left="2722"/>
              <w:rPr>
                <w:sz w:val="15"/>
                <w:szCs w:val="15"/>
              </w:rPr>
            </w:pPr>
          </w:p>
          <w:p w:rsidR="00457B0E" w:rsidRDefault="00457B0E" w:rsidP="00DA4324">
            <w:pPr>
              <w:spacing w:line="240" w:lineRule="auto"/>
              <w:ind w:left="2722"/>
              <w:rPr>
                <w:sz w:val="15"/>
                <w:szCs w:val="15"/>
              </w:rPr>
            </w:pPr>
            <w:r>
              <w:rPr>
                <w:sz w:val="15"/>
                <w:szCs w:val="15"/>
              </w:rPr>
              <w:t>Dato 17.07.13</w:t>
            </w:r>
          </w:p>
          <w:p w:rsidR="00457B0E" w:rsidRDefault="00457B0E" w:rsidP="00DA4324">
            <w:pPr>
              <w:spacing w:line="240" w:lineRule="auto"/>
              <w:ind w:left="2722"/>
              <w:rPr>
                <w:sz w:val="15"/>
                <w:szCs w:val="15"/>
              </w:rPr>
            </w:pPr>
            <w:r>
              <w:rPr>
                <w:sz w:val="15"/>
                <w:szCs w:val="15"/>
              </w:rPr>
              <w:t>Sagsnr. 13/</w:t>
            </w:r>
            <w:r w:rsidR="00446FEE">
              <w:rPr>
                <w:sz w:val="15"/>
                <w:szCs w:val="15"/>
              </w:rPr>
              <w:t>11145</w:t>
            </w:r>
          </w:p>
          <w:p w:rsidR="00926816" w:rsidRPr="00E524FB" w:rsidRDefault="00457B0E" w:rsidP="00DA4324">
            <w:pPr>
              <w:spacing w:line="240" w:lineRule="auto"/>
              <w:ind w:left="2722"/>
              <w:rPr>
                <w:sz w:val="15"/>
                <w:szCs w:val="15"/>
              </w:rPr>
            </w:pPr>
            <w:r>
              <w:rPr>
                <w:sz w:val="15"/>
                <w:szCs w:val="15"/>
              </w:rPr>
              <w:t>Malene Kamstrup</w:t>
            </w:r>
          </w:p>
        </w:tc>
      </w:tr>
    </w:tbl>
    <w:tbl>
      <w:tblPr>
        <w:tblStyle w:val="Tabel-Gitter"/>
        <w:tblpPr w:leftFromText="142" w:rightFromText="142" w:vertAnchor="page" w:horzAnchor="page" w:tblpX="9527" w:tblpY="1298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tblGrid>
      <w:tr w:rsidR="00926816" w:rsidRPr="00DC484B" w:rsidTr="007648A6">
        <w:trPr>
          <w:trHeight w:hRule="exact" w:val="3402"/>
        </w:trPr>
        <w:tc>
          <w:tcPr>
            <w:tcW w:w="2268" w:type="dxa"/>
            <w:vAlign w:val="bottom"/>
          </w:tcPr>
          <w:p w:rsidR="00926816" w:rsidRPr="00DC484B" w:rsidRDefault="00926816" w:rsidP="007648A6">
            <w:pPr>
              <w:spacing w:line="240" w:lineRule="auto"/>
              <w:contextualSpacing/>
              <w:rPr>
                <w:sz w:val="13"/>
                <w:szCs w:val="13"/>
              </w:rPr>
            </w:pPr>
            <w:bookmarkStart w:id="3" w:name="bmkOpening"/>
            <w:bookmarkEnd w:id="3"/>
          </w:p>
        </w:tc>
      </w:tr>
    </w:tbl>
    <w:p w:rsidR="00AC68D6" w:rsidRDefault="00AC68D6" w:rsidP="00737A23">
      <w:pPr>
        <w:spacing w:line="240" w:lineRule="auto"/>
        <w:rPr>
          <w:sz w:val="4"/>
          <w:szCs w:val="4"/>
        </w:rPr>
      </w:pPr>
      <w:bookmarkStart w:id="4" w:name="bmkDoc2Mail"/>
      <w:bookmarkEnd w:id="4"/>
    </w:p>
    <w:p w:rsidR="00737A23" w:rsidRPr="00737A23" w:rsidRDefault="00737A23" w:rsidP="00737A23">
      <w:pPr>
        <w:spacing w:line="240" w:lineRule="auto"/>
        <w:rPr>
          <w:sz w:val="4"/>
          <w:szCs w:val="4"/>
        </w:rPr>
      </w:pPr>
    </w:p>
    <w:tbl>
      <w:tblPr>
        <w:tblStyle w:val="Tabel-Gitter"/>
        <w:tblpPr w:vertAnchor="page" w:horzAnchor="margin" w:tblpY="2553"/>
        <w:tblOverlap w:val="never"/>
        <w:tblW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529"/>
      </w:tblGrid>
      <w:tr w:rsidR="0020773F" w:rsidRPr="00A80E6A" w:rsidTr="000A0D31">
        <w:trPr>
          <w:trHeight w:hRule="exact" w:val="2983"/>
        </w:trPr>
        <w:tc>
          <w:tcPr>
            <w:tcW w:w="5529" w:type="dxa"/>
          </w:tcPr>
          <w:p w:rsidR="00457B0E" w:rsidRDefault="00457B0E" w:rsidP="0020773F">
            <w:pPr>
              <w:spacing w:line="220" w:lineRule="atLeast"/>
            </w:pPr>
            <w:bookmarkStart w:id="5" w:name="bmkReceiver"/>
            <w:bookmarkEnd w:id="5"/>
            <w:r>
              <w:t>Chembo</w:t>
            </w:r>
          </w:p>
          <w:p w:rsidR="00457B0E" w:rsidRDefault="00457B0E" w:rsidP="0020773F">
            <w:pPr>
              <w:spacing w:line="220" w:lineRule="atLeast"/>
            </w:pPr>
            <w:r>
              <w:t>Att.: Helle Rasmussen</w:t>
            </w:r>
          </w:p>
          <w:p w:rsidR="00457B0E" w:rsidRDefault="00457B0E" w:rsidP="0020773F">
            <w:pPr>
              <w:spacing w:line="220" w:lineRule="atLeast"/>
            </w:pPr>
            <w:r>
              <w:t>Oldenvej 15</w:t>
            </w:r>
          </w:p>
          <w:p w:rsidR="0020773F" w:rsidRPr="00A80E6A" w:rsidRDefault="00457B0E" w:rsidP="0020773F">
            <w:pPr>
              <w:spacing w:line="220" w:lineRule="atLeast"/>
            </w:pPr>
            <w:r>
              <w:t>3060 Espergærde</w:t>
            </w:r>
          </w:p>
        </w:tc>
      </w:tr>
    </w:tbl>
    <w:p w:rsidR="00E524FB" w:rsidRPr="004A09AB" w:rsidRDefault="00E524FB" w:rsidP="005C2578">
      <w:pPr>
        <w:rPr>
          <w:b/>
        </w:rPr>
      </w:pPr>
      <w:bookmarkStart w:id="6" w:name="bmkHeader"/>
      <w:bookmarkEnd w:id="6"/>
    </w:p>
    <w:p w:rsidR="004A09AB" w:rsidRDefault="004A09AB" w:rsidP="005C2578"/>
    <w:p w:rsidR="00457B0E" w:rsidRPr="00457B0E" w:rsidRDefault="00457B0E" w:rsidP="00457B0E">
      <w:pPr>
        <w:rPr>
          <w:b/>
        </w:rPr>
      </w:pPr>
      <w:bookmarkStart w:id="7" w:name="bmkStart"/>
      <w:bookmarkEnd w:id="7"/>
      <w:r w:rsidRPr="00457B0E">
        <w:rPr>
          <w:b/>
        </w:rPr>
        <w:t>Lempet grænse for kobolt i spildevand</w:t>
      </w:r>
    </w:p>
    <w:p w:rsidR="00457B0E" w:rsidRPr="00457B0E" w:rsidRDefault="00457B0E" w:rsidP="00457B0E">
      <w:r w:rsidRPr="00457B0E">
        <w:t xml:space="preserve">Tak for din mail af </w:t>
      </w:r>
      <w:r>
        <w:t>11. juli</w:t>
      </w:r>
      <w:r w:rsidRPr="00457B0E">
        <w:t xml:space="preserve"> 201</w:t>
      </w:r>
      <w:r>
        <w:t>3</w:t>
      </w:r>
      <w:r w:rsidRPr="00457B0E">
        <w:t xml:space="preserve">, hvor du søger om at få virksomhedens grænser for kobolt i spildevand lempet. </w:t>
      </w:r>
      <w:r w:rsidRPr="003E6B87">
        <w:t>I dette brev ændrer kommunen jeres vilkår om kobolt.</w:t>
      </w:r>
      <w:r w:rsidRPr="00457B0E">
        <w:t xml:space="preserve"> </w:t>
      </w:r>
    </w:p>
    <w:p w:rsidR="00457B0E" w:rsidRPr="00457B0E" w:rsidRDefault="00457B0E" w:rsidP="00457B0E"/>
    <w:p w:rsidR="00457B0E" w:rsidRPr="00457B0E" w:rsidRDefault="00457B0E" w:rsidP="00457B0E">
      <w:pPr>
        <w:rPr>
          <w:b/>
        </w:rPr>
      </w:pPr>
      <w:r w:rsidRPr="00457B0E">
        <w:rPr>
          <w:b/>
        </w:rPr>
        <w:t>Baggrund</w:t>
      </w:r>
    </w:p>
    <w:p w:rsidR="00457B0E" w:rsidRDefault="00457B0E" w:rsidP="00457B0E">
      <w:r w:rsidRPr="00457B0E">
        <w:t xml:space="preserve">Virksomheden har i dag en revideret tilslutningstilladelse af </w:t>
      </w:r>
      <w:r>
        <w:t xml:space="preserve">16. maj 2008 </w:t>
      </w:r>
      <w:r w:rsidRPr="00457B0E">
        <w:t>med miljøstyrelsens vejledende</w:t>
      </w:r>
      <w:r w:rsidRPr="00457B0E">
        <w:rPr>
          <w:vertAlign w:val="superscript"/>
        </w:rPr>
        <w:footnoteReference w:id="1"/>
      </w:r>
      <w:r w:rsidRPr="00457B0E">
        <w:t xml:space="preserve"> grænser for en række metaller. Virksomheden har</w:t>
      </w:r>
      <w:r>
        <w:t xml:space="preserve"> siden 2008 o</w:t>
      </w:r>
      <w:r w:rsidRPr="00457B0E">
        <w:t>ver</w:t>
      </w:r>
      <w:r>
        <w:t xml:space="preserve">skredet </w:t>
      </w:r>
      <w:r w:rsidRPr="00457B0E">
        <w:t>grænsen for kobolt,</w:t>
      </w:r>
      <w:r>
        <w:t xml:space="preserve"> så I søger nu om at få grænsen lempet fra 10 til fx 50 µg/l. </w:t>
      </w:r>
    </w:p>
    <w:p w:rsidR="00457B0E" w:rsidRDefault="00457B0E" w:rsidP="00457B0E"/>
    <w:p w:rsidR="000F4EB3" w:rsidRDefault="00457B0E" w:rsidP="00457B0E">
      <w:r>
        <w:t xml:space="preserve">Du oplyser, at I ikke </w:t>
      </w:r>
      <w:r w:rsidR="000F4EB3">
        <w:t>belægger med k</w:t>
      </w:r>
      <w:r w:rsidR="00632E95">
        <w:t>ob</w:t>
      </w:r>
      <w:r w:rsidR="000F4EB3">
        <w:t>olt, og mener, at kobolt i spildevandet stammer fra urenheder i den nikkel, som I bruger.</w:t>
      </w:r>
    </w:p>
    <w:p w:rsidR="00457B0E" w:rsidRPr="00457B0E" w:rsidRDefault="000F4EB3" w:rsidP="00457B0E">
      <w:r>
        <w:t xml:space="preserve"> </w:t>
      </w:r>
    </w:p>
    <w:p w:rsidR="00457B0E" w:rsidRPr="00457B0E" w:rsidRDefault="00457B0E" w:rsidP="00457B0E">
      <w:pPr>
        <w:rPr>
          <w:b/>
        </w:rPr>
      </w:pPr>
      <w:r w:rsidRPr="00457B0E">
        <w:rPr>
          <w:b/>
        </w:rPr>
        <w:t>Kommunens vurdering</w:t>
      </w:r>
    </w:p>
    <w:p w:rsidR="00457B0E" w:rsidRPr="00457B0E" w:rsidRDefault="00457B0E" w:rsidP="00457B0E">
      <w:r w:rsidRPr="00457B0E">
        <w:t>Miljøstyrelsen</w:t>
      </w:r>
      <w:r w:rsidRPr="00457B0E">
        <w:rPr>
          <w:vertAlign w:val="superscript"/>
        </w:rPr>
        <w:t>1</w:t>
      </w:r>
      <w:r w:rsidRPr="00457B0E">
        <w:t xml:space="preserve"> skriver i sin vejledning hvordan kommunen kan fastsætte grænser for spildevandet. Af den vejledning følger: </w:t>
      </w:r>
    </w:p>
    <w:p w:rsidR="00457B0E" w:rsidRPr="00457B0E" w:rsidRDefault="00457B0E" w:rsidP="00457B0E"/>
    <w:p w:rsidR="00457B0E" w:rsidRPr="00457B0E" w:rsidRDefault="00457B0E" w:rsidP="00457B0E">
      <w:r w:rsidRPr="00457B0E">
        <w:t>Miljøkvalitetskravet for kobolt for marine recipienter er fastsat</w:t>
      </w:r>
      <w:r w:rsidRPr="00457B0E">
        <w:rPr>
          <w:vertAlign w:val="superscript"/>
        </w:rPr>
        <w:footnoteReference w:id="2"/>
      </w:r>
      <w:r w:rsidRPr="00457B0E">
        <w:t xml:space="preserve"> til </w:t>
      </w:r>
      <w:r w:rsidRPr="00457B0E">
        <w:rPr>
          <w:u w:val="single"/>
        </w:rPr>
        <w:t>0,28 µg/l</w:t>
      </w:r>
      <w:r w:rsidRPr="00457B0E">
        <w:t xml:space="preserve">. </w:t>
      </w:r>
    </w:p>
    <w:p w:rsidR="00457B0E" w:rsidRPr="00457B0E" w:rsidRDefault="00457B0E" w:rsidP="00457B0E"/>
    <w:p w:rsidR="00457B0E" w:rsidRPr="00457B0E" w:rsidRDefault="00457B0E" w:rsidP="00457B0E">
      <w:r w:rsidRPr="00457B0E">
        <w:t xml:space="preserve">Der sker en initialfortynding i selve den opstigende spildevandsstråle med det omgivende vand inden spildevandet indlejres i vandmiljøet. Denne fortynding kender vi ikke for Sydkystens renseanlæg. Miljøstyrelsen anbefaler derfor, at vi sætter den til 20 gange. Det betyder, at Sydkystens renseanlæg skal overholde en grænse på 20 * 0,28 = </w:t>
      </w:r>
      <w:r w:rsidRPr="00457B0E">
        <w:rPr>
          <w:u w:val="single"/>
        </w:rPr>
        <w:t>5,6 µg/l.</w:t>
      </w:r>
    </w:p>
    <w:p w:rsidR="00457B0E" w:rsidRPr="00457B0E" w:rsidRDefault="00457B0E" w:rsidP="00457B0E"/>
    <w:p w:rsidR="00457B0E" w:rsidRPr="00457B0E" w:rsidRDefault="00457B0E" w:rsidP="00457B0E">
      <w:r w:rsidRPr="00457B0E">
        <w:t>Naturstyrensen har samlet en rapport</w:t>
      </w:r>
      <w:r w:rsidRPr="00457B0E">
        <w:rPr>
          <w:vertAlign w:val="superscript"/>
        </w:rPr>
        <w:footnoteReference w:id="3"/>
      </w:r>
      <w:r w:rsidRPr="00457B0E">
        <w:t xml:space="preserve"> med data fra analyser af spildevand til og fra danske renseanlæg i 1998 – 2009. Heri står om kobolt:</w:t>
      </w:r>
    </w:p>
    <w:p w:rsidR="00457B0E" w:rsidRPr="00457B0E" w:rsidRDefault="00457B0E" w:rsidP="00457B0E">
      <w:r w:rsidRPr="00457B0E">
        <w:t>Indløb: 1,8 (65% fraktil) – 3,1 (85% fraktil) med 2,3 µg/l i snit</w:t>
      </w:r>
    </w:p>
    <w:p w:rsidR="00457B0E" w:rsidRPr="00457B0E" w:rsidRDefault="00457B0E" w:rsidP="00457B0E">
      <w:r w:rsidRPr="00457B0E">
        <w:t>Udløb: 1,8 (65% fraktil) – 2,8 (85% fraktil) med 2,1 µg/l i snit</w:t>
      </w:r>
    </w:p>
    <w:p w:rsidR="00457B0E" w:rsidRPr="00457B0E" w:rsidRDefault="00457B0E" w:rsidP="00457B0E">
      <w:r w:rsidRPr="00457B0E">
        <w:t>Disse data er regnet ud på basis af 132 analyser, men kommunen har ikke kunnet finde analyseresultater fra Sydkystens renseanlæg.</w:t>
      </w:r>
    </w:p>
    <w:p w:rsidR="00457B0E" w:rsidRPr="00457B0E" w:rsidRDefault="00457B0E" w:rsidP="00457B0E"/>
    <w:p w:rsidR="00457B0E" w:rsidRPr="00457B0E" w:rsidRDefault="00457B0E" w:rsidP="00457B0E">
      <w:r w:rsidRPr="00457B0E">
        <w:t xml:space="preserve">Det betyder, at i værste fald, tilbageholder renseanlægget ikke noget kobolt. Men alt det kobolt, der kommer til renseanlægget også løber ud af renseanlægget til Øresund. Det betyder igen, at det spildevand, der kommer til renseanlægget skal overholde en grænse på </w:t>
      </w:r>
      <w:r w:rsidRPr="00457B0E">
        <w:rPr>
          <w:u w:val="single"/>
        </w:rPr>
        <w:t>5,6 µg/l</w:t>
      </w:r>
      <w:r w:rsidR="000F4EB3">
        <w:t xml:space="preserve"> for at m</w:t>
      </w:r>
      <w:r w:rsidRPr="00457B0E">
        <w:t xml:space="preserve">iljøkvalitetskravet overholdes.    </w:t>
      </w:r>
    </w:p>
    <w:p w:rsidR="00457B0E" w:rsidRPr="00457B0E" w:rsidRDefault="00457B0E" w:rsidP="00457B0E"/>
    <w:p w:rsidR="00457B0E" w:rsidRPr="00457B0E" w:rsidRDefault="00457B0E" w:rsidP="00457B0E">
      <w:r w:rsidRPr="00457B0E">
        <w:t>Miljøstyrelsen anbefaler, at kommunen ikke regner med</w:t>
      </w:r>
      <w:r w:rsidR="000F4EB3">
        <w:t>,</w:t>
      </w:r>
      <w:r w:rsidRPr="00457B0E">
        <w:t xml:space="preserve"> at den enkelte virksomheds spildevand bliver fortyndet i kloakoplandet, da vi normalt ikke kender nok til de øvrige kilder. Miljøstyrelsen accepterer dog, at kommunen regner med denne fortynding i forbindelse med en konkret vurdering.</w:t>
      </w:r>
    </w:p>
    <w:p w:rsidR="00457B0E" w:rsidRPr="00457B0E" w:rsidRDefault="00457B0E" w:rsidP="00457B0E"/>
    <w:p w:rsidR="00457B0E" w:rsidRPr="00457B0E" w:rsidRDefault="00457B0E" w:rsidP="00457B0E">
      <w:r w:rsidRPr="00457B0E">
        <w:t>Drikkevand må</w:t>
      </w:r>
      <w:r w:rsidRPr="00457B0E">
        <w:rPr>
          <w:vertAlign w:val="superscript"/>
        </w:rPr>
        <w:footnoteReference w:id="4"/>
      </w:r>
      <w:r w:rsidRPr="00457B0E">
        <w:t xml:space="preserve"> indeholde op til 5 µg/l. Sydkystens renseanlæg modtager årligt ca. 2.300.000 m</w:t>
      </w:r>
      <w:r w:rsidRPr="00457B0E">
        <w:rPr>
          <w:vertAlign w:val="superscript"/>
        </w:rPr>
        <w:t>3</w:t>
      </w:r>
      <w:r w:rsidRPr="00457B0E">
        <w:t xml:space="preserve"> spildevand. Hvis vi antager at spildevandet fra alle andre kilder indeholder 5 µg/l, og spildevandet fra din virksomhed og </w:t>
      </w:r>
      <w:r w:rsidR="000F4EB3">
        <w:t xml:space="preserve">Elplatek </w:t>
      </w:r>
      <w:r w:rsidRPr="00457B0E">
        <w:t xml:space="preserve">indeholder </w:t>
      </w:r>
      <w:r w:rsidRPr="00457B0E">
        <w:rPr>
          <w:u w:val="single"/>
        </w:rPr>
        <w:t>50 µg/l</w:t>
      </w:r>
      <w:r w:rsidRPr="00457B0E">
        <w:t>, kan renseanlæggets udløb stadig overholde grænsen på 5,6 µg/l.</w:t>
      </w:r>
    </w:p>
    <w:p w:rsidR="00457B0E" w:rsidRPr="00457B0E" w:rsidRDefault="00457B0E" w:rsidP="00457B0E"/>
    <w:p w:rsidR="00457B0E" w:rsidRDefault="00457B0E" w:rsidP="00457B0E">
      <w:r w:rsidRPr="00457B0E">
        <w:t>Kommunen vurderer derfor, at vi godt kan lempe grænsen for kobolt, som du søgte.</w:t>
      </w:r>
    </w:p>
    <w:p w:rsidR="003E6B87" w:rsidRDefault="003E6B87" w:rsidP="00457B0E"/>
    <w:p w:rsidR="003E6B87" w:rsidRPr="003E6B87" w:rsidRDefault="003E6B87" w:rsidP="00457B0E">
      <w:pPr>
        <w:rPr>
          <w:u w:val="single"/>
        </w:rPr>
      </w:pPr>
      <w:r>
        <w:rPr>
          <w:u w:val="single"/>
        </w:rPr>
        <w:t>Andre forhold</w:t>
      </w:r>
    </w:p>
    <w:p w:rsidR="003E6B87" w:rsidRPr="003E6B87" w:rsidRDefault="003E6B87" w:rsidP="00457B0E">
      <w:r>
        <w:t>Virksomheden har siden 2008 overholdt grænsen for temperatur på 35</w:t>
      </w:r>
      <w:r>
        <w:rPr>
          <w:vertAlign w:val="superscript"/>
        </w:rPr>
        <w:t>0</w:t>
      </w:r>
      <w:r>
        <w:t>C, grænsen for bundfældelige stoffer på 10 ml/l og grænsen for mineralsk olie med god margen. Kommunen benytter derfor lejligheden til at slette disse grænser.</w:t>
      </w:r>
    </w:p>
    <w:p w:rsidR="00457B0E" w:rsidRPr="00457B0E" w:rsidRDefault="00457B0E" w:rsidP="00457B0E"/>
    <w:p w:rsidR="00457B0E" w:rsidRPr="00457B0E" w:rsidRDefault="00457B0E" w:rsidP="00457B0E">
      <w:pPr>
        <w:rPr>
          <w:b/>
        </w:rPr>
      </w:pPr>
      <w:r w:rsidRPr="00457B0E">
        <w:rPr>
          <w:b/>
        </w:rPr>
        <w:t>Kommunens afgørelse</w:t>
      </w:r>
    </w:p>
    <w:p w:rsidR="00457B0E" w:rsidRPr="00457B0E" w:rsidRDefault="00457B0E" w:rsidP="00457B0E">
      <w:r w:rsidRPr="00457B0E">
        <w:t xml:space="preserve">Med hjemmel i miljøbeskyttelsesloven §30 ændrer Helsingør Kommune vilkår </w:t>
      </w:r>
      <w:r w:rsidR="000A0D08">
        <w:t>20 b af 5. april 2011</w:t>
      </w:r>
      <w:r w:rsidRPr="00457B0E">
        <w:t xml:space="preserve"> i miljøgodkendelsen til nyt vilkår </w:t>
      </w:r>
      <w:r w:rsidR="000A0D08">
        <w:t>20c</w:t>
      </w:r>
      <w:r w:rsidRPr="00457B0E">
        <w:t>:</w:t>
      </w:r>
    </w:p>
    <w:p w:rsidR="00457B0E" w:rsidRPr="00457B0E" w:rsidRDefault="00457B0E" w:rsidP="00457B0E"/>
    <w:p w:rsidR="00457B0E" w:rsidRPr="00457B0E" w:rsidRDefault="000A0D08" w:rsidP="00457B0E">
      <w:r>
        <w:t xml:space="preserve">Vilkår 20b </w:t>
      </w:r>
      <w:r w:rsidR="00457B0E" w:rsidRPr="00457B0E">
        <w:t>udgår.</w:t>
      </w:r>
    </w:p>
    <w:p w:rsidR="00457B0E" w:rsidRPr="00457B0E" w:rsidRDefault="00457B0E" w:rsidP="00457B0E"/>
    <w:p w:rsidR="00457B0E" w:rsidRPr="00457B0E" w:rsidRDefault="000A0D08" w:rsidP="000A0D08">
      <w:pPr>
        <w:ind w:left="1304" w:hanging="1304"/>
        <w:rPr>
          <w:u w:val="single"/>
          <w:lang w:bidi="da-DK"/>
        </w:rPr>
      </w:pPr>
      <w:r>
        <w:rPr>
          <w:lang w:bidi="da-DK"/>
        </w:rPr>
        <w:t>20c</w:t>
      </w:r>
      <w:r w:rsidR="00457B0E" w:rsidRPr="00457B0E">
        <w:rPr>
          <w:lang w:bidi="da-DK"/>
        </w:rPr>
        <w:t>.</w:t>
      </w:r>
      <w:r w:rsidR="00457B0E" w:rsidRPr="00457B0E">
        <w:rPr>
          <w:lang w:bidi="da-DK"/>
        </w:rPr>
        <w:tab/>
        <w:t>Processpildevandet skal overholde følgende grænser inden sammenblanding med andet spildevand og inden udledning til offentlig kloak:</w:t>
      </w:r>
    </w:p>
    <w:tbl>
      <w:tblPr>
        <w:tblStyle w:val="Tabel-Gitter"/>
        <w:tblW w:w="0" w:type="auto"/>
        <w:tblInd w:w="1384" w:type="dxa"/>
        <w:tblLayout w:type="fixed"/>
        <w:tblLook w:val="01E0" w:firstRow="1" w:lastRow="1" w:firstColumn="1" w:lastColumn="1" w:noHBand="0" w:noVBand="0"/>
      </w:tblPr>
      <w:tblGrid>
        <w:gridCol w:w="2552"/>
        <w:gridCol w:w="2078"/>
        <w:gridCol w:w="2316"/>
      </w:tblGrid>
      <w:tr w:rsidR="00457B0E" w:rsidRPr="00457B0E" w:rsidTr="00C22F62">
        <w:tc>
          <w:tcPr>
            <w:tcW w:w="2552" w:type="dxa"/>
            <w:tcBorders>
              <w:top w:val="single" w:sz="12" w:space="0" w:color="auto"/>
              <w:left w:val="single" w:sz="12" w:space="0" w:color="auto"/>
              <w:bottom w:val="single" w:sz="12" w:space="0" w:color="auto"/>
            </w:tcBorders>
          </w:tcPr>
          <w:p w:rsidR="00457B0E" w:rsidRPr="00457B0E" w:rsidRDefault="00457B0E" w:rsidP="00457B0E">
            <w:pPr>
              <w:rPr>
                <w:b/>
                <w:lang w:bidi="da-DK"/>
              </w:rPr>
            </w:pPr>
            <w:r w:rsidRPr="00457B0E">
              <w:rPr>
                <w:b/>
                <w:lang w:bidi="da-DK"/>
              </w:rPr>
              <w:t>Parameter</w:t>
            </w:r>
          </w:p>
        </w:tc>
        <w:tc>
          <w:tcPr>
            <w:tcW w:w="2078" w:type="dxa"/>
            <w:tcBorders>
              <w:top w:val="single" w:sz="12" w:space="0" w:color="auto"/>
              <w:bottom w:val="single" w:sz="12" w:space="0" w:color="auto"/>
              <w:right w:val="single" w:sz="2" w:space="0" w:color="auto"/>
            </w:tcBorders>
          </w:tcPr>
          <w:p w:rsidR="00457B0E" w:rsidRPr="00457B0E" w:rsidRDefault="00457B0E" w:rsidP="00457B0E">
            <w:pPr>
              <w:rPr>
                <w:b/>
                <w:lang w:bidi="da-DK"/>
              </w:rPr>
            </w:pPr>
            <w:r w:rsidRPr="00457B0E">
              <w:rPr>
                <w:b/>
                <w:lang w:bidi="da-DK"/>
              </w:rPr>
              <w:t>Grænse,</w:t>
            </w:r>
          </w:p>
          <w:p w:rsidR="00457B0E" w:rsidRPr="00457B0E" w:rsidRDefault="00457B0E" w:rsidP="00457B0E">
            <w:pPr>
              <w:rPr>
                <w:b/>
                <w:lang w:bidi="da-DK"/>
              </w:rPr>
            </w:pPr>
            <w:r w:rsidRPr="00457B0E">
              <w:rPr>
                <w:b/>
                <w:lang w:bidi="da-DK"/>
              </w:rPr>
              <w:t>mg/l</w:t>
            </w:r>
          </w:p>
        </w:tc>
        <w:tc>
          <w:tcPr>
            <w:tcW w:w="2316" w:type="dxa"/>
            <w:tcBorders>
              <w:top w:val="single" w:sz="12" w:space="0" w:color="auto"/>
              <w:left w:val="single" w:sz="2" w:space="0" w:color="auto"/>
              <w:bottom w:val="single" w:sz="12" w:space="0" w:color="auto"/>
              <w:right w:val="single" w:sz="12" w:space="0" w:color="auto"/>
            </w:tcBorders>
          </w:tcPr>
          <w:p w:rsidR="00457B0E" w:rsidRPr="00457B0E" w:rsidRDefault="00457B0E" w:rsidP="00457B0E">
            <w:pPr>
              <w:rPr>
                <w:b/>
                <w:lang w:bidi="da-DK"/>
              </w:rPr>
            </w:pPr>
            <w:r w:rsidRPr="00457B0E">
              <w:rPr>
                <w:b/>
                <w:lang w:bidi="da-DK"/>
              </w:rPr>
              <w:t>Kontrolregel</w:t>
            </w:r>
          </w:p>
        </w:tc>
      </w:tr>
      <w:tr w:rsidR="00457B0E" w:rsidRPr="00457B0E" w:rsidTr="00C22F62">
        <w:tc>
          <w:tcPr>
            <w:tcW w:w="2552" w:type="dxa"/>
            <w:tcBorders>
              <w:top w:val="single" w:sz="12" w:space="0" w:color="auto"/>
              <w:left w:val="single" w:sz="12" w:space="0" w:color="auto"/>
            </w:tcBorders>
          </w:tcPr>
          <w:p w:rsidR="00457B0E" w:rsidRPr="00457B0E" w:rsidRDefault="00457B0E" w:rsidP="00457B0E">
            <w:pPr>
              <w:rPr>
                <w:lang w:bidi="da-DK"/>
              </w:rPr>
            </w:pPr>
            <w:r w:rsidRPr="00457B0E">
              <w:rPr>
                <w:lang w:bidi="da-DK"/>
              </w:rPr>
              <w:t>Krom, total</w:t>
            </w:r>
          </w:p>
        </w:tc>
        <w:tc>
          <w:tcPr>
            <w:tcW w:w="2078" w:type="dxa"/>
            <w:tcBorders>
              <w:top w:val="single" w:sz="12" w:space="0" w:color="auto"/>
              <w:right w:val="single" w:sz="2" w:space="0" w:color="auto"/>
            </w:tcBorders>
          </w:tcPr>
          <w:p w:rsidR="00457B0E" w:rsidRPr="00457B0E" w:rsidRDefault="00457B0E" w:rsidP="00457B0E">
            <w:pPr>
              <w:rPr>
                <w:lang w:bidi="da-DK"/>
              </w:rPr>
            </w:pPr>
            <w:r w:rsidRPr="00457B0E">
              <w:rPr>
                <w:lang w:bidi="da-DK"/>
              </w:rPr>
              <w:t>0,3</w:t>
            </w:r>
          </w:p>
        </w:tc>
        <w:tc>
          <w:tcPr>
            <w:tcW w:w="2316" w:type="dxa"/>
            <w:tcBorders>
              <w:top w:val="single" w:sz="12" w:space="0" w:color="auto"/>
              <w:left w:val="single" w:sz="2" w:space="0" w:color="auto"/>
              <w:right w:val="single" w:sz="12" w:space="0" w:color="auto"/>
            </w:tcBorders>
          </w:tcPr>
          <w:p w:rsidR="00457B0E" w:rsidRPr="00457B0E" w:rsidRDefault="00457B0E" w:rsidP="00457B0E">
            <w:pPr>
              <w:rPr>
                <w:lang w:bidi="da-DK"/>
              </w:rPr>
            </w:pPr>
            <w:r w:rsidRPr="00457B0E">
              <w:rPr>
                <w:lang w:bidi="da-DK"/>
              </w:rPr>
              <w:t>Transportkontrol</w:t>
            </w:r>
          </w:p>
        </w:tc>
      </w:tr>
      <w:tr w:rsidR="00457B0E" w:rsidRPr="00457B0E" w:rsidTr="00C22F62">
        <w:tc>
          <w:tcPr>
            <w:tcW w:w="2552" w:type="dxa"/>
            <w:tcBorders>
              <w:left w:val="single" w:sz="12" w:space="0" w:color="auto"/>
            </w:tcBorders>
          </w:tcPr>
          <w:p w:rsidR="00457B0E" w:rsidRPr="00457B0E" w:rsidRDefault="00457B0E" w:rsidP="00457B0E">
            <w:pPr>
              <w:rPr>
                <w:lang w:bidi="da-DK"/>
              </w:rPr>
            </w:pPr>
            <w:r w:rsidRPr="00457B0E">
              <w:rPr>
                <w:lang w:bidi="da-DK"/>
              </w:rPr>
              <w:t>Krom (VI)</w:t>
            </w:r>
          </w:p>
        </w:tc>
        <w:tc>
          <w:tcPr>
            <w:tcW w:w="2078" w:type="dxa"/>
            <w:tcBorders>
              <w:right w:val="single" w:sz="2" w:space="0" w:color="auto"/>
            </w:tcBorders>
          </w:tcPr>
          <w:p w:rsidR="00457B0E" w:rsidRPr="00457B0E" w:rsidRDefault="00457B0E" w:rsidP="00457B0E">
            <w:pPr>
              <w:rPr>
                <w:lang w:bidi="da-DK"/>
              </w:rPr>
            </w:pPr>
            <w:r w:rsidRPr="00457B0E">
              <w:rPr>
                <w:lang w:bidi="da-DK"/>
              </w:rPr>
              <w:t>0,1</w:t>
            </w:r>
          </w:p>
        </w:tc>
        <w:tc>
          <w:tcPr>
            <w:tcW w:w="2316" w:type="dxa"/>
            <w:tcBorders>
              <w:left w:val="single" w:sz="2" w:space="0" w:color="auto"/>
              <w:right w:val="single" w:sz="12" w:space="0" w:color="auto"/>
            </w:tcBorders>
          </w:tcPr>
          <w:p w:rsidR="00457B0E" w:rsidRPr="00457B0E" w:rsidRDefault="00457B0E" w:rsidP="00457B0E">
            <w:pPr>
              <w:rPr>
                <w:lang w:bidi="da-DK"/>
              </w:rPr>
            </w:pPr>
            <w:r w:rsidRPr="00457B0E">
              <w:rPr>
                <w:lang w:bidi="da-DK"/>
              </w:rPr>
              <w:t>Absolutkontrol</w:t>
            </w:r>
          </w:p>
        </w:tc>
      </w:tr>
      <w:tr w:rsidR="00457B0E" w:rsidRPr="00457B0E" w:rsidTr="00C22F62">
        <w:tc>
          <w:tcPr>
            <w:tcW w:w="2552" w:type="dxa"/>
            <w:tcBorders>
              <w:left w:val="single" w:sz="12" w:space="0" w:color="auto"/>
            </w:tcBorders>
          </w:tcPr>
          <w:p w:rsidR="00457B0E" w:rsidRPr="00457B0E" w:rsidRDefault="00457B0E" w:rsidP="00457B0E">
            <w:pPr>
              <w:rPr>
                <w:lang w:bidi="da-DK"/>
              </w:rPr>
            </w:pPr>
            <w:r w:rsidRPr="00457B0E">
              <w:rPr>
                <w:lang w:bidi="da-DK"/>
              </w:rPr>
              <w:t>Kobber</w:t>
            </w:r>
          </w:p>
        </w:tc>
        <w:tc>
          <w:tcPr>
            <w:tcW w:w="2078" w:type="dxa"/>
            <w:tcBorders>
              <w:right w:val="single" w:sz="2" w:space="0" w:color="auto"/>
            </w:tcBorders>
          </w:tcPr>
          <w:p w:rsidR="00457B0E" w:rsidRPr="00457B0E" w:rsidRDefault="00457B0E" w:rsidP="00457B0E">
            <w:pPr>
              <w:rPr>
                <w:lang w:bidi="da-DK"/>
              </w:rPr>
            </w:pPr>
            <w:r w:rsidRPr="00457B0E">
              <w:rPr>
                <w:lang w:bidi="da-DK"/>
              </w:rPr>
              <w:t>0,1</w:t>
            </w:r>
          </w:p>
        </w:tc>
        <w:tc>
          <w:tcPr>
            <w:tcW w:w="2316" w:type="dxa"/>
            <w:tcBorders>
              <w:left w:val="single" w:sz="2" w:space="0" w:color="auto"/>
              <w:right w:val="single" w:sz="12" w:space="0" w:color="auto"/>
            </w:tcBorders>
          </w:tcPr>
          <w:p w:rsidR="00457B0E" w:rsidRPr="00457B0E" w:rsidRDefault="00457B0E" w:rsidP="00457B0E">
            <w:pPr>
              <w:rPr>
                <w:lang w:val="en-US"/>
              </w:rPr>
            </w:pPr>
            <w:r w:rsidRPr="00457B0E">
              <w:rPr>
                <w:lang w:bidi="da-DK"/>
              </w:rPr>
              <w:t>Transportkontrol</w:t>
            </w:r>
          </w:p>
        </w:tc>
      </w:tr>
      <w:tr w:rsidR="00457B0E" w:rsidRPr="00457B0E" w:rsidTr="00C22F62">
        <w:tc>
          <w:tcPr>
            <w:tcW w:w="2552" w:type="dxa"/>
            <w:tcBorders>
              <w:left w:val="single" w:sz="12" w:space="0" w:color="auto"/>
            </w:tcBorders>
          </w:tcPr>
          <w:p w:rsidR="00457B0E" w:rsidRPr="00457B0E" w:rsidRDefault="00457B0E" w:rsidP="00457B0E">
            <w:pPr>
              <w:rPr>
                <w:lang w:bidi="da-DK"/>
              </w:rPr>
            </w:pPr>
            <w:r w:rsidRPr="00457B0E">
              <w:rPr>
                <w:lang w:bidi="da-DK"/>
              </w:rPr>
              <w:t>Kobolt</w:t>
            </w:r>
          </w:p>
        </w:tc>
        <w:tc>
          <w:tcPr>
            <w:tcW w:w="2078" w:type="dxa"/>
            <w:tcBorders>
              <w:right w:val="single" w:sz="2" w:space="0" w:color="auto"/>
            </w:tcBorders>
          </w:tcPr>
          <w:p w:rsidR="00457B0E" w:rsidRPr="00457B0E" w:rsidRDefault="00457B0E" w:rsidP="000A0D08">
            <w:pPr>
              <w:rPr>
                <w:lang w:bidi="da-DK"/>
              </w:rPr>
            </w:pPr>
            <w:r w:rsidRPr="00457B0E">
              <w:rPr>
                <w:lang w:bidi="da-DK"/>
              </w:rPr>
              <w:t>0,</w:t>
            </w:r>
            <w:r w:rsidR="000A0D08">
              <w:rPr>
                <w:lang w:bidi="da-DK"/>
              </w:rPr>
              <w:t>0</w:t>
            </w:r>
            <w:r w:rsidRPr="00457B0E">
              <w:rPr>
                <w:lang w:bidi="da-DK"/>
              </w:rPr>
              <w:t>5</w:t>
            </w:r>
          </w:p>
        </w:tc>
        <w:tc>
          <w:tcPr>
            <w:tcW w:w="2316" w:type="dxa"/>
            <w:tcBorders>
              <w:left w:val="single" w:sz="2" w:space="0" w:color="auto"/>
              <w:right w:val="single" w:sz="12" w:space="0" w:color="auto"/>
            </w:tcBorders>
          </w:tcPr>
          <w:p w:rsidR="00457B0E" w:rsidRPr="00457B0E" w:rsidRDefault="00457B0E" w:rsidP="00457B0E">
            <w:pPr>
              <w:rPr>
                <w:lang w:bidi="da-DK"/>
              </w:rPr>
            </w:pPr>
            <w:r w:rsidRPr="00457B0E">
              <w:rPr>
                <w:lang w:bidi="da-DK"/>
              </w:rPr>
              <w:t>Transportkontrol</w:t>
            </w:r>
          </w:p>
        </w:tc>
      </w:tr>
      <w:tr w:rsidR="00457B0E" w:rsidRPr="00457B0E" w:rsidTr="00C22F62">
        <w:tc>
          <w:tcPr>
            <w:tcW w:w="2552" w:type="dxa"/>
            <w:tcBorders>
              <w:left w:val="single" w:sz="12" w:space="0" w:color="auto"/>
            </w:tcBorders>
          </w:tcPr>
          <w:p w:rsidR="00457B0E" w:rsidRPr="00457B0E" w:rsidRDefault="00457B0E" w:rsidP="00457B0E">
            <w:pPr>
              <w:rPr>
                <w:lang w:bidi="da-DK"/>
              </w:rPr>
            </w:pPr>
            <w:r w:rsidRPr="00457B0E">
              <w:rPr>
                <w:lang w:bidi="da-DK"/>
              </w:rPr>
              <w:t>Nikkel</w:t>
            </w:r>
          </w:p>
        </w:tc>
        <w:tc>
          <w:tcPr>
            <w:tcW w:w="2078" w:type="dxa"/>
            <w:tcBorders>
              <w:right w:val="single" w:sz="2" w:space="0" w:color="auto"/>
            </w:tcBorders>
          </w:tcPr>
          <w:p w:rsidR="00457B0E" w:rsidRPr="00457B0E" w:rsidRDefault="00457B0E" w:rsidP="00457B0E">
            <w:pPr>
              <w:rPr>
                <w:lang w:bidi="da-DK"/>
              </w:rPr>
            </w:pPr>
            <w:r w:rsidRPr="00457B0E">
              <w:rPr>
                <w:lang w:bidi="da-DK"/>
              </w:rPr>
              <w:t>0,25</w:t>
            </w:r>
          </w:p>
        </w:tc>
        <w:tc>
          <w:tcPr>
            <w:tcW w:w="2316" w:type="dxa"/>
            <w:tcBorders>
              <w:left w:val="single" w:sz="2" w:space="0" w:color="auto"/>
              <w:right w:val="single" w:sz="12" w:space="0" w:color="auto"/>
            </w:tcBorders>
          </w:tcPr>
          <w:p w:rsidR="00457B0E" w:rsidRPr="00457B0E" w:rsidRDefault="00457B0E" w:rsidP="00457B0E">
            <w:pPr>
              <w:rPr>
                <w:lang w:bidi="da-DK"/>
              </w:rPr>
            </w:pPr>
            <w:r w:rsidRPr="00457B0E">
              <w:rPr>
                <w:lang w:bidi="da-DK"/>
              </w:rPr>
              <w:t>Transportkontrol</w:t>
            </w:r>
          </w:p>
        </w:tc>
      </w:tr>
      <w:tr w:rsidR="00457B0E" w:rsidRPr="00457B0E" w:rsidTr="00C22F62">
        <w:tc>
          <w:tcPr>
            <w:tcW w:w="2552" w:type="dxa"/>
            <w:tcBorders>
              <w:left w:val="single" w:sz="12" w:space="0" w:color="auto"/>
            </w:tcBorders>
          </w:tcPr>
          <w:p w:rsidR="00457B0E" w:rsidRPr="00457B0E" w:rsidRDefault="00457B0E" w:rsidP="00457B0E">
            <w:pPr>
              <w:rPr>
                <w:lang w:bidi="da-DK"/>
              </w:rPr>
            </w:pPr>
            <w:r w:rsidRPr="00457B0E">
              <w:rPr>
                <w:lang w:bidi="da-DK"/>
              </w:rPr>
              <w:t>Sølv</w:t>
            </w:r>
          </w:p>
        </w:tc>
        <w:tc>
          <w:tcPr>
            <w:tcW w:w="2078" w:type="dxa"/>
            <w:tcBorders>
              <w:right w:val="single" w:sz="2" w:space="0" w:color="auto"/>
            </w:tcBorders>
          </w:tcPr>
          <w:p w:rsidR="00457B0E" w:rsidRPr="00457B0E" w:rsidRDefault="00457B0E" w:rsidP="00457B0E">
            <w:pPr>
              <w:rPr>
                <w:lang w:bidi="da-DK"/>
              </w:rPr>
            </w:pPr>
            <w:r w:rsidRPr="00457B0E">
              <w:rPr>
                <w:lang w:bidi="da-DK"/>
              </w:rPr>
              <w:t>0,25</w:t>
            </w:r>
          </w:p>
        </w:tc>
        <w:tc>
          <w:tcPr>
            <w:tcW w:w="2316" w:type="dxa"/>
            <w:tcBorders>
              <w:left w:val="single" w:sz="2" w:space="0" w:color="auto"/>
              <w:right w:val="single" w:sz="12" w:space="0" w:color="auto"/>
            </w:tcBorders>
          </w:tcPr>
          <w:p w:rsidR="00457B0E" w:rsidRPr="00457B0E" w:rsidRDefault="00457B0E" w:rsidP="00457B0E">
            <w:pPr>
              <w:rPr>
                <w:lang w:bidi="da-DK"/>
              </w:rPr>
            </w:pPr>
            <w:r w:rsidRPr="00457B0E">
              <w:rPr>
                <w:lang w:bidi="da-DK"/>
              </w:rPr>
              <w:t>Transportkontrol</w:t>
            </w:r>
          </w:p>
        </w:tc>
      </w:tr>
      <w:tr w:rsidR="00457B0E" w:rsidRPr="00457B0E" w:rsidTr="00C22F62">
        <w:tc>
          <w:tcPr>
            <w:tcW w:w="2552" w:type="dxa"/>
            <w:tcBorders>
              <w:left w:val="single" w:sz="12" w:space="0" w:color="auto"/>
            </w:tcBorders>
          </w:tcPr>
          <w:p w:rsidR="00457B0E" w:rsidRPr="00457B0E" w:rsidRDefault="00457B0E" w:rsidP="00457B0E">
            <w:pPr>
              <w:rPr>
                <w:lang w:bidi="da-DK"/>
              </w:rPr>
            </w:pPr>
            <w:r w:rsidRPr="00457B0E">
              <w:rPr>
                <w:lang w:bidi="da-DK"/>
              </w:rPr>
              <w:t>Tin</w:t>
            </w:r>
          </w:p>
        </w:tc>
        <w:tc>
          <w:tcPr>
            <w:tcW w:w="2078" w:type="dxa"/>
            <w:tcBorders>
              <w:right w:val="single" w:sz="2" w:space="0" w:color="auto"/>
            </w:tcBorders>
          </w:tcPr>
          <w:p w:rsidR="00457B0E" w:rsidRPr="00457B0E" w:rsidRDefault="00457B0E" w:rsidP="00457B0E">
            <w:pPr>
              <w:rPr>
                <w:lang w:bidi="da-DK"/>
              </w:rPr>
            </w:pPr>
            <w:r w:rsidRPr="00457B0E">
              <w:rPr>
                <w:lang w:bidi="da-DK"/>
              </w:rPr>
              <w:t>0,06</w:t>
            </w:r>
          </w:p>
        </w:tc>
        <w:tc>
          <w:tcPr>
            <w:tcW w:w="2316" w:type="dxa"/>
            <w:tcBorders>
              <w:left w:val="single" w:sz="2" w:space="0" w:color="auto"/>
              <w:right w:val="single" w:sz="12" w:space="0" w:color="auto"/>
            </w:tcBorders>
          </w:tcPr>
          <w:p w:rsidR="00457B0E" w:rsidRPr="00457B0E" w:rsidRDefault="00457B0E" w:rsidP="00457B0E">
            <w:pPr>
              <w:rPr>
                <w:lang w:bidi="da-DK"/>
              </w:rPr>
            </w:pPr>
            <w:r w:rsidRPr="00457B0E">
              <w:rPr>
                <w:lang w:bidi="da-DK"/>
              </w:rPr>
              <w:t>Transportkontrol</w:t>
            </w:r>
          </w:p>
        </w:tc>
      </w:tr>
      <w:tr w:rsidR="00457B0E" w:rsidRPr="00457B0E" w:rsidTr="00C22F62">
        <w:tc>
          <w:tcPr>
            <w:tcW w:w="2552" w:type="dxa"/>
            <w:tcBorders>
              <w:left w:val="single" w:sz="12" w:space="0" w:color="auto"/>
            </w:tcBorders>
          </w:tcPr>
          <w:p w:rsidR="00457B0E" w:rsidRPr="00457B0E" w:rsidRDefault="00457B0E" w:rsidP="00457B0E">
            <w:pPr>
              <w:rPr>
                <w:lang w:bidi="da-DK"/>
              </w:rPr>
            </w:pPr>
            <w:r w:rsidRPr="00457B0E">
              <w:rPr>
                <w:lang w:bidi="da-DK"/>
              </w:rPr>
              <w:t>Zink</w:t>
            </w:r>
          </w:p>
        </w:tc>
        <w:tc>
          <w:tcPr>
            <w:tcW w:w="2078" w:type="dxa"/>
            <w:tcBorders>
              <w:right w:val="single" w:sz="2" w:space="0" w:color="auto"/>
            </w:tcBorders>
          </w:tcPr>
          <w:p w:rsidR="00457B0E" w:rsidRPr="00457B0E" w:rsidRDefault="00457B0E" w:rsidP="00457B0E">
            <w:pPr>
              <w:rPr>
                <w:lang w:bidi="da-DK"/>
              </w:rPr>
            </w:pPr>
            <w:r w:rsidRPr="00457B0E">
              <w:rPr>
                <w:lang w:bidi="da-DK"/>
              </w:rPr>
              <w:t>3</w:t>
            </w:r>
          </w:p>
        </w:tc>
        <w:tc>
          <w:tcPr>
            <w:tcW w:w="2316" w:type="dxa"/>
            <w:tcBorders>
              <w:left w:val="single" w:sz="2" w:space="0" w:color="auto"/>
              <w:right w:val="single" w:sz="12" w:space="0" w:color="auto"/>
            </w:tcBorders>
          </w:tcPr>
          <w:p w:rsidR="00457B0E" w:rsidRPr="00457B0E" w:rsidRDefault="00457B0E" w:rsidP="00457B0E">
            <w:pPr>
              <w:rPr>
                <w:lang w:bidi="da-DK"/>
              </w:rPr>
            </w:pPr>
            <w:r w:rsidRPr="00457B0E">
              <w:rPr>
                <w:lang w:bidi="da-DK"/>
              </w:rPr>
              <w:t>Transportkontrol</w:t>
            </w:r>
          </w:p>
        </w:tc>
      </w:tr>
      <w:tr w:rsidR="00457B0E" w:rsidRPr="00457B0E" w:rsidTr="00C22F62">
        <w:tc>
          <w:tcPr>
            <w:tcW w:w="2552" w:type="dxa"/>
            <w:tcBorders>
              <w:left w:val="single" w:sz="12" w:space="0" w:color="auto"/>
            </w:tcBorders>
          </w:tcPr>
          <w:p w:rsidR="00457B0E" w:rsidRPr="00457B0E" w:rsidRDefault="00457B0E" w:rsidP="00457B0E">
            <w:pPr>
              <w:rPr>
                <w:lang w:bidi="da-DK"/>
              </w:rPr>
            </w:pPr>
            <w:r w:rsidRPr="00457B0E">
              <w:rPr>
                <w:lang w:bidi="da-DK"/>
              </w:rPr>
              <w:t>Cyanider</w:t>
            </w:r>
          </w:p>
        </w:tc>
        <w:tc>
          <w:tcPr>
            <w:tcW w:w="2078" w:type="dxa"/>
            <w:tcBorders>
              <w:right w:val="single" w:sz="2" w:space="0" w:color="auto"/>
            </w:tcBorders>
          </w:tcPr>
          <w:p w:rsidR="00457B0E" w:rsidRPr="00457B0E" w:rsidRDefault="00457B0E" w:rsidP="00457B0E">
            <w:pPr>
              <w:rPr>
                <w:lang w:bidi="da-DK"/>
              </w:rPr>
            </w:pPr>
            <w:r w:rsidRPr="00457B0E">
              <w:rPr>
                <w:lang w:bidi="da-DK"/>
              </w:rPr>
              <w:t>1</w:t>
            </w:r>
          </w:p>
        </w:tc>
        <w:tc>
          <w:tcPr>
            <w:tcW w:w="2316" w:type="dxa"/>
            <w:tcBorders>
              <w:left w:val="single" w:sz="2" w:space="0" w:color="auto"/>
              <w:right w:val="single" w:sz="12" w:space="0" w:color="auto"/>
            </w:tcBorders>
          </w:tcPr>
          <w:p w:rsidR="00457B0E" w:rsidRPr="00457B0E" w:rsidRDefault="00457B0E" w:rsidP="00457B0E">
            <w:pPr>
              <w:rPr>
                <w:lang w:bidi="da-DK"/>
              </w:rPr>
            </w:pPr>
            <w:r w:rsidRPr="00457B0E">
              <w:rPr>
                <w:lang w:bidi="da-DK"/>
              </w:rPr>
              <w:t>Transportkontrol</w:t>
            </w:r>
          </w:p>
        </w:tc>
      </w:tr>
      <w:tr w:rsidR="00457B0E" w:rsidRPr="00457B0E" w:rsidTr="00C22F62">
        <w:tc>
          <w:tcPr>
            <w:tcW w:w="2552" w:type="dxa"/>
            <w:tcBorders>
              <w:left w:val="single" w:sz="12" w:space="0" w:color="auto"/>
            </w:tcBorders>
          </w:tcPr>
          <w:p w:rsidR="00457B0E" w:rsidRPr="00457B0E" w:rsidRDefault="00457B0E" w:rsidP="00457B0E">
            <w:pPr>
              <w:rPr>
                <w:lang w:bidi="da-DK"/>
              </w:rPr>
            </w:pPr>
            <w:r w:rsidRPr="00457B0E">
              <w:rPr>
                <w:lang w:bidi="da-DK"/>
              </w:rPr>
              <w:t>pH</w:t>
            </w:r>
          </w:p>
        </w:tc>
        <w:tc>
          <w:tcPr>
            <w:tcW w:w="2078" w:type="dxa"/>
            <w:tcBorders>
              <w:right w:val="single" w:sz="2" w:space="0" w:color="auto"/>
            </w:tcBorders>
          </w:tcPr>
          <w:p w:rsidR="00457B0E" w:rsidRPr="00457B0E" w:rsidRDefault="00457B0E" w:rsidP="00457B0E">
            <w:pPr>
              <w:rPr>
                <w:lang w:bidi="da-DK"/>
              </w:rPr>
            </w:pPr>
            <w:r w:rsidRPr="00457B0E">
              <w:rPr>
                <w:lang w:bidi="da-DK"/>
              </w:rPr>
              <w:t>6,5–9,0</w:t>
            </w:r>
          </w:p>
        </w:tc>
        <w:tc>
          <w:tcPr>
            <w:tcW w:w="2316" w:type="dxa"/>
            <w:tcBorders>
              <w:left w:val="single" w:sz="2" w:space="0" w:color="auto"/>
              <w:right w:val="single" w:sz="12" w:space="0" w:color="auto"/>
            </w:tcBorders>
          </w:tcPr>
          <w:p w:rsidR="00457B0E" w:rsidRPr="00457B0E" w:rsidRDefault="00457B0E" w:rsidP="00457B0E">
            <w:pPr>
              <w:rPr>
                <w:lang w:val="en-US"/>
              </w:rPr>
            </w:pPr>
            <w:r w:rsidRPr="00457B0E">
              <w:rPr>
                <w:lang w:bidi="da-DK"/>
              </w:rPr>
              <w:t>Absolutkontrol</w:t>
            </w:r>
          </w:p>
        </w:tc>
      </w:tr>
      <w:tr w:rsidR="00457B0E" w:rsidRPr="00457B0E" w:rsidTr="00C22F62">
        <w:tc>
          <w:tcPr>
            <w:tcW w:w="2552" w:type="dxa"/>
            <w:tcBorders>
              <w:left w:val="single" w:sz="12" w:space="0" w:color="auto"/>
              <w:bottom w:val="single" w:sz="12" w:space="0" w:color="auto"/>
            </w:tcBorders>
          </w:tcPr>
          <w:p w:rsidR="00457B0E" w:rsidRPr="00457B0E" w:rsidRDefault="00457B0E" w:rsidP="00457B0E">
            <w:pPr>
              <w:rPr>
                <w:lang w:bidi="da-DK"/>
              </w:rPr>
            </w:pPr>
            <w:r w:rsidRPr="00457B0E">
              <w:rPr>
                <w:lang w:bidi="da-DK"/>
              </w:rPr>
              <w:t>Nitrifikationshæmning</w:t>
            </w:r>
          </w:p>
        </w:tc>
        <w:tc>
          <w:tcPr>
            <w:tcW w:w="2078" w:type="dxa"/>
            <w:tcBorders>
              <w:bottom w:val="single" w:sz="12" w:space="0" w:color="auto"/>
              <w:right w:val="single" w:sz="2" w:space="0" w:color="auto"/>
            </w:tcBorders>
          </w:tcPr>
          <w:p w:rsidR="00457B0E" w:rsidRPr="00457B0E" w:rsidRDefault="00457B0E" w:rsidP="00457B0E">
            <w:pPr>
              <w:rPr>
                <w:lang w:bidi="da-DK"/>
              </w:rPr>
            </w:pPr>
            <w:r w:rsidRPr="00457B0E">
              <w:rPr>
                <w:lang w:bidi="da-DK"/>
              </w:rPr>
              <w:t>50%*</w:t>
            </w:r>
          </w:p>
        </w:tc>
        <w:tc>
          <w:tcPr>
            <w:tcW w:w="2316" w:type="dxa"/>
            <w:tcBorders>
              <w:left w:val="single" w:sz="2" w:space="0" w:color="auto"/>
              <w:bottom w:val="single" w:sz="12" w:space="0" w:color="auto"/>
              <w:right w:val="single" w:sz="12" w:space="0" w:color="auto"/>
            </w:tcBorders>
          </w:tcPr>
          <w:p w:rsidR="00457B0E" w:rsidRPr="00457B0E" w:rsidRDefault="00457B0E" w:rsidP="00457B0E">
            <w:pPr>
              <w:rPr>
                <w:lang w:val="en-US"/>
              </w:rPr>
            </w:pPr>
            <w:r w:rsidRPr="00457B0E">
              <w:rPr>
                <w:lang w:bidi="da-DK"/>
              </w:rPr>
              <w:t>Absolutkontrol</w:t>
            </w:r>
          </w:p>
        </w:tc>
      </w:tr>
    </w:tbl>
    <w:p w:rsidR="00457B0E" w:rsidRPr="00457B0E" w:rsidRDefault="00457B0E" w:rsidP="00457B0E">
      <w:pPr>
        <w:rPr>
          <w:lang w:bidi="da-DK"/>
        </w:rPr>
      </w:pPr>
    </w:p>
    <w:p w:rsidR="00457B0E" w:rsidRPr="00457B0E" w:rsidRDefault="00457B0E" w:rsidP="000A0D08">
      <w:pPr>
        <w:ind w:left="1276"/>
        <w:rPr>
          <w:lang w:bidi="da-DK"/>
        </w:rPr>
      </w:pPr>
      <w:r w:rsidRPr="00457B0E">
        <w:rPr>
          <w:lang w:bidi="da-DK"/>
        </w:rPr>
        <w:t xml:space="preserve">Absolut kontrol betyder at hver prøve skal overholde grænsen. Transportkontrol betyder, at gennemsnittet af årets prøver skal </w:t>
      </w:r>
      <w:r w:rsidRPr="00457B0E">
        <w:rPr>
          <w:lang w:bidi="da-DK"/>
        </w:rPr>
        <w:lastRenderedPageBreak/>
        <w:t>overholde grænsen. Enhver prøve skal desuden overholde 2 gange grænsen for de parametre, hvor der er transportkontrol. Et år løber fra 1. j</w:t>
      </w:r>
      <w:r w:rsidR="000A0D08">
        <w:rPr>
          <w:lang w:bidi="da-DK"/>
        </w:rPr>
        <w:t>uli</w:t>
      </w:r>
      <w:r w:rsidRPr="00457B0E">
        <w:rPr>
          <w:lang w:bidi="da-DK"/>
        </w:rPr>
        <w:t xml:space="preserve"> til 3</w:t>
      </w:r>
      <w:r w:rsidR="000A0D08">
        <w:rPr>
          <w:lang w:bidi="da-DK"/>
        </w:rPr>
        <w:t>0</w:t>
      </w:r>
      <w:r w:rsidRPr="00457B0E">
        <w:rPr>
          <w:lang w:bidi="da-DK"/>
        </w:rPr>
        <w:t xml:space="preserve">. </w:t>
      </w:r>
      <w:r w:rsidR="000A0D08">
        <w:rPr>
          <w:lang w:bidi="da-DK"/>
        </w:rPr>
        <w:t>juni</w:t>
      </w:r>
      <w:r w:rsidRPr="00457B0E">
        <w:rPr>
          <w:lang w:bidi="da-DK"/>
        </w:rPr>
        <w:t xml:space="preserve">. Grænserne er overholdt, når resultatet af prøvetagning og analyse efter vilkår </w:t>
      </w:r>
      <w:r w:rsidR="000A0D08">
        <w:rPr>
          <w:lang w:bidi="da-DK"/>
        </w:rPr>
        <w:t>25</w:t>
      </w:r>
      <w:r w:rsidRPr="00457B0E">
        <w:rPr>
          <w:lang w:bidi="da-DK"/>
        </w:rPr>
        <w:t xml:space="preserve"> er mindre end eller lig med grænsen.</w:t>
      </w:r>
    </w:p>
    <w:p w:rsidR="00457B0E" w:rsidRPr="00457B0E" w:rsidRDefault="00457B0E" w:rsidP="000A0D08">
      <w:pPr>
        <w:ind w:left="1276"/>
        <w:rPr>
          <w:lang w:bidi="da-DK"/>
        </w:rPr>
      </w:pPr>
    </w:p>
    <w:p w:rsidR="00457B0E" w:rsidRPr="00457B0E" w:rsidRDefault="00457B0E" w:rsidP="000A0D08">
      <w:pPr>
        <w:ind w:left="1276"/>
        <w:rPr>
          <w:lang w:bidi="da-DK"/>
        </w:rPr>
      </w:pPr>
      <w:r w:rsidRPr="00457B0E">
        <w:rPr>
          <w:lang w:bidi="da-DK"/>
        </w:rPr>
        <w:t>*: Ved hæmning over 20% skal virksomheden oplyse kommunen hvad årsagen til den høje hæmning er og hvad virksomheden vil gøre for at bringe hæmningen ned.</w:t>
      </w:r>
    </w:p>
    <w:p w:rsidR="00457B0E" w:rsidRPr="00457B0E" w:rsidRDefault="00457B0E" w:rsidP="00457B0E">
      <w:r w:rsidRPr="00457B0E">
        <w:t xml:space="preserve"> </w:t>
      </w:r>
    </w:p>
    <w:p w:rsidR="00457B0E" w:rsidRPr="00457B0E" w:rsidRDefault="00457B0E" w:rsidP="00457B0E"/>
    <w:p w:rsidR="00457B0E" w:rsidRPr="00457B0E" w:rsidRDefault="00457B0E" w:rsidP="00457B0E">
      <w:pPr>
        <w:rPr>
          <w:b/>
        </w:rPr>
      </w:pPr>
      <w:r w:rsidRPr="00457B0E">
        <w:rPr>
          <w:b/>
        </w:rPr>
        <w:t>Klagevejledning</w:t>
      </w:r>
    </w:p>
    <w:p w:rsidR="00457B0E" w:rsidRPr="00457B0E" w:rsidRDefault="00457B0E" w:rsidP="00457B0E">
      <w:r w:rsidRPr="00457B0E">
        <w:t xml:space="preserve">I kan klage over afgørelsen. Ønsker I at klage, skal I sende klagen til Helsingør Kommune, Center for Teknik og Miljø, der sender den videre til Natur- og Miljøklagenævnet. Klagen skal være kommunen i hænde den tirsdag den </w:t>
      </w:r>
      <w:r w:rsidR="003E6B87">
        <w:t xml:space="preserve">14. august </w:t>
      </w:r>
      <w:r w:rsidRPr="00457B0E">
        <w:t xml:space="preserve">2013 for at blive behandlet. </w:t>
      </w:r>
    </w:p>
    <w:p w:rsidR="00457B0E" w:rsidRPr="00457B0E" w:rsidRDefault="00457B0E" w:rsidP="00457B0E"/>
    <w:p w:rsidR="00457B0E" w:rsidRPr="00457B0E" w:rsidRDefault="00457B0E" w:rsidP="00457B0E">
      <w:r w:rsidRPr="00457B0E">
        <w:t xml:space="preserve">Enhver med en individuel interesse i sagen kan også klage. Vi </w:t>
      </w:r>
      <w:r w:rsidR="000A0D08">
        <w:t xml:space="preserve">vurderer dog, at der ikke er nogen med en individuel interesse og </w:t>
      </w:r>
      <w:r w:rsidRPr="00457B0E">
        <w:t xml:space="preserve">sætter derfor </w:t>
      </w:r>
      <w:r w:rsidR="000A0D08">
        <w:t>ingen</w:t>
      </w:r>
      <w:r w:rsidRPr="00457B0E">
        <w:t xml:space="preserve"> annonce på vores hjemmeside om afgørelsen.</w:t>
      </w:r>
    </w:p>
    <w:p w:rsidR="00457B0E" w:rsidRPr="00457B0E" w:rsidRDefault="00457B0E" w:rsidP="00457B0E"/>
    <w:p w:rsidR="00457B0E" w:rsidRPr="00457B0E" w:rsidRDefault="00457B0E" w:rsidP="00457B0E">
      <w:r w:rsidRPr="00457B0E">
        <w:t>Visse interesseorganisationer kan også klage. Vi sender derfor kopi af afgørelsen til dem, der har ønsket det.</w:t>
      </w:r>
    </w:p>
    <w:p w:rsidR="00457B0E" w:rsidRPr="00457B0E" w:rsidRDefault="00457B0E" w:rsidP="00457B0E"/>
    <w:p w:rsidR="00457B0E" w:rsidRPr="00457B0E" w:rsidRDefault="00457B0E" w:rsidP="00457B0E">
      <w:r w:rsidRPr="00457B0E">
        <w:t>Det koster 500 kroner at få klagen behandlet, og Natur- og Miljøklagenævnet sender en opkrævning. I får pengene tilbage, hvis I får helt eller delvist medhold i klagen.</w:t>
      </w:r>
    </w:p>
    <w:p w:rsidR="00457B0E" w:rsidRPr="00457B0E" w:rsidRDefault="00457B0E" w:rsidP="00457B0E"/>
    <w:p w:rsidR="00457B0E" w:rsidRPr="00457B0E" w:rsidRDefault="00457B0E" w:rsidP="00457B0E">
      <w:r w:rsidRPr="00457B0E">
        <w:t xml:space="preserve">Afgørelsen kan også bringes for domstolene inden den </w:t>
      </w:r>
      <w:r w:rsidR="003E6B87">
        <w:t>17</w:t>
      </w:r>
      <w:r w:rsidRPr="00457B0E">
        <w:t xml:space="preserve">. </w:t>
      </w:r>
      <w:r w:rsidR="003E6B87">
        <w:t xml:space="preserve">januar </w:t>
      </w:r>
      <w:r w:rsidRPr="00457B0E">
        <w:t>201</w:t>
      </w:r>
      <w:r w:rsidR="003E6B87">
        <w:t>4</w:t>
      </w:r>
      <w:r w:rsidRPr="00457B0E">
        <w:t>.</w:t>
      </w:r>
    </w:p>
    <w:p w:rsidR="00457B0E" w:rsidRPr="00457B0E" w:rsidRDefault="00457B0E" w:rsidP="00457B0E"/>
    <w:p w:rsidR="00457B0E" w:rsidRPr="00457B0E" w:rsidRDefault="00457B0E" w:rsidP="00457B0E"/>
    <w:p w:rsidR="00457B0E" w:rsidRPr="00457B0E" w:rsidRDefault="00457B0E" w:rsidP="00457B0E"/>
    <w:p w:rsidR="00457B0E" w:rsidRPr="00457B0E" w:rsidRDefault="00457B0E" w:rsidP="00457B0E"/>
    <w:p w:rsidR="00457B0E" w:rsidRPr="00457B0E" w:rsidRDefault="00457B0E" w:rsidP="00457B0E">
      <w:r w:rsidRPr="00457B0E">
        <w:t>Med venlig hilsen</w:t>
      </w:r>
    </w:p>
    <w:p w:rsidR="00457B0E" w:rsidRPr="00457B0E" w:rsidRDefault="00457B0E" w:rsidP="00457B0E">
      <w:r w:rsidRPr="00457B0E">
        <w:rPr>
          <w:noProof/>
          <w:lang w:eastAsia="da-DK"/>
        </w:rPr>
        <w:drawing>
          <wp:inline distT="0" distB="0" distL="0" distR="0" wp14:anchorId="6D81CCCF" wp14:editId="279B04DB">
            <wp:extent cx="1543879" cy="381238"/>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4348" cy="381354"/>
                    </a:xfrm>
                    <a:prstGeom prst="rect">
                      <a:avLst/>
                    </a:prstGeom>
                    <a:noFill/>
                    <a:ln>
                      <a:noFill/>
                    </a:ln>
                  </pic:spPr>
                </pic:pic>
              </a:graphicData>
            </a:graphic>
          </wp:inline>
        </w:drawing>
      </w:r>
    </w:p>
    <w:p w:rsidR="00457B0E" w:rsidRPr="00457B0E" w:rsidRDefault="00457B0E" w:rsidP="00457B0E">
      <w:r w:rsidRPr="00457B0E">
        <w:t>Malene Kamstrup</w:t>
      </w:r>
    </w:p>
    <w:p w:rsidR="00457B0E" w:rsidRPr="00457B0E" w:rsidRDefault="00457B0E" w:rsidP="00457B0E">
      <w:r w:rsidRPr="00457B0E">
        <w:t>Ingeniør</w:t>
      </w:r>
    </w:p>
    <w:p w:rsidR="00457B0E" w:rsidRPr="00457B0E" w:rsidRDefault="00457B0E" w:rsidP="00457B0E"/>
    <w:p w:rsidR="00457B0E" w:rsidRPr="00457B0E" w:rsidRDefault="00457B0E" w:rsidP="00457B0E"/>
    <w:p w:rsidR="00457B0E" w:rsidRPr="00457B0E" w:rsidRDefault="00457B0E" w:rsidP="00457B0E">
      <w:r w:rsidRPr="00457B0E">
        <w:t>Kopi:</w:t>
      </w:r>
    </w:p>
    <w:p w:rsidR="00457B0E" w:rsidRPr="00457B0E" w:rsidRDefault="00457B0E" w:rsidP="00457B0E">
      <w:pPr>
        <w:numPr>
          <w:ilvl w:val="0"/>
          <w:numId w:val="2"/>
        </w:numPr>
      </w:pPr>
      <w:r w:rsidRPr="00457B0E">
        <w:t>Danmarks naturfredningsforening</w:t>
      </w:r>
    </w:p>
    <w:p w:rsidR="00457B0E" w:rsidRPr="00457B0E" w:rsidRDefault="00457B0E" w:rsidP="00457B0E">
      <w:pPr>
        <w:numPr>
          <w:ilvl w:val="0"/>
          <w:numId w:val="2"/>
        </w:numPr>
      </w:pPr>
      <w:r w:rsidRPr="00457B0E">
        <w:t>Sundhedsstyrelsen</w:t>
      </w:r>
    </w:p>
    <w:p w:rsidR="00457B0E" w:rsidRPr="00457B0E" w:rsidRDefault="00457B0E" w:rsidP="00457B0E"/>
    <w:sectPr w:rsidR="00457B0E" w:rsidRPr="00457B0E" w:rsidSect="00A36CAB">
      <w:headerReference w:type="first" r:id="rId9"/>
      <w:pgSz w:w="11906" w:h="16838" w:code="9"/>
      <w:pgMar w:top="2325" w:right="2359" w:bottom="992"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B0E" w:rsidRDefault="00457B0E" w:rsidP="00413091">
      <w:pPr>
        <w:spacing w:line="240" w:lineRule="auto"/>
      </w:pPr>
      <w:r>
        <w:separator/>
      </w:r>
    </w:p>
  </w:endnote>
  <w:endnote w:type="continuationSeparator" w:id="0">
    <w:p w:rsidR="00457B0E" w:rsidRDefault="00457B0E" w:rsidP="004130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B0E" w:rsidRDefault="00457B0E" w:rsidP="00413091">
      <w:pPr>
        <w:spacing w:line="240" w:lineRule="auto"/>
      </w:pPr>
      <w:r>
        <w:separator/>
      </w:r>
    </w:p>
  </w:footnote>
  <w:footnote w:type="continuationSeparator" w:id="0">
    <w:p w:rsidR="00457B0E" w:rsidRDefault="00457B0E" w:rsidP="00413091">
      <w:pPr>
        <w:spacing w:line="240" w:lineRule="auto"/>
      </w:pPr>
      <w:r>
        <w:continuationSeparator/>
      </w:r>
    </w:p>
  </w:footnote>
  <w:footnote w:id="1">
    <w:p w:rsidR="00457B0E" w:rsidRPr="001C1ADF" w:rsidRDefault="00457B0E" w:rsidP="00457B0E">
      <w:pPr>
        <w:pStyle w:val="Fodnotetekst"/>
        <w:rPr>
          <w:sz w:val="16"/>
          <w:szCs w:val="16"/>
        </w:rPr>
      </w:pPr>
      <w:r>
        <w:rPr>
          <w:rStyle w:val="Fodnotehenvisning"/>
        </w:rPr>
        <w:footnoteRef/>
      </w:r>
      <w:r>
        <w:t xml:space="preserve"> </w:t>
      </w:r>
      <w:r w:rsidRPr="001C1ADF">
        <w:rPr>
          <w:sz w:val="16"/>
          <w:szCs w:val="16"/>
        </w:rPr>
        <w:t>Tilslutning af industrispildevand til offentlige spildevandsanlæg, vejledning fra miljøstyrelsen, nr. 2 fra 2006</w:t>
      </w:r>
    </w:p>
  </w:footnote>
  <w:footnote w:id="2">
    <w:p w:rsidR="00457B0E" w:rsidRDefault="00457B0E" w:rsidP="00457B0E">
      <w:pPr>
        <w:pStyle w:val="Fodnotetekst"/>
      </w:pPr>
      <w:r w:rsidRPr="001C1ADF">
        <w:rPr>
          <w:rStyle w:val="Fodnotehenvisning"/>
          <w:sz w:val="16"/>
          <w:szCs w:val="16"/>
        </w:rPr>
        <w:footnoteRef/>
      </w:r>
      <w:r w:rsidRPr="001C1ADF">
        <w:rPr>
          <w:sz w:val="16"/>
          <w:szCs w:val="16"/>
        </w:rPr>
        <w:t xml:space="preserve"> Bekendtgørelse om miljøkvalitetskrav for vandområder og krav til udledning af forurenende stoffer til vandløb, søer eller havet, nr. 1022 af 25. august 2010</w:t>
      </w:r>
    </w:p>
  </w:footnote>
  <w:footnote w:id="3">
    <w:p w:rsidR="00457B0E" w:rsidRDefault="00457B0E" w:rsidP="00457B0E">
      <w:pPr>
        <w:pStyle w:val="Fodnotetekst"/>
      </w:pPr>
      <w:r>
        <w:rPr>
          <w:rStyle w:val="Fodnotehenvisning"/>
        </w:rPr>
        <w:footnoteRef/>
      </w:r>
      <w:r>
        <w:t xml:space="preserve"> </w:t>
      </w:r>
      <w:r w:rsidRPr="00B3140F">
        <w:rPr>
          <w:sz w:val="16"/>
          <w:szCs w:val="16"/>
        </w:rPr>
        <w:t>Nøgletal for miljøfarlige stoffer i spildevand fra renseanlæg</w:t>
      </w:r>
    </w:p>
  </w:footnote>
  <w:footnote w:id="4">
    <w:p w:rsidR="00457B0E" w:rsidRDefault="00457B0E" w:rsidP="00457B0E">
      <w:pPr>
        <w:pStyle w:val="Fodnotetekst"/>
      </w:pPr>
      <w:r>
        <w:rPr>
          <w:rStyle w:val="Fodnotehenvisning"/>
        </w:rPr>
        <w:footnoteRef/>
      </w:r>
      <w:r>
        <w:t xml:space="preserve"> </w:t>
      </w:r>
      <w:r w:rsidRPr="00B3140F">
        <w:t>Bekendtgørelse om vandkvalitet og tilsyn med vandforsyningsanlæg</w:t>
      </w:r>
      <w:r>
        <w:t>, nr. 1024 af 31. oktober 2011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E6A" w:rsidRDefault="002A7AEC">
    <w:pPr>
      <w:pStyle w:val="Sidehoved"/>
    </w:pPr>
    <w:r>
      <w:rPr>
        <w:noProof/>
        <w:lang w:eastAsia="da-DK"/>
      </w:rPr>
      <w:drawing>
        <wp:anchor distT="0" distB="0" distL="114300" distR="114300" simplePos="0" relativeHeight="251663360" behindDoc="0" locked="0" layoutInCell="1" allowOverlap="1" wp14:anchorId="37E6E9D5" wp14:editId="30A567F9">
          <wp:simplePos x="0" y="0"/>
          <wp:positionH relativeFrom="column">
            <wp:posOffset>5317490</wp:posOffset>
          </wp:positionH>
          <wp:positionV relativeFrom="paragraph">
            <wp:posOffset>-149225</wp:posOffset>
          </wp:positionV>
          <wp:extent cx="899795" cy="899795"/>
          <wp:effectExtent l="0" t="0" r="0" b="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vskabelon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55A"/>
    <w:multiLevelType w:val="hybridMultilevel"/>
    <w:tmpl w:val="33D24586"/>
    <w:lvl w:ilvl="0" w:tplc="5470B6AA">
      <w:numFmt w:val="bullet"/>
      <w:lvlText w:val="-"/>
      <w:lvlJc w:val="left"/>
      <w:pPr>
        <w:ind w:left="720" w:hanging="360"/>
      </w:pPr>
      <w:rPr>
        <w:rFonts w:ascii="Verdana" w:eastAsiaTheme="minorHAnsi" w:hAnsi="Verdana" w:cs="Times New Roman" w:hint="default"/>
        <w:sz w:val="1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EDB6732"/>
    <w:multiLevelType w:val="hybridMultilevel"/>
    <w:tmpl w:val="63CCF594"/>
    <w:lvl w:ilvl="0" w:tplc="04060001">
      <w:start w:val="1"/>
      <w:numFmt w:val="bullet"/>
      <w:lvlText w:val=""/>
      <w:lvlJc w:val="left"/>
      <w:pPr>
        <w:ind w:left="792" w:hanging="360"/>
      </w:pPr>
      <w:rPr>
        <w:rFonts w:ascii="Symbol" w:hAnsi="Symbol" w:hint="default"/>
      </w:rPr>
    </w:lvl>
    <w:lvl w:ilvl="1" w:tplc="04060003" w:tentative="1">
      <w:start w:val="1"/>
      <w:numFmt w:val="bullet"/>
      <w:lvlText w:val="o"/>
      <w:lvlJc w:val="left"/>
      <w:pPr>
        <w:ind w:left="1512" w:hanging="360"/>
      </w:pPr>
      <w:rPr>
        <w:rFonts w:ascii="Courier New" w:hAnsi="Courier New" w:cs="Courier New" w:hint="default"/>
      </w:rPr>
    </w:lvl>
    <w:lvl w:ilvl="2" w:tplc="04060005" w:tentative="1">
      <w:start w:val="1"/>
      <w:numFmt w:val="bullet"/>
      <w:lvlText w:val=""/>
      <w:lvlJc w:val="left"/>
      <w:pPr>
        <w:ind w:left="2232" w:hanging="360"/>
      </w:pPr>
      <w:rPr>
        <w:rFonts w:ascii="Wingdings" w:hAnsi="Wingdings" w:hint="default"/>
      </w:rPr>
    </w:lvl>
    <w:lvl w:ilvl="3" w:tplc="04060001" w:tentative="1">
      <w:start w:val="1"/>
      <w:numFmt w:val="bullet"/>
      <w:lvlText w:val=""/>
      <w:lvlJc w:val="left"/>
      <w:pPr>
        <w:ind w:left="2952" w:hanging="360"/>
      </w:pPr>
      <w:rPr>
        <w:rFonts w:ascii="Symbol" w:hAnsi="Symbol" w:hint="default"/>
      </w:rPr>
    </w:lvl>
    <w:lvl w:ilvl="4" w:tplc="04060003" w:tentative="1">
      <w:start w:val="1"/>
      <w:numFmt w:val="bullet"/>
      <w:lvlText w:val="o"/>
      <w:lvlJc w:val="left"/>
      <w:pPr>
        <w:ind w:left="3672" w:hanging="360"/>
      </w:pPr>
      <w:rPr>
        <w:rFonts w:ascii="Courier New" w:hAnsi="Courier New" w:cs="Courier New" w:hint="default"/>
      </w:rPr>
    </w:lvl>
    <w:lvl w:ilvl="5" w:tplc="04060005" w:tentative="1">
      <w:start w:val="1"/>
      <w:numFmt w:val="bullet"/>
      <w:lvlText w:val=""/>
      <w:lvlJc w:val="left"/>
      <w:pPr>
        <w:ind w:left="4392" w:hanging="360"/>
      </w:pPr>
      <w:rPr>
        <w:rFonts w:ascii="Wingdings" w:hAnsi="Wingdings" w:hint="default"/>
      </w:rPr>
    </w:lvl>
    <w:lvl w:ilvl="6" w:tplc="04060001" w:tentative="1">
      <w:start w:val="1"/>
      <w:numFmt w:val="bullet"/>
      <w:lvlText w:val=""/>
      <w:lvlJc w:val="left"/>
      <w:pPr>
        <w:ind w:left="5112" w:hanging="360"/>
      </w:pPr>
      <w:rPr>
        <w:rFonts w:ascii="Symbol" w:hAnsi="Symbol" w:hint="default"/>
      </w:rPr>
    </w:lvl>
    <w:lvl w:ilvl="7" w:tplc="04060003" w:tentative="1">
      <w:start w:val="1"/>
      <w:numFmt w:val="bullet"/>
      <w:lvlText w:val="o"/>
      <w:lvlJc w:val="left"/>
      <w:pPr>
        <w:ind w:left="5832" w:hanging="360"/>
      </w:pPr>
      <w:rPr>
        <w:rFonts w:ascii="Courier New" w:hAnsi="Courier New" w:cs="Courier New" w:hint="default"/>
      </w:rPr>
    </w:lvl>
    <w:lvl w:ilvl="8" w:tplc="04060005" w:tentative="1">
      <w:start w:val="1"/>
      <w:numFmt w:val="bullet"/>
      <w:lvlText w:val=""/>
      <w:lvlJc w:val="left"/>
      <w:pPr>
        <w:ind w:left="655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sDocument" w:val=" "/>
  </w:docVars>
  <w:rsids>
    <w:rsidRoot w:val="00457B0E"/>
    <w:rsid w:val="00036224"/>
    <w:rsid w:val="00036DBA"/>
    <w:rsid w:val="000715E2"/>
    <w:rsid w:val="0008370D"/>
    <w:rsid w:val="000A07F3"/>
    <w:rsid w:val="000A0D08"/>
    <w:rsid w:val="000A0D31"/>
    <w:rsid w:val="000B5826"/>
    <w:rsid w:val="000F4EB3"/>
    <w:rsid w:val="00105D58"/>
    <w:rsid w:val="00106810"/>
    <w:rsid w:val="00130CFE"/>
    <w:rsid w:val="00141ACD"/>
    <w:rsid w:val="00147220"/>
    <w:rsid w:val="00156D2F"/>
    <w:rsid w:val="001675EF"/>
    <w:rsid w:val="00187C4D"/>
    <w:rsid w:val="001969F7"/>
    <w:rsid w:val="001C0814"/>
    <w:rsid w:val="001F71D8"/>
    <w:rsid w:val="002027B8"/>
    <w:rsid w:val="0020773F"/>
    <w:rsid w:val="002315BF"/>
    <w:rsid w:val="0023500D"/>
    <w:rsid w:val="00253F7C"/>
    <w:rsid w:val="0026049C"/>
    <w:rsid w:val="00280DFD"/>
    <w:rsid w:val="0029120B"/>
    <w:rsid w:val="002939CB"/>
    <w:rsid w:val="002A36CC"/>
    <w:rsid w:val="002A7AEC"/>
    <w:rsid w:val="002D1E0C"/>
    <w:rsid w:val="002F20E5"/>
    <w:rsid w:val="00313A10"/>
    <w:rsid w:val="003921BB"/>
    <w:rsid w:val="003B5F24"/>
    <w:rsid w:val="003B7D09"/>
    <w:rsid w:val="003B7E31"/>
    <w:rsid w:val="003D1603"/>
    <w:rsid w:val="003E6B87"/>
    <w:rsid w:val="004106DA"/>
    <w:rsid w:val="004112C5"/>
    <w:rsid w:val="00413091"/>
    <w:rsid w:val="00446FEE"/>
    <w:rsid w:val="00447D5D"/>
    <w:rsid w:val="00457B0E"/>
    <w:rsid w:val="004606F9"/>
    <w:rsid w:val="0047275E"/>
    <w:rsid w:val="004A09AB"/>
    <w:rsid w:val="004C1E31"/>
    <w:rsid w:val="004E3E03"/>
    <w:rsid w:val="005032DB"/>
    <w:rsid w:val="0050724D"/>
    <w:rsid w:val="00512CE2"/>
    <w:rsid w:val="00522F82"/>
    <w:rsid w:val="00532617"/>
    <w:rsid w:val="00543358"/>
    <w:rsid w:val="00543BAB"/>
    <w:rsid w:val="005478D3"/>
    <w:rsid w:val="00561E70"/>
    <w:rsid w:val="0056579A"/>
    <w:rsid w:val="00583086"/>
    <w:rsid w:val="00585EE3"/>
    <w:rsid w:val="00586304"/>
    <w:rsid w:val="005A4D0B"/>
    <w:rsid w:val="005C2578"/>
    <w:rsid w:val="005C2E1F"/>
    <w:rsid w:val="005D1F59"/>
    <w:rsid w:val="005D23AD"/>
    <w:rsid w:val="0060275E"/>
    <w:rsid w:val="00602DC3"/>
    <w:rsid w:val="00613D34"/>
    <w:rsid w:val="00620D99"/>
    <w:rsid w:val="00632E95"/>
    <w:rsid w:val="00640513"/>
    <w:rsid w:val="00651FBC"/>
    <w:rsid w:val="006667CC"/>
    <w:rsid w:val="00676D91"/>
    <w:rsid w:val="0068276E"/>
    <w:rsid w:val="00685C13"/>
    <w:rsid w:val="00690CE9"/>
    <w:rsid w:val="006939B1"/>
    <w:rsid w:val="006B7DCC"/>
    <w:rsid w:val="006D7A91"/>
    <w:rsid w:val="006E457A"/>
    <w:rsid w:val="006F48AD"/>
    <w:rsid w:val="007051CD"/>
    <w:rsid w:val="00711B06"/>
    <w:rsid w:val="00737A23"/>
    <w:rsid w:val="00763FFB"/>
    <w:rsid w:val="007648A6"/>
    <w:rsid w:val="0077702A"/>
    <w:rsid w:val="00796243"/>
    <w:rsid w:val="007D5ADD"/>
    <w:rsid w:val="007D7E24"/>
    <w:rsid w:val="007F6FEB"/>
    <w:rsid w:val="00820325"/>
    <w:rsid w:val="008372F1"/>
    <w:rsid w:val="00862DD9"/>
    <w:rsid w:val="008750A4"/>
    <w:rsid w:val="00876ADC"/>
    <w:rsid w:val="0089532E"/>
    <w:rsid w:val="00897044"/>
    <w:rsid w:val="008A603C"/>
    <w:rsid w:val="008B0177"/>
    <w:rsid w:val="008B74EE"/>
    <w:rsid w:val="008C0145"/>
    <w:rsid w:val="008C61EE"/>
    <w:rsid w:val="008C65A7"/>
    <w:rsid w:val="008D520D"/>
    <w:rsid w:val="008D64E6"/>
    <w:rsid w:val="008E29CA"/>
    <w:rsid w:val="008E663B"/>
    <w:rsid w:val="00926816"/>
    <w:rsid w:val="009315F8"/>
    <w:rsid w:val="009424CA"/>
    <w:rsid w:val="00952DA9"/>
    <w:rsid w:val="00954DA7"/>
    <w:rsid w:val="00977555"/>
    <w:rsid w:val="00985698"/>
    <w:rsid w:val="009A7440"/>
    <w:rsid w:val="009C342F"/>
    <w:rsid w:val="00A36CAB"/>
    <w:rsid w:val="00A37638"/>
    <w:rsid w:val="00A67153"/>
    <w:rsid w:val="00A774DD"/>
    <w:rsid w:val="00A80E6A"/>
    <w:rsid w:val="00A92F86"/>
    <w:rsid w:val="00A94662"/>
    <w:rsid w:val="00AC68D6"/>
    <w:rsid w:val="00AE1CE0"/>
    <w:rsid w:val="00AE6D9E"/>
    <w:rsid w:val="00AF06A0"/>
    <w:rsid w:val="00B23ED8"/>
    <w:rsid w:val="00B578F3"/>
    <w:rsid w:val="00BA5AF4"/>
    <w:rsid w:val="00BB3AA0"/>
    <w:rsid w:val="00BC14F4"/>
    <w:rsid w:val="00BC6D75"/>
    <w:rsid w:val="00BD7E02"/>
    <w:rsid w:val="00BF1947"/>
    <w:rsid w:val="00BF70C8"/>
    <w:rsid w:val="00C22850"/>
    <w:rsid w:val="00C3558E"/>
    <w:rsid w:val="00C53B26"/>
    <w:rsid w:val="00C656F7"/>
    <w:rsid w:val="00C66138"/>
    <w:rsid w:val="00C903FF"/>
    <w:rsid w:val="00C92A5E"/>
    <w:rsid w:val="00CA31EC"/>
    <w:rsid w:val="00CC5E18"/>
    <w:rsid w:val="00CC66D6"/>
    <w:rsid w:val="00CE5F3E"/>
    <w:rsid w:val="00D20F7E"/>
    <w:rsid w:val="00D21106"/>
    <w:rsid w:val="00D26C97"/>
    <w:rsid w:val="00D30FCF"/>
    <w:rsid w:val="00D32487"/>
    <w:rsid w:val="00D34240"/>
    <w:rsid w:val="00D618B6"/>
    <w:rsid w:val="00D73196"/>
    <w:rsid w:val="00D76285"/>
    <w:rsid w:val="00D81CB0"/>
    <w:rsid w:val="00D839D6"/>
    <w:rsid w:val="00D90C08"/>
    <w:rsid w:val="00DA4324"/>
    <w:rsid w:val="00DB2461"/>
    <w:rsid w:val="00DC484B"/>
    <w:rsid w:val="00DE625F"/>
    <w:rsid w:val="00DF2F49"/>
    <w:rsid w:val="00E0314A"/>
    <w:rsid w:val="00E15866"/>
    <w:rsid w:val="00E1607B"/>
    <w:rsid w:val="00E17A9A"/>
    <w:rsid w:val="00E27BDE"/>
    <w:rsid w:val="00E42978"/>
    <w:rsid w:val="00E47188"/>
    <w:rsid w:val="00E524FB"/>
    <w:rsid w:val="00E63AE4"/>
    <w:rsid w:val="00E83EA6"/>
    <w:rsid w:val="00E83FAF"/>
    <w:rsid w:val="00EE71BB"/>
    <w:rsid w:val="00F14752"/>
    <w:rsid w:val="00F36A05"/>
    <w:rsid w:val="00F46057"/>
    <w:rsid w:val="00F47AAF"/>
    <w:rsid w:val="00F57392"/>
    <w:rsid w:val="00F921F4"/>
    <w:rsid w:val="00FF61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E48C446-FF19-46AE-A152-D25ADFA4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imes New Roman"/>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578"/>
    <w:pPr>
      <w:spacing w:line="260" w:lineRule="atLeast"/>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D1E0C"/>
    <w:rPr>
      <w:rFonts w:ascii="Tahoma" w:hAnsi="Tahoma" w:cs="Tahoma"/>
      <w:sz w:val="16"/>
      <w:szCs w:val="16"/>
    </w:rPr>
  </w:style>
  <w:style w:type="paragraph" w:styleId="Listeafsnit">
    <w:name w:val="List Paragraph"/>
    <w:basedOn w:val="Normal"/>
    <w:uiPriority w:val="34"/>
    <w:qFormat/>
    <w:rsid w:val="004112C5"/>
    <w:pPr>
      <w:ind w:left="720"/>
      <w:contextualSpacing/>
    </w:pPr>
  </w:style>
  <w:style w:type="character" w:styleId="Hyperlink">
    <w:name w:val="Hyperlink"/>
    <w:basedOn w:val="Standardskrifttypeiafsnit"/>
    <w:uiPriority w:val="99"/>
    <w:semiHidden/>
    <w:unhideWhenUsed/>
    <w:rsid w:val="00DF2F49"/>
    <w:rPr>
      <w:color w:val="0000FF"/>
      <w:u w:val="single"/>
    </w:rPr>
  </w:style>
  <w:style w:type="paragraph" w:styleId="Fodnotetekst">
    <w:name w:val="footnote text"/>
    <w:basedOn w:val="Normal"/>
    <w:link w:val="FodnotetekstTegn"/>
    <w:uiPriority w:val="99"/>
    <w:semiHidden/>
    <w:unhideWhenUsed/>
    <w:rsid w:val="00457B0E"/>
    <w:pPr>
      <w:spacing w:line="240" w:lineRule="auto"/>
    </w:pPr>
  </w:style>
  <w:style w:type="character" w:customStyle="1" w:styleId="FodnotetekstTegn">
    <w:name w:val="Fodnotetekst Tegn"/>
    <w:basedOn w:val="Standardskrifttypeiafsnit"/>
    <w:link w:val="Fodnotetekst"/>
    <w:uiPriority w:val="99"/>
    <w:semiHidden/>
    <w:rsid w:val="00457B0E"/>
  </w:style>
  <w:style w:type="character" w:styleId="Fodnotehenvisning">
    <w:name w:val="footnote reference"/>
    <w:basedOn w:val="Standardskrifttypeiafsnit"/>
    <w:uiPriority w:val="99"/>
    <w:semiHidden/>
    <w:unhideWhenUsed/>
    <w:rsid w:val="00457B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2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7AA-7E02-44FF-9A90-C4177C0FE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4440</Characters>
  <Application>Microsoft Office Word</Application>
  <DocSecurity>4</DocSecurity>
  <Lines>170</Lines>
  <Paragraphs>102</Paragraphs>
  <ScaleCrop>false</ScaleCrop>
  <HeadingPairs>
    <vt:vector size="2" baseType="variant">
      <vt:variant>
        <vt:lpstr>Titel</vt:lpstr>
      </vt:variant>
      <vt:variant>
        <vt:i4>1</vt:i4>
      </vt:variant>
    </vt:vector>
  </HeadingPairs>
  <TitlesOfParts>
    <vt:vector size="1" baseType="lpstr">
      <vt:lpstr/>
    </vt:vector>
  </TitlesOfParts>
  <Company>TDS</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Malene Kamstrup</dc:creator>
  <cp:lastModifiedBy>Malene Kamstrup</cp:lastModifiedBy>
  <cp:revision>2</cp:revision>
  <cp:lastPrinted>2013-07-17T10:17:00Z</cp:lastPrinted>
  <dcterms:created xsi:type="dcterms:W3CDTF">2022-02-01T09:29:00Z</dcterms:created>
  <dcterms:modified xsi:type="dcterms:W3CDTF">2022-02-01T09:29:00Z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_doc2mail">
    <vt:lpwstr>0</vt:lpwstr>
  </property>
  <property fmtid="{D5CDD505-2E9C-101B-9397-08002B2CF9AE}" pid="3" name="TDS_Template">
    <vt:lpwstr>Brev.dotm</vt:lpwstr>
  </property>
  <property fmtid="{D5CDD505-2E9C-101B-9397-08002B2CF9AE}" pid="4" name="d2m_PersonnrCVR">
    <vt:lpwstr/>
  </property>
  <property fmtid="{D5CDD505-2E9C-101B-9397-08002B2CF9AE}" pid="5" name="d2m_Identtype">
    <vt:lpwstr/>
  </property>
  <property fmtid="{D5CDD505-2E9C-101B-9397-08002B2CF9AE}" pid="6" name="d2m_Overskrift">
    <vt:lpwstr/>
  </property>
  <property fmtid="{D5CDD505-2E9C-101B-9397-08002B2CF9AE}" pid="7" name="d2m_Beskrivelse">
    <vt:lpwstr/>
  </property>
  <property fmtid="{D5CDD505-2E9C-101B-9397-08002B2CF9AE}" pid="8" name="d2m_SagsIdent">
    <vt:lpwstr>13/</vt:lpwstr>
  </property>
  <property fmtid="{D5CDD505-2E9C-101B-9397-08002B2CF9AE}" pid="9" name="d2m_Fagområde">
    <vt:lpwstr/>
  </property>
  <property fmtid="{D5CDD505-2E9C-101B-9397-08002B2CF9AE}" pid="10" name="OfficeInstanceGUID">
    <vt:lpwstr>{BAD6FA9F-FCFA-41B8-A2E6-F629E0D2EF14}</vt:lpwstr>
  </property>
</Properties>
</file>