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08F9" w14:textId="3C145DE4" w:rsidR="00782937" w:rsidRDefault="00782937" w:rsidP="00B55514">
      <w:pPr>
        <w:spacing w:line="20" w:lineRule="exact"/>
        <w:rPr>
          <w:color w:val="FF0000"/>
          <w:sz w:val="2"/>
          <w:szCs w:val="2"/>
        </w:rPr>
      </w:pPr>
    </w:p>
    <w:p w14:paraId="7462D6A8" w14:textId="77777777" w:rsidR="00C84B80" w:rsidRPr="004B14BD" w:rsidRDefault="00C84B80" w:rsidP="00B55514">
      <w:pPr>
        <w:spacing w:line="20" w:lineRule="exact"/>
        <w:rPr>
          <w:color w:val="FF0000"/>
          <w:sz w:val="2"/>
          <w:szCs w:val="2"/>
        </w:rPr>
      </w:pPr>
    </w:p>
    <w:p w14:paraId="6FCC9C4D" w14:textId="77777777" w:rsidR="00AD758A" w:rsidRPr="004B14BD" w:rsidRDefault="00AD758A" w:rsidP="00B55514">
      <w:pPr>
        <w:spacing w:line="20" w:lineRule="exact"/>
        <w:rPr>
          <w:color w:val="FF0000"/>
          <w:sz w:val="2"/>
          <w:szCs w:val="2"/>
        </w:rPr>
      </w:pPr>
    </w:p>
    <w:p w14:paraId="2446321C" w14:textId="77777777" w:rsidR="00A65FD1" w:rsidRPr="004B14BD" w:rsidRDefault="00A65FD1" w:rsidP="00B55514">
      <w:pPr>
        <w:spacing w:line="20" w:lineRule="exact"/>
        <w:rPr>
          <w:color w:val="FF0000"/>
          <w:sz w:val="2"/>
          <w:szCs w:val="2"/>
        </w:rPr>
      </w:pPr>
    </w:p>
    <w:p w14:paraId="614B7699" w14:textId="77777777" w:rsidR="006D2E16" w:rsidRPr="004B14BD" w:rsidRDefault="006D2E16" w:rsidP="00B55514">
      <w:pPr>
        <w:spacing w:line="20" w:lineRule="exact"/>
        <w:rPr>
          <w:color w:val="FF0000"/>
          <w:sz w:val="2"/>
          <w:szCs w:val="2"/>
        </w:rPr>
      </w:pPr>
    </w:p>
    <w:p w14:paraId="2B06257B" w14:textId="77777777" w:rsidR="00841879" w:rsidRPr="004B14BD" w:rsidRDefault="00841879" w:rsidP="00B55514">
      <w:pPr>
        <w:spacing w:line="20" w:lineRule="exact"/>
        <w:rPr>
          <w:color w:val="FF0000"/>
          <w:sz w:val="2"/>
          <w:szCs w:val="2"/>
        </w:rPr>
      </w:pPr>
    </w:p>
    <w:p w14:paraId="25D89E40" w14:textId="77777777" w:rsidR="000B6712" w:rsidRPr="004B14BD" w:rsidRDefault="000B6712" w:rsidP="000B6712">
      <w:pPr>
        <w:rPr>
          <w:color w:val="FF0000"/>
          <w:szCs w:val="24"/>
        </w:rPr>
      </w:pPr>
      <w:r w:rsidRPr="004B14BD">
        <w:rPr>
          <w:noProof/>
          <w:color w:val="FF0000"/>
          <w:szCs w:val="24"/>
        </w:rPr>
        <w:drawing>
          <wp:inline distT="0" distB="0" distL="0" distR="0" wp14:anchorId="4F99D32A" wp14:editId="5B46D397">
            <wp:extent cx="2803525" cy="707390"/>
            <wp:effectExtent l="0" t="0" r="0" b="0"/>
            <wp:docPr id="1" name="Billede 1" descr="http://www2.rh.htk.dk/Byraadscenter/Design/Logo_1_primaer_4F/HTK_Logo%202007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rh.htk.dk/Byraadscenter/Design/Logo_1_primaer_4F/HTK_Logo%202007_RGB.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03525" cy="707390"/>
                    </a:xfrm>
                    <a:prstGeom prst="rect">
                      <a:avLst/>
                    </a:prstGeom>
                    <a:noFill/>
                    <a:ln>
                      <a:noFill/>
                    </a:ln>
                  </pic:spPr>
                </pic:pic>
              </a:graphicData>
            </a:graphic>
          </wp:inline>
        </w:drawing>
      </w:r>
    </w:p>
    <w:p w14:paraId="023BCA6E" w14:textId="77777777" w:rsidR="000B6712" w:rsidRPr="004B14BD" w:rsidRDefault="000B6712" w:rsidP="000B6712">
      <w:pPr>
        <w:rPr>
          <w:color w:val="FF0000"/>
          <w:szCs w:val="24"/>
        </w:rPr>
      </w:pPr>
    </w:p>
    <w:p w14:paraId="4AD194E2" w14:textId="77777777" w:rsidR="000B6712" w:rsidRPr="004B14BD" w:rsidRDefault="000B6712" w:rsidP="000B6712">
      <w:pPr>
        <w:rPr>
          <w:color w:val="FF0000"/>
          <w:szCs w:val="24"/>
        </w:rPr>
      </w:pPr>
    </w:p>
    <w:p w14:paraId="65498169" w14:textId="77777777" w:rsidR="000B6712" w:rsidRPr="004B14BD" w:rsidRDefault="000B6712" w:rsidP="000B6712">
      <w:pPr>
        <w:rPr>
          <w:color w:val="FF0000"/>
          <w:szCs w:val="24"/>
        </w:rPr>
      </w:pPr>
    </w:p>
    <w:p w14:paraId="4FF68BC9" w14:textId="77777777" w:rsidR="000B6712" w:rsidRPr="004B14BD" w:rsidRDefault="000B6712" w:rsidP="000B6712">
      <w:pPr>
        <w:rPr>
          <w:color w:val="FF0000"/>
          <w:szCs w:val="24"/>
        </w:rPr>
      </w:pPr>
    </w:p>
    <w:p w14:paraId="405D746A" w14:textId="77777777" w:rsidR="000B6712" w:rsidRPr="004B14BD" w:rsidRDefault="000B6712" w:rsidP="000B6712">
      <w:pPr>
        <w:jc w:val="center"/>
        <w:rPr>
          <w:color w:val="FF0000"/>
          <w:szCs w:val="24"/>
        </w:rPr>
      </w:pPr>
    </w:p>
    <w:p w14:paraId="5C47CA8B" w14:textId="77777777" w:rsidR="000B6712" w:rsidRPr="004B14BD" w:rsidRDefault="000B6712" w:rsidP="000B6712">
      <w:pPr>
        <w:rPr>
          <w:color w:val="FF0000"/>
          <w:szCs w:val="24"/>
        </w:rPr>
      </w:pPr>
    </w:p>
    <w:p w14:paraId="49320DA3" w14:textId="77777777" w:rsidR="000B6712" w:rsidRPr="004B14BD" w:rsidRDefault="000B6712" w:rsidP="000B6712">
      <w:pPr>
        <w:autoSpaceDE w:val="0"/>
        <w:autoSpaceDN w:val="0"/>
        <w:adjustRightInd w:val="0"/>
        <w:rPr>
          <w:color w:val="FF0000"/>
          <w:szCs w:val="24"/>
        </w:rPr>
      </w:pPr>
    </w:p>
    <w:p w14:paraId="20420992" w14:textId="77777777" w:rsidR="000B6712" w:rsidRPr="004B14BD" w:rsidRDefault="000B6712" w:rsidP="000B6712">
      <w:pPr>
        <w:autoSpaceDE w:val="0"/>
        <w:autoSpaceDN w:val="0"/>
        <w:adjustRightInd w:val="0"/>
        <w:rPr>
          <w:color w:val="FF0000"/>
          <w:szCs w:val="24"/>
        </w:rPr>
      </w:pPr>
    </w:p>
    <w:p w14:paraId="2075FA56" w14:textId="0FED7776" w:rsidR="000B6712" w:rsidRPr="004B14BD" w:rsidRDefault="000B6712" w:rsidP="00D3442C">
      <w:pPr>
        <w:autoSpaceDE w:val="0"/>
        <w:autoSpaceDN w:val="0"/>
        <w:adjustRightInd w:val="0"/>
        <w:jc w:val="center"/>
        <w:rPr>
          <w:rFonts w:cs="Verdana"/>
          <w:b/>
          <w:bCs/>
          <w:color w:val="000000" w:themeColor="text1"/>
          <w:sz w:val="46"/>
          <w:szCs w:val="46"/>
        </w:rPr>
      </w:pPr>
      <w:r w:rsidRPr="004B14BD">
        <w:rPr>
          <w:rFonts w:cs="Verdana"/>
          <w:b/>
          <w:bCs/>
          <w:color w:val="000000" w:themeColor="text1"/>
          <w:sz w:val="46"/>
          <w:szCs w:val="46"/>
        </w:rPr>
        <w:t>Miljøgodkendelse</w:t>
      </w:r>
      <w:r w:rsidR="001E0F58">
        <w:rPr>
          <w:rFonts w:cs="Verdana"/>
          <w:b/>
          <w:bCs/>
          <w:color w:val="000000" w:themeColor="text1"/>
          <w:sz w:val="46"/>
          <w:szCs w:val="46"/>
        </w:rPr>
        <w:tab/>
      </w:r>
    </w:p>
    <w:p w14:paraId="691175FA" w14:textId="77777777" w:rsidR="000B6712" w:rsidRPr="004B14BD" w:rsidRDefault="000B6712" w:rsidP="000B6712">
      <w:pPr>
        <w:autoSpaceDE w:val="0"/>
        <w:autoSpaceDN w:val="0"/>
        <w:adjustRightInd w:val="0"/>
        <w:jc w:val="center"/>
        <w:rPr>
          <w:rFonts w:cs="Verdana"/>
          <w:color w:val="FF0000"/>
          <w:sz w:val="46"/>
          <w:szCs w:val="46"/>
        </w:rPr>
      </w:pPr>
    </w:p>
    <w:p w14:paraId="5DE7F5A0" w14:textId="6C91433C" w:rsidR="000521B2" w:rsidRPr="004B14BD" w:rsidRDefault="000521B2" w:rsidP="000B6712">
      <w:pPr>
        <w:autoSpaceDE w:val="0"/>
        <w:autoSpaceDN w:val="0"/>
        <w:adjustRightInd w:val="0"/>
        <w:jc w:val="center"/>
        <w:rPr>
          <w:rFonts w:cs="Verdana"/>
          <w:b/>
          <w:bCs/>
          <w:color w:val="000000" w:themeColor="text1"/>
          <w:sz w:val="40"/>
          <w:szCs w:val="40"/>
        </w:rPr>
      </w:pPr>
      <w:r w:rsidRPr="004B14BD">
        <w:rPr>
          <w:rFonts w:cs="Verdana"/>
          <w:b/>
          <w:bCs/>
          <w:color w:val="000000" w:themeColor="text1"/>
          <w:sz w:val="40"/>
          <w:szCs w:val="40"/>
        </w:rPr>
        <w:t xml:space="preserve">Microsoft Danmark </w:t>
      </w:r>
      <w:r w:rsidR="00112F87" w:rsidRPr="004B14BD">
        <w:rPr>
          <w:rFonts w:cs="Verdana"/>
          <w:b/>
          <w:bCs/>
          <w:color w:val="000000" w:themeColor="text1"/>
          <w:sz w:val="40"/>
          <w:szCs w:val="40"/>
        </w:rPr>
        <w:t>ApS</w:t>
      </w:r>
    </w:p>
    <w:p w14:paraId="26C6D3FE" w14:textId="77777777" w:rsidR="000B6712" w:rsidRPr="004B14BD" w:rsidRDefault="000521B2" w:rsidP="000B6712">
      <w:pPr>
        <w:autoSpaceDE w:val="0"/>
        <w:autoSpaceDN w:val="0"/>
        <w:adjustRightInd w:val="0"/>
        <w:jc w:val="center"/>
        <w:rPr>
          <w:rFonts w:cs="Verdana"/>
          <w:b/>
          <w:bCs/>
          <w:color w:val="000000" w:themeColor="text1"/>
          <w:sz w:val="40"/>
          <w:szCs w:val="40"/>
        </w:rPr>
      </w:pPr>
      <w:r w:rsidRPr="004B14BD">
        <w:rPr>
          <w:rFonts w:cs="Verdana"/>
          <w:b/>
          <w:bCs/>
          <w:color w:val="000000" w:themeColor="text1"/>
          <w:sz w:val="40"/>
          <w:szCs w:val="40"/>
        </w:rPr>
        <w:t>Datacenter CPH07</w:t>
      </w:r>
    </w:p>
    <w:p w14:paraId="34BF7B16" w14:textId="77777777" w:rsidR="000521B2" w:rsidRPr="004B14BD" w:rsidRDefault="000521B2" w:rsidP="000B6712">
      <w:pPr>
        <w:autoSpaceDE w:val="0"/>
        <w:autoSpaceDN w:val="0"/>
        <w:adjustRightInd w:val="0"/>
        <w:jc w:val="center"/>
        <w:rPr>
          <w:rFonts w:cs="Verdana"/>
          <w:b/>
          <w:bCs/>
          <w:color w:val="000000" w:themeColor="text1"/>
          <w:sz w:val="40"/>
          <w:szCs w:val="40"/>
        </w:rPr>
      </w:pPr>
      <w:r w:rsidRPr="004B14BD">
        <w:rPr>
          <w:rFonts w:cs="Verdana"/>
          <w:b/>
          <w:bCs/>
          <w:color w:val="000000" w:themeColor="text1"/>
          <w:sz w:val="40"/>
          <w:szCs w:val="40"/>
        </w:rPr>
        <w:t>Bohus Boulevard 2</w:t>
      </w:r>
    </w:p>
    <w:p w14:paraId="30E1BD3B" w14:textId="77777777" w:rsidR="000521B2" w:rsidRPr="004B14BD" w:rsidRDefault="000521B2" w:rsidP="000B6712">
      <w:pPr>
        <w:autoSpaceDE w:val="0"/>
        <w:autoSpaceDN w:val="0"/>
        <w:adjustRightInd w:val="0"/>
        <w:jc w:val="center"/>
        <w:rPr>
          <w:rFonts w:cs="Verdana"/>
          <w:b/>
          <w:bCs/>
          <w:color w:val="000000" w:themeColor="text1"/>
          <w:sz w:val="40"/>
          <w:szCs w:val="40"/>
        </w:rPr>
      </w:pPr>
      <w:r w:rsidRPr="004B14BD">
        <w:rPr>
          <w:rFonts w:cs="Verdana"/>
          <w:b/>
          <w:bCs/>
          <w:color w:val="000000" w:themeColor="text1"/>
          <w:sz w:val="40"/>
          <w:szCs w:val="40"/>
        </w:rPr>
        <w:t>2630 Taastrup</w:t>
      </w:r>
    </w:p>
    <w:p w14:paraId="5F2549C9" w14:textId="77777777" w:rsidR="000521B2" w:rsidRPr="004B14BD" w:rsidRDefault="000521B2" w:rsidP="000B6712">
      <w:pPr>
        <w:autoSpaceDE w:val="0"/>
        <w:autoSpaceDN w:val="0"/>
        <w:adjustRightInd w:val="0"/>
        <w:jc w:val="center"/>
        <w:rPr>
          <w:rFonts w:cs="Verdana"/>
          <w:b/>
          <w:bCs/>
          <w:color w:val="FF0000"/>
          <w:sz w:val="40"/>
          <w:szCs w:val="40"/>
        </w:rPr>
      </w:pPr>
    </w:p>
    <w:p w14:paraId="348C9D8E" w14:textId="77777777" w:rsidR="000B6712" w:rsidRPr="004B14BD" w:rsidRDefault="000B6712" w:rsidP="000B6712">
      <w:pPr>
        <w:autoSpaceDE w:val="0"/>
        <w:autoSpaceDN w:val="0"/>
        <w:adjustRightInd w:val="0"/>
        <w:jc w:val="center"/>
        <w:rPr>
          <w:rFonts w:cs="Verdana"/>
          <w:b/>
          <w:bCs/>
          <w:color w:val="FF0000"/>
          <w:sz w:val="20"/>
        </w:rPr>
      </w:pPr>
    </w:p>
    <w:p w14:paraId="11851BE4" w14:textId="77777777" w:rsidR="000B6712" w:rsidRPr="00701A3C" w:rsidRDefault="005A3EFE" w:rsidP="000B6712">
      <w:pPr>
        <w:autoSpaceDE w:val="0"/>
        <w:autoSpaceDN w:val="0"/>
        <w:adjustRightInd w:val="0"/>
        <w:jc w:val="both"/>
        <w:rPr>
          <w:rFonts w:cs="Verdana"/>
          <w:bCs/>
          <w:color w:val="000000" w:themeColor="text1"/>
          <w:sz w:val="21"/>
          <w:szCs w:val="21"/>
        </w:rPr>
      </w:pPr>
      <w:r w:rsidRPr="00701A3C">
        <w:rPr>
          <w:rFonts w:cs="Verdana"/>
          <w:bCs/>
          <w:color w:val="000000" w:themeColor="text1"/>
          <w:sz w:val="21"/>
          <w:szCs w:val="21"/>
        </w:rPr>
        <w:t>Miljøgodkendelse af dieseldrevne nødstrømsanlæg (17 nødstrømsgeneratorer)</w:t>
      </w:r>
    </w:p>
    <w:p w14:paraId="3A8BC25C" w14:textId="77777777" w:rsidR="000B6712" w:rsidRPr="004B14BD" w:rsidRDefault="000B6712" w:rsidP="000B6712">
      <w:pPr>
        <w:autoSpaceDE w:val="0"/>
        <w:autoSpaceDN w:val="0"/>
        <w:adjustRightInd w:val="0"/>
        <w:jc w:val="both"/>
        <w:rPr>
          <w:rFonts w:cs="Verdana"/>
          <w:b/>
          <w:bCs/>
          <w:color w:val="FF0000"/>
          <w:szCs w:val="19"/>
        </w:rPr>
      </w:pPr>
    </w:p>
    <w:p w14:paraId="1EAC16AB" w14:textId="77777777" w:rsidR="000B6712" w:rsidRPr="004B14BD" w:rsidRDefault="000B6712" w:rsidP="000B6712">
      <w:pPr>
        <w:autoSpaceDE w:val="0"/>
        <w:autoSpaceDN w:val="0"/>
        <w:adjustRightInd w:val="0"/>
        <w:jc w:val="both"/>
        <w:rPr>
          <w:rFonts w:cs="Verdana"/>
          <w:b/>
          <w:bCs/>
          <w:color w:val="FF0000"/>
          <w:szCs w:val="19"/>
        </w:rPr>
      </w:pPr>
    </w:p>
    <w:p w14:paraId="4AEE7064" w14:textId="77777777" w:rsidR="000B6712" w:rsidRPr="004B14BD" w:rsidRDefault="000B6712" w:rsidP="000B6712">
      <w:pPr>
        <w:tabs>
          <w:tab w:val="left" w:pos="3682"/>
        </w:tabs>
        <w:autoSpaceDE w:val="0"/>
        <w:autoSpaceDN w:val="0"/>
        <w:adjustRightInd w:val="0"/>
        <w:jc w:val="both"/>
        <w:rPr>
          <w:rFonts w:cs="Verdana"/>
          <w:b/>
          <w:bCs/>
          <w:color w:val="FF0000"/>
          <w:szCs w:val="19"/>
        </w:rPr>
      </w:pPr>
      <w:r w:rsidRPr="004B14BD">
        <w:rPr>
          <w:rFonts w:cs="Verdana"/>
          <w:b/>
          <w:bCs/>
          <w:color w:val="FF0000"/>
          <w:szCs w:val="19"/>
        </w:rPr>
        <w:tab/>
      </w:r>
    </w:p>
    <w:p w14:paraId="385A971A" w14:textId="77777777" w:rsidR="000B6712" w:rsidRPr="004B14BD" w:rsidRDefault="000B6712" w:rsidP="000B6712">
      <w:pPr>
        <w:autoSpaceDE w:val="0"/>
        <w:autoSpaceDN w:val="0"/>
        <w:adjustRightInd w:val="0"/>
        <w:jc w:val="both"/>
        <w:rPr>
          <w:rFonts w:cs="Verdana"/>
          <w:b/>
          <w:bCs/>
          <w:color w:val="FF0000"/>
          <w:szCs w:val="19"/>
        </w:rPr>
      </w:pPr>
    </w:p>
    <w:p w14:paraId="06639412" w14:textId="77777777" w:rsidR="000B6712" w:rsidRPr="005E680F" w:rsidRDefault="000B6712" w:rsidP="000B6712">
      <w:pPr>
        <w:autoSpaceDE w:val="0"/>
        <w:autoSpaceDN w:val="0"/>
        <w:adjustRightInd w:val="0"/>
        <w:jc w:val="center"/>
        <w:rPr>
          <w:rFonts w:cs="Verdana"/>
          <w:b/>
          <w:bCs/>
          <w:color w:val="000000" w:themeColor="text1"/>
          <w:sz w:val="23"/>
          <w:szCs w:val="23"/>
        </w:rPr>
      </w:pPr>
      <w:r w:rsidRPr="005E680F">
        <w:rPr>
          <w:rFonts w:cs="Verdana"/>
          <w:b/>
          <w:bCs/>
          <w:color w:val="000000" w:themeColor="text1"/>
          <w:sz w:val="23"/>
          <w:szCs w:val="23"/>
        </w:rPr>
        <w:t xml:space="preserve">Vilkår </w:t>
      </w:r>
    </w:p>
    <w:p w14:paraId="35341EED" w14:textId="77777777" w:rsidR="000B6712" w:rsidRPr="005E680F" w:rsidRDefault="000B6712" w:rsidP="000B6712">
      <w:pPr>
        <w:autoSpaceDE w:val="0"/>
        <w:autoSpaceDN w:val="0"/>
        <w:adjustRightInd w:val="0"/>
        <w:jc w:val="center"/>
        <w:rPr>
          <w:rFonts w:cs="Verdana"/>
          <w:b/>
          <w:bCs/>
          <w:color w:val="000000" w:themeColor="text1"/>
          <w:sz w:val="23"/>
          <w:szCs w:val="23"/>
        </w:rPr>
      </w:pPr>
      <w:r w:rsidRPr="005E680F">
        <w:rPr>
          <w:rFonts w:cs="Verdana"/>
          <w:b/>
          <w:bCs/>
          <w:color w:val="000000" w:themeColor="text1"/>
          <w:sz w:val="23"/>
          <w:szCs w:val="23"/>
        </w:rPr>
        <w:t>gældende fra</w:t>
      </w:r>
    </w:p>
    <w:p w14:paraId="2B934044" w14:textId="5BEA018D" w:rsidR="000B6712" w:rsidRPr="005E680F" w:rsidRDefault="005E680F" w:rsidP="000B6712">
      <w:pPr>
        <w:autoSpaceDE w:val="0"/>
        <w:autoSpaceDN w:val="0"/>
        <w:adjustRightInd w:val="0"/>
        <w:jc w:val="center"/>
        <w:rPr>
          <w:rFonts w:cs="Verdana"/>
          <w:b/>
          <w:bCs/>
          <w:color w:val="000000" w:themeColor="text1"/>
          <w:sz w:val="23"/>
          <w:szCs w:val="23"/>
        </w:rPr>
      </w:pPr>
      <w:r>
        <w:rPr>
          <w:rFonts w:cs="Verdana"/>
          <w:b/>
          <w:bCs/>
          <w:color w:val="000000" w:themeColor="text1"/>
          <w:sz w:val="23"/>
          <w:szCs w:val="23"/>
        </w:rPr>
        <w:t>22. december 2022</w:t>
      </w:r>
    </w:p>
    <w:p w14:paraId="4B154632" w14:textId="77777777" w:rsidR="000B6712" w:rsidRPr="004B14BD" w:rsidRDefault="000B6712" w:rsidP="000B6712">
      <w:pPr>
        <w:autoSpaceDE w:val="0"/>
        <w:autoSpaceDN w:val="0"/>
        <w:adjustRightInd w:val="0"/>
        <w:jc w:val="center"/>
        <w:rPr>
          <w:rFonts w:cs="Verdana"/>
          <w:b/>
          <w:bCs/>
          <w:color w:val="FF0000"/>
          <w:sz w:val="23"/>
          <w:szCs w:val="23"/>
        </w:rPr>
      </w:pPr>
    </w:p>
    <w:p w14:paraId="0A32CFAC" w14:textId="77777777" w:rsidR="000B6712" w:rsidRPr="004B14BD" w:rsidRDefault="000B6712" w:rsidP="000B6712">
      <w:pPr>
        <w:autoSpaceDE w:val="0"/>
        <w:autoSpaceDN w:val="0"/>
        <w:adjustRightInd w:val="0"/>
        <w:jc w:val="center"/>
        <w:rPr>
          <w:rFonts w:cs="Verdana"/>
          <w:b/>
          <w:bCs/>
          <w:color w:val="FF0000"/>
          <w:sz w:val="23"/>
          <w:szCs w:val="23"/>
        </w:rPr>
      </w:pPr>
    </w:p>
    <w:p w14:paraId="5A55B55A" w14:textId="77777777" w:rsidR="000B6712" w:rsidRPr="004B14BD" w:rsidRDefault="000B6712" w:rsidP="000B6712">
      <w:pPr>
        <w:autoSpaceDE w:val="0"/>
        <w:autoSpaceDN w:val="0"/>
        <w:adjustRightInd w:val="0"/>
        <w:jc w:val="center"/>
        <w:rPr>
          <w:rFonts w:cs="Verdana"/>
          <w:b/>
          <w:bCs/>
          <w:color w:val="FF0000"/>
          <w:sz w:val="23"/>
          <w:szCs w:val="23"/>
        </w:rPr>
      </w:pPr>
    </w:p>
    <w:tbl>
      <w:tblPr>
        <w:tblW w:w="5000" w:type="pct"/>
        <w:jc w:val="center"/>
        <w:tblLook w:val="01E0" w:firstRow="1" w:lastRow="1" w:firstColumn="1" w:lastColumn="1" w:noHBand="0" w:noVBand="0"/>
      </w:tblPr>
      <w:tblGrid>
        <w:gridCol w:w="4509"/>
        <w:gridCol w:w="325"/>
        <w:gridCol w:w="3530"/>
      </w:tblGrid>
      <w:tr w:rsidR="000B6712" w:rsidRPr="004B14BD" w14:paraId="68FBB6DC" w14:textId="77777777" w:rsidTr="000B6712">
        <w:trPr>
          <w:jc w:val="center"/>
        </w:trPr>
        <w:tc>
          <w:tcPr>
            <w:tcW w:w="2696" w:type="pct"/>
            <w:hideMark/>
          </w:tcPr>
          <w:p w14:paraId="251B1C8E" w14:textId="77777777" w:rsidR="000B6712" w:rsidRPr="004B14BD" w:rsidRDefault="000B6712" w:rsidP="000B6712">
            <w:pPr>
              <w:autoSpaceDE w:val="0"/>
              <w:autoSpaceDN w:val="0"/>
              <w:adjustRightInd w:val="0"/>
              <w:rPr>
                <w:rFonts w:cs="Verdana"/>
                <w:b/>
                <w:bCs/>
                <w:color w:val="000000" w:themeColor="text1"/>
                <w:sz w:val="23"/>
                <w:szCs w:val="23"/>
              </w:rPr>
            </w:pPr>
            <w:r w:rsidRPr="004B14BD">
              <w:rPr>
                <w:rFonts w:cs="Verdana"/>
                <w:b/>
                <w:bCs/>
                <w:color w:val="000000" w:themeColor="text1"/>
                <w:sz w:val="23"/>
                <w:szCs w:val="23"/>
              </w:rPr>
              <w:t>Udarbejdet af</w:t>
            </w:r>
          </w:p>
        </w:tc>
        <w:tc>
          <w:tcPr>
            <w:tcW w:w="194" w:type="pct"/>
          </w:tcPr>
          <w:p w14:paraId="1C234BC7" w14:textId="77777777" w:rsidR="000B6712" w:rsidRPr="004B14BD" w:rsidRDefault="000B6712" w:rsidP="000B6712">
            <w:pPr>
              <w:autoSpaceDE w:val="0"/>
              <w:autoSpaceDN w:val="0"/>
              <w:adjustRightInd w:val="0"/>
              <w:jc w:val="center"/>
              <w:rPr>
                <w:rFonts w:cs="Verdana"/>
                <w:b/>
                <w:bCs/>
                <w:color w:val="000000" w:themeColor="text1"/>
                <w:sz w:val="23"/>
                <w:szCs w:val="23"/>
              </w:rPr>
            </w:pPr>
          </w:p>
        </w:tc>
        <w:tc>
          <w:tcPr>
            <w:tcW w:w="2110" w:type="pct"/>
            <w:hideMark/>
          </w:tcPr>
          <w:p w14:paraId="111EE31E" w14:textId="77777777" w:rsidR="000B6712" w:rsidRPr="004B14BD" w:rsidRDefault="000B6712" w:rsidP="000B6712">
            <w:pPr>
              <w:autoSpaceDE w:val="0"/>
              <w:autoSpaceDN w:val="0"/>
              <w:adjustRightInd w:val="0"/>
              <w:rPr>
                <w:rFonts w:cs="Verdana"/>
                <w:b/>
                <w:bCs/>
                <w:color w:val="000000" w:themeColor="text1"/>
                <w:sz w:val="23"/>
                <w:szCs w:val="23"/>
              </w:rPr>
            </w:pPr>
            <w:r w:rsidRPr="004B14BD">
              <w:rPr>
                <w:rFonts w:cs="Verdana"/>
                <w:b/>
                <w:bCs/>
                <w:color w:val="000000" w:themeColor="text1"/>
                <w:sz w:val="23"/>
                <w:szCs w:val="23"/>
              </w:rPr>
              <w:t>Kvalitetssikret af</w:t>
            </w:r>
          </w:p>
        </w:tc>
      </w:tr>
      <w:tr w:rsidR="000B6712" w:rsidRPr="004B14BD" w14:paraId="1C06A47F" w14:textId="77777777" w:rsidTr="000B6712">
        <w:trPr>
          <w:jc w:val="center"/>
        </w:trPr>
        <w:tc>
          <w:tcPr>
            <w:tcW w:w="2696" w:type="pct"/>
            <w:hideMark/>
          </w:tcPr>
          <w:p w14:paraId="1BA30245" w14:textId="77777777" w:rsidR="000B6712" w:rsidRPr="004B14BD" w:rsidRDefault="000B6712" w:rsidP="000B6712">
            <w:pPr>
              <w:autoSpaceDE w:val="0"/>
              <w:autoSpaceDN w:val="0"/>
              <w:adjustRightInd w:val="0"/>
              <w:rPr>
                <w:rFonts w:cs="Verdana"/>
                <w:bCs/>
                <w:color w:val="000000" w:themeColor="text1"/>
                <w:sz w:val="23"/>
                <w:szCs w:val="23"/>
              </w:rPr>
            </w:pPr>
            <w:r w:rsidRPr="004B14BD">
              <w:rPr>
                <w:rFonts w:cs="Verdana"/>
                <w:bCs/>
                <w:color w:val="000000" w:themeColor="text1"/>
                <w:sz w:val="23"/>
                <w:szCs w:val="23"/>
              </w:rPr>
              <w:t>Majbritt Østersø</w:t>
            </w:r>
          </w:p>
        </w:tc>
        <w:tc>
          <w:tcPr>
            <w:tcW w:w="194" w:type="pct"/>
          </w:tcPr>
          <w:p w14:paraId="579ADD91" w14:textId="77777777" w:rsidR="000B6712" w:rsidRPr="004B14BD" w:rsidRDefault="000B6712" w:rsidP="000B6712">
            <w:pPr>
              <w:autoSpaceDE w:val="0"/>
              <w:autoSpaceDN w:val="0"/>
              <w:adjustRightInd w:val="0"/>
              <w:jc w:val="center"/>
              <w:rPr>
                <w:rFonts w:cs="Verdana"/>
                <w:b/>
                <w:bCs/>
                <w:color w:val="000000" w:themeColor="text1"/>
                <w:sz w:val="23"/>
                <w:szCs w:val="23"/>
              </w:rPr>
            </w:pPr>
          </w:p>
        </w:tc>
        <w:tc>
          <w:tcPr>
            <w:tcW w:w="2110" w:type="pct"/>
            <w:hideMark/>
          </w:tcPr>
          <w:p w14:paraId="6B32EEF9" w14:textId="77777777" w:rsidR="000B6712" w:rsidRPr="004B14BD" w:rsidRDefault="00B668A2" w:rsidP="000B6712">
            <w:pPr>
              <w:autoSpaceDE w:val="0"/>
              <w:autoSpaceDN w:val="0"/>
              <w:adjustRightInd w:val="0"/>
              <w:rPr>
                <w:rFonts w:cs="Verdana"/>
                <w:bCs/>
                <w:color w:val="000000" w:themeColor="text1"/>
                <w:sz w:val="23"/>
                <w:szCs w:val="23"/>
              </w:rPr>
            </w:pPr>
            <w:r w:rsidRPr="004B14BD">
              <w:rPr>
                <w:rFonts w:cs="Verdana"/>
                <w:bCs/>
                <w:color w:val="000000" w:themeColor="text1"/>
                <w:sz w:val="23"/>
                <w:szCs w:val="23"/>
              </w:rPr>
              <w:t>Rikke Rasmussen</w:t>
            </w:r>
          </w:p>
        </w:tc>
      </w:tr>
      <w:tr w:rsidR="000B6712" w:rsidRPr="004B14BD" w14:paraId="72372DAF" w14:textId="77777777" w:rsidTr="000B6712">
        <w:trPr>
          <w:trHeight w:val="80"/>
          <w:jc w:val="center"/>
        </w:trPr>
        <w:tc>
          <w:tcPr>
            <w:tcW w:w="2696" w:type="pct"/>
            <w:hideMark/>
          </w:tcPr>
          <w:p w14:paraId="45E14E1D" w14:textId="29AF3DBB" w:rsidR="000B6712" w:rsidRPr="004B14BD" w:rsidRDefault="000B6712" w:rsidP="000B6712">
            <w:pPr>
              <w:autoSpaceDE w:val="0"/>
              <w:autoSpaceDN w:val="0"/>
              <w:adjustRightInd w:val="0"/>
              <w:rPr>
                <w:rFonts w:cs="Verdana"/>
                <w:bCs/>
                <w:color w:val="000000" w:themeColor="text1"/>
                <w:sz w:val="23"/>
                <w:szCs w:val="23"/>
              </w:rPr>
            </w:pPr>
            <w:r w:rsidRPr="004B14BD">
              <w:rPr>
                <w:rFonts w:cs="Verdana"/>
                <w:bCs/>
                <w:color w:val="000000" w:themeColor="text1"/>
                <w:sz w:val="23"/>
                <w:szCs w:val="23"/>
              </w:rPr>
              <w:t>Miljømedarbejder</w:t>
            </w:r>
          </w:p>
        </w:tc>
        <w:tc>
          <w:tcPr>
            <w:tcW w:w="194" w:type="pct"/>
          </w:tcPr>
          <w:p w14:paraId="6F7E8E4A" w14:textId="77777777" w:rsidR="000B6712" w:rsidRPr="004B14BD" w:rsidRDefault="000B6712" w:rsidP="000B6712">
            <w:pPr>
              <w:autoSpaceDE w:val="0"/>
              <w:autoSpaceDN w:val="0"/>
              <w:adjustRightInd w:val="0"/>
              <w:jc w:val="center"/>
              <w:rPr>
                <w:rFonts w:cs="Verdana"/>
                <w:b/>
                <w:bCs/>
                <w:color w:val="000000" w:themeColor="text1"/>
                <w:sz w:val="23"/>
                <w:szCs w:val="23"/>
              </w:rPr>
            </w:pPr>
          </w:p>
        </w:tc>
        <w:tc>
          <w:tcPr>
            <w:tcW w:w="2110" w:type="pct"/>
            <w:hideMark/>
          </w:tcPr>
          <w:p w14:paraId="6525B254" w14:textId="77777777" w:rsidR="000B6712" w:rsidRPr="004B14BD" w:rsidRDefault="000B6712" w:rsidP="000B6712">
            <w:pPr>
              <w:autoSpaceDE w:val="0"/>
              <w:autoSpaceDN w:val="0"/>
              <w:adjustRightInd w:val="0"/>
              <w:rPr>
                <w:rFonts w:cs="Verdana"/>
                <w:bCs/>
                <w:color w:val="000000" w:themeColor="text1"/>
                <w:sz w:val="23"/>
                <w:szCs w:val="23"/>
              </w:rPr>
            </w:pPr>
            <w:r w:rsidRPr="004B14BD">
              <w:rPr>
                <w:rFonts w:cs="Verdana"/>
                <w:bCs/>
                <w:color w:val="000000" w:themeColor="text1"/>
                <w:sz w:val="23"/>
                <w:szCs w:val="23"/>
              </w:rPr>
              <w:t>Miljømedarbejder</w:t>
            </w:r>
          </w:p>
        </w:tc>
      </w:tr>
    </w:tbl>
    <w:p w14:paraId="49E0855D" w14:textId="77777777" w:rsidR="000B6712" w:rsidRPr="004B14BD" w:rsidRDefault="000B6712" w:rsidP="000B6712">
      <w:pPr>
        <w:autoSpaceDE w:val="0"/>
        <w:autoSpaceDN w:val="0"/>
        <w:adjustRightInd w:val="0"/>
        <w:rPr>
          <w:rFonts w:cs="Verdana"/>
          <w:b/>
          <w:bCs/>
          <w:color w:val="FF0000"/>
          <w:sz w:val="23"/>
          <w:szCs w:val="23"/>
        </w:rPr>
      </w:pPr>
    </w:p>
    <w:p w14:paraId="4569251D" w14:textId="77777777" w:rsidR="000B6712" w:rsidRPr="004B14BD" w:rsidRDefault="000B6712" w:rsidP="000B6712">
      <w:pPr>
        <w:spacing w:line="240" w:lineRule="auto"/>
        <w:rPr>
          <w:rFonts w:cs="Verdana"/>
          <w:b/>
          <w:bCs/>
          <w:color w:val="FF0000"/>
          <w:sz w:val="24"/>
          <w:szCs w:val="24"/>
        </w:rPr>
      </w:pPr>
      <w:r w:rsidRPr="004B14BD">
        <w:rPr>
          <w:rFonts w:cs="Verdana"/>
          <w:b/>
          <w:bCs/>
          <w:color w:val="FF0000"/>
          <w:sz w:val="24"/>
          <w:szCs w:val="24"/>
        </w:rPr>
        <w:br w:type="page"/>
      </w:r>
    </w:p>
    <w:p w14:paraId="6DC1ABB0" w14:textId="77777777" w:rsidR="000B6712" w:rsidRPr="004B14BD" w:rsidRDefault="000B6712" w:rsidP="000B6712">
      <w:pPr>
        <w:rPr>
          <w:rFonts w:cs="Verdana"/>
          <w:b/>
          <w:bCs/>
          <w:color w:val="000000" w:themeColor="text1"/>
          <w:sz w:val="24"/>
          <w:szCs w:val="24"/>
        </w:rPr>
      </w:pPr>
      <w:r w:rsidRPr="004B14BD">
        <w:rPr>
          <w:rFonts w:cs="Verdana"/>
          <w:b/>
          <w:bCs/>
          <w:color w:val="000000" w:themeColor="text1"/>
          <w:sz w:val="24"/>
          <w:szCs w:val="24"/>
        </w:rPr>
        <w:lastRenderedPageBreak/>
        <w:t>Virksomhedens stamoplysninger</w:t>
      </w:r>
    </w:p>
    <w:p w14:paraId="39E47D31" w14:textId="77777777" w:rsidR="000B6712" w:rsidRPr="004B14BD" w:rsidRDefault="000B6712" w:rsidP="000B6712">
      <w:pPr>
        <w:spacing w:line="240" w:lineRule="auto"/>
        <w:jc w:val="both"/>
        <w:rPr>
          <w:color w:val="FF0000"/>
          <w:spacing w:val="-3"/>
          <w:sz w:val="24"/>
        </w:rPr>
      </w:pPr>
    </w:p>
    <w:tbl>
      <w:tblPr>
        <w:tblW w:w="0" w:type="auto"/>
        <w:shd w:val="clear" w:color="auto" w:fill="E6E6E6"/>
        <w:tblLayout w:type="fixed"/>
        <w:tblCellMar>
          <w:left w:w="70" w:type="dxa"/>
          <w:right w:w="70" w:type="dxa"/>
        </w:tblCellMar>
        <w:tblLook w:val="04A0" w:firstRow="1" w:lastRow="0" w:firstColumn="1" w:lastColumn="0" w:noHBand="0" w:noVBand="1"/>
      </w:tblPr>
      <w:tblGrid>
        <w:gridCol w:w="3847"/>
        <w:gridCol w:w="4870"/>
      </w:tblGrid>
      <w:tr w:rsidR="000B6712" w:rsidRPr="004B14BD" w14:paraId="4E67F30D" w14:textId="77777777" w:rsidTr="000B6712">
        <w:tc>
          <w:tcPr>
            <w:tcW w:w="3847" w:type="dxa"/>
            <w:shd w:val="clear" w:color="auto" w:fill="E6E6E6"/>
            <w:hideMark/>
          </w:tcPr>
          <w:p w14:paraId="0DA39D31" w14:textId="77777777" w:rsidR="000B6712" w:rsidRPr="004B14BD" w:rsidRDefault="000B6712" w:rsidP="000B6712">
            <w:pPr>
              <w:spacing w:line="360" w:lineRule="auto"/>
              <w:rPr>
                <w:b/>
                <w:color w:val="000000" w:themeColor="text1"/>
                <w:szCs w:val="19"/>
              </w:rPr>
            </w:pPr>
            <w:r w:rsidRPr="004B14BD">
              <w:rPr>
                <w:b/>
                <w:color w:val="000000" w:themeColor="text1"/>
                <w:szCs w:val="19"/>
              </w:rPr>
              <w:t>Virksomhedens navn og adresse:</w:t>
            </w:r>
          </w:p>
        </w:tc>
        <w:tc>
          <w:tcPr>
            <w:tcW w:w="4870" w:type="dxa"/>
            <w:shd w:val="clear" w:color="auto" w:fill="E6E6E6"/>
          </w:tcPr>
          <w:p w14:paraId="58D212DA" w14:textId="77777777" w:rsidR="00BF6AAF" w:rsidRPr="004B14BD" w:rsidRDefault="00BF6AAF" w:rsidP="000B6712">
            <w:pPr>
              <w:spacing w:line="240" w:lineRule="auto"/>
              <w:ind w:left="497"/>
              <w:rPr>
                <w:bCs/>
                <w:color w:val="000000" w:themeColor="text1"/>
                <w:szCs w:val="19"/>
                <w:lang w:val="en-GB"/>
              </w:rPr>
            </w:pPr>
            <w:r w:rsidRPr="004B14BD">
              <w:rPr>
                <w:bCs/>
                <w:color w:val="000000" w:themeColor="text1"/>
                <w:szCs w:val="19"/>
                <w:lang w:val="en-GB"/>
              </w:rPr>
              <w:t>Microsoft Danmark ApS</w:t>
            </w:r>
          </w:p>
          <w:p w14:paraId="0E2A1BED" w14:textId="77777777" w:rsidR="000B6712" w:rsidRPr="004B14BD" w:rsidRDefault="00B55514" w:rsidP="000B6712">
            <w:pPr>
              <w:spacing w:line="240" w:lineRule="auto"/>
              <w:ind w:left="497"/>
              <w:rPr>
                <w:bCs/>
                <w:color w:val="000000" w:themeColor="text1"/>
                <w:szCs w:val="19"/>
                <w:lang w:val="en-GB"/>
              </w:rPr>
            </w:pPr>
            <w:r w:rsidRPr="004B14BD">
              <w:rPr>
                <w:bCs/>
                <w:color w:val="000000" w:themeColor="text1"/>
                <w:szCs w:val="19"/>
                <w:lang w:val="en-GB"/>
              </w:rPr>
              <w:t>CPH07</w:t>
            </w:r>
          </w:p>
          <w:p w14:paraId="007E07B4" w14:textId="77777777" w:rsidR="00B55514" w:rsidRPr="004B14BD" w:rsidRDefault="00B55514" w:rsidP="000B6712">
            <w:pPr>
              <w:spacing w:line="240" w:lineRule="auto"/>
              <w:ind w:left="497"/>
              <w:rPr>
                <w:bCs/>
                <w:color w:val="000000" w:themeColor="text1"/>
                <w:szCs w:val="19"/>
                <w:lang w:val="en-GB"/>
              </w:rPr>
            </w:pPr>
            <w:r w:rsidRPr="004B14BD">
              <w:rPr>
                <w:bCs/>
                <w:color w:val="000000" w:themeColor="text1"/>
                <w:szCs w:val="19"/>
                <w:lang w:val="en-GB"/>
              </w:rPr>
              <w:t>Bohus Boulevard 2</w:t>
            </w:r>
          </w:p>
          <w:p w14:paraId="7DFA2521" w14:textId="77777777" w:rsidR="00B55514" w:rsidRPr="004B14BD" w:rsidRDefault="00B55514" w:rsidP="000B6712">
            <w:pPr>
              <w:spacing w:line="240" w:lineRule="auto"/>
              <w:ind w:left="497"/>
              <w:rPr>
                <w:bCs/>
                <w:color w:val="000000" w:themeColor="text1"/>
                <w:szCs w:val="19"/>
                <w:lang w:val="en-US"/>
              </w:rPr>
            </w:pPr>
            <w:r w:rsidRPr="004B14BD">
              <w:rPr>
                <w:bCs/>
                <w:color w:val="000000" w:themeColor="text1"/>
                <w:szCs w:val="19"/>
                <w:lang w:val="en-GB"/>
              </w:rPr>
              <w:t>2630 Taastrup</w:t>
            </w:r>
          </w:p>
          <w:p w14:paraId="006F71A8" w14:textId="77777777" w:rsidR="000B6712" w:rsidRPr="004B14BD" w:rsidRDefault="000B6712" w:rsidP="000B6712">
            <w:pPr>
              <w:spacing w:line="240" w:lineRule="auto"/>
              <w:ind w:left="497"/>
              <w:rPr>
                <w:bCs/>
                <w:color w:val="000000" w:themeColor="text1"/>
                <w:szCs w:val="19"/>
                <w:lang w:val="en-US"/>
              </w:rPr>
            </w:pPr>
          </w:p>
        </w:tc>
      </w:tr>
      <w:tr w:rsidR="000B6712" w:rsidRPr="004B14BD" w14:paraId="5FAF6A5B" w14:textId="77777777" w:rsidTr="000B6712">
        <w:tc>
          <w:tcPr>
            <w:tcW w:w="3847" w:type="dxa"/>
            <w:shd w:val="clear" w:color="auto" w:fill="E6E6E6"/>
            <w:hideMark/>
          </w:tcPr>
          <w:p w14:paraId="04E41C55" w14:textId="77777777" w:rsidR="000B6712" w:rsidRPr="004B14BD" w:rsidRDefault="000B6712" w:rsidP="000B6712">
            <w:pPr>
              <w:spacing w:line="360" w:lineRule="auto"/>
              <w:rPr>
                <w:b/>
                <w:color w:val="000000" w:themeColor="text1"/>
                <w:szCs w:val="19"/>
              </w:rPr>
            </w:pPr>
            <w:r w:rsidRPr="004B14BD">
              <w:rPr>
                <w:b/>
                <w:color w:val="000000" w:themeColor="text1"/>
                <w:szCs w:val="19"/>
              </w:rPr>
              <w:t>CVR-nummer:</w:t>
            </w:r>
          </w:p>
        </w:tc>
        <w:tc>
          <w:tcPr>
            <w:tcW w:w="4870" w:type="dxa"/>
            <w:shd w:val="clear" w:color="auto" w:fill="E6E6E6"/>
          </w:tcPr>
          <w:p w14:paraId="3E1FA951" w14:textId="77777777" w:rsidR="000B6712" w:rsidRPr="004B14BD" w:rsidRDefault="00671283" w:rsidP="000B6712">
            <w:pPr>
              <w:spacing w:line="240" w:lineRule="auto"/>
              <w:ind w:left="497"/>
              <w:rPr>
                <w:bCs/>
                <w:color w:val="000000" w:themeColor="text1"/>
                <w:szCs w:val="19"/>
                <w:lang w:val="en-GB"/>
              </w:rPr>
            </w:pPr>
            <w:r w:rsidRPr="004B14BD">
              <w:rPr>
                <w:rFonts w:cs="Arial"/>
                <w:color w:val="000000" w:themeColor="text1"/>
                <w:lang w:val="en-US"/>
              </w:rPr>
              <w:t>42119407</w:t>
            </w:r>
          </w:p>
        </w:tc>
      </w:tr>
      <w:tr w:rsidR="000B6712" w:rsidRPr="004B14BD" w14:paraId="4B9D1CD4" w14:textId="77777777" w:rsidTr="000B6712">
        <w:tc>
          <w:tcPr>
            <w:tcW w:w="3847" w:type="dxa"/>
            <w:shd w:val="clear" w:color="auto" w:fill="E6E6E6"/>
            <w:hideMark/>
          </w:tcPr>
          <w:p w14:paraId="67900E68" w14:textId="77777777" w:rsidR="000B6712" w:rsidRPr="004B14BD" w:rsidRDefault="000B6712" w:rsidP="000B6712">
            <w:pPr>
              <w:spacing w:line="360" w:lineRule="auto"/>
              <w:rPr>
                <w:b/>
                <w:color w:val="000000" w:themeColor="text1"/>
                <w:szCs w:val="19"/>
              </w:rPr>
            </w:pPr>
            <w:r w:rsidRPr="004B14BD">
              <w:rPr>
                <w:b/>
                <w:color w:val="000000" w:themeColor="text1"/>
                <w:szCs w:val="19"/>
              </w:rPr>
              <w:t>P-nummer:</w:t>
            </w:r>
          </w:p>
        </w:tc>
        <w:tc>
          <w:tcPr>
            <w:tcW w:w="4870" w:type="dxa"/>
            <w:shd w:val="clear" w:color="auto" w:fill="E6E6E6"/>
            <w:hideMark/>
          </w:tcPr>
          <w:p w14:paraId="1C859475" w14:textId="77777777" w:rsidR="000B6712" w:rsidRPr="004B14BD" w:rsidRDefault="00671283" w:rsidP="000B6712">
            <w:pPr>
              <w:spacing w:line="240" w:lineRule="auto"/>
              <w:ind w:left="497"/>
              <w:rPr>
                <w:bCs/>
                <w:color w:val="000000" w:themeColor="text1"/>
                <w:szCs w:val="19"/>
                <w:lang w:val="en-GB"/>
              </w:rPr>
            </w:pPr>
            <w:r w:rsidRPr="004B14BD">
              <w:rPr>
                <w:bCs/>
                <w:color w:val="000000" w:themeColor="text1"/>
                <w:szCs w:val="19"/>
                <w:lang w:val="en-GB"/>
              </w:rPr>
              <w:t>1026798988</w:t>
            </w:r>
          </w:p>
        </w:tc>
      </w:tr>
      <w:tr w:rsidR="000B6712" w:rsidRPr="004B14BD" w14:paraId="4315E35B" w14:textId="77777777" w:rsidTr="000B6712">
        <w:tc>
          <w:tcPr>
            <w:tcW w:w="3847" w:type="dxa"/>
            <w:shd w:val="clear" w:color="auto" w:fill="E6E6E6"/>
            <w:hideMark/>
          </w:tcPr>
          <w:p w14:paraId="6567C010" w14:textId="77777777" w:rsidR="000B6712" w:rsidRPr="004B14BD" w:rsidRDefault="000B6712" w:rsidP="000B6712">
            <w:pPr>
              <w:spacing w:line="360" w:lineRule="auto"/>
              <w:rPr>
                <w:b/>
                <w:color w:val="000000" w:themeColor="text1"/>
                <w:szCs w:val="19"/>
              </w:rPr>
            </w:pPr>
            <w:r w:rsidRPr="004B14BD">
              <w:rPr>
                <w:b/>
                <w:color w:val="000000" w:themeColor="text1"/>
                <w:szCs w:val="19"/>
              </w:rPr>
              <w:t>Listebetegnelse:</w:t>
            </w:r>
          </w:p>
        </w:tc>
        <w:tc>
          <w:tcPr>
            <w:tcW w:w="4870" w:type="dxa"/>
            <w:shd w:val="clear" w:color="auto" w:fill="E6E6E6"/>
          </w:tcPr>
          <w:p w14:paraId="584017DA" w14:textId="77777777" w:rsidR="00C53B3A" w:rsidRPr="004B14BD" w:rsidRDefault="00C53B3A" w:rsidP="00C53B3A">
            <w:pPr>
              <w:spacing w:line="240" w:lineRule="auto"/>
              <w:ind w:left="497"/>
              <w:rPr>
                <w:bCs/>
                <w:color w:val="000000" w:themeColor="text1"/>
                <w:szCs w:val="19"/>
              </w:rPr>
            </w:pPr>
            <w:r w:rsidRPr="004B14BD">
              <w:rPr>
                <w:bCs/>
                <w:color w:val="000000" w:themeColor="text1"/>
                <w:szCs w:val="19"/>
              </w:rPr>
              <w:t xml:space="preserve">Godkendelsesbekendtgørelsens bilag 1, punkt 1.1B for: </w:t>
            </w:r>
          </w:p>
          <w:p w14:paraId="2DDFF192" w14:textId="77777777" w:rsidR="000B6712" w:rsidRPr="004B14BD" w:rsidRDefault="00C53B3A" w:rsidP="000B6712">
            <w:pPr>
              <w:spacing w:line="240" w:lineRule="auto"/>
              <w:ind w:left="497"/>
              <w:rPr>
                <w:bCs/>
                <w:color w:val="000000" w:themeColor="text1"/>
                <w:szCs w:val="19"/>
              </w:rPr>
            </w:pPr>
            <w:r w:rsidRPr="004B14BD">
              <w:rPr>
                <w:bCs/>
                <w:color w:val="000000" w:themeColor="text1"/>
                <w:szCs w:val="19"/>
              </w:rPr>
              <w:t>Forbrænding af brændsel i anlæg med en samlet nominel indfyret termisk effekt på 50 MW eller derover, hvor brændslet er andet end kul og/eller orimulsion.</w:t>
            </w:r>
          </w:p>
          <w:p w14:paraId="03432CAF" w14:textId="77777777" w:rsidR="000B6712" w:rsidRPr="004B14BD" w:rsidRDefault="000B6712" w:rsidP="000B6712">
            <w:pPr>
              <w:spacing w:line="240" w:lineRule="auto"/>
              <w:ind w:left="497"/>
              <w:rPr>
                <w:bCs/>
                <w:color w:val="000000" w:themeColor="text1"/>
                <w:szCs w:val="19"/>
              </w:rPr>
            </w:pPr>
          </w:p>
        </w:tc>
      </w:tr>
      <w:tr w:rsidR="000B6712" w:rsidRPr="004B14BD" w14:paraId="39C8938D" w14:textId="77777777" w:rsidTr="000B6712">
        <w:tc>
          <w:tcPr>
            <w:tcW w:w="3847" w:type="dxa"/>
            <w:shd w:val="clear" w:color="auto" w:fill="E6E6E6"/>
            <w:hideMark/>
          </w:tcPr>
          <w:p w14:paraId="39BFF33A" w14:textId="77777777" w:rsidR="000B6712" w:rsidRPr="004B14BD" w:rsidRDefault="000B6712" w:rsidP="000B6712">
            <w:pPr>
              <w:spacing w:line="360" w:lineRule="auto"/>
              <w:rPr>
                <w:b/>
                <w:color w:val="000000" w:themeColor="text1"/>
                <w:szCs w:val="19"/>
              </w:rPr>
            </w:pPr>
            <w:r w:rsidRPr="004B14BD">
              <w:rPr>
                <w:b/>
                <w:color w:val="000000" w:themeColor="text1"/>
                <w:szCs w:val="19"/>
              </w:rPr>
              <w:t>Matrikel nr.:</w:t>
            </w:r>
          </w:p>
        </w:tc>
        <w:tc>
          <w:tcPr>
            <w:tcW w:w="4870" w:type="dxa"/>
            <w:shd w:val="clear" w:color="auto" w:fill="E6E6E6"/>
          </w:tcPr>
          <w:p w14:paraId="7E2E99BD" w14:textId="22EF8F55" w:rsidR="000B6712" w:rsidRPr="004B14BD" w:rsidRDefault="00C53B3A" w:rsidP="00127CBB">
            <w:pPr>
              <w:spacing w:line="240" w:lineRule="auto"/>
              <w:ind w:left="497"/>
              <w:rPr>
                <w:bCs/>
                <w:color w:val="000000" w:themeColor="text1"/>
                <w:szCs w:val="19"/>
              </w:rPr>
            </w:pPr>
            <w:r w:rsidRPr="004B14BD">
              <w:rPr>
                <w:bCs/>
                <w:color w:val="000000" w:themeColor="text1"/>
                <w:szCs w:val="19"/>
              </w:rPr>
              <w:t>3b</w:t>
            </w:r>
            <w:r w:rsidR="004B43F1">
              <w:rPr>
                <w:bCs/>
                <w:color w:val="000000" w:themeColor="text1"/>
                <w:szCs w:val="19"/>
              </w:rPr>
              <w:t xml:space="preserve"> og 12ch</w:t>
            </w:r>
            <w:r w:rsidR="00127CBB">
              <w:rPr>
                <w:bCs/>
                <w:color w:val="000000" w:themeColor="text1"/>
                <w:szCs w:val="19"/>
              </w:rPr>
              <w:t xml:space="preserve">, </w:t>
            </w:r>
            <w:r w:rsidRPr="004B14BD">
              <w:rPr>
                <w:bCs/>
                <w:color w:val="000000" w:themeColor="text1"/>
                <w:szCs w:val="19"/>
              </w:rPr>
              <w:t>Høje-Taastrup By, Høje-Taastrup</w:t>
            </w:r>
          </w:p>
          <w:p w14:paraId="5CCCD9B3" w14:textId="77777777" w:rsidR="00C53B3A" w:rsidRPr="004B14BD" w:rsidRDefault="00C53B3A" w:rsidP="00C53B3A">
            <w:pPr>
              <w:spacing w:line="240" w:lineRule="auto"/>
              <w:ind w:left="497"/>
              <w:rPr>
                <w:bCs/>
                <w:color w:val="000000" w:themeColor="text1"/>
                <w:szCs w:val="19"/>
              </w:rPr>
            </w:pPr>
          </w:p>
        </w:tc>
      </w:tr>
      <w:tr w:rsidR="000B6712" w:rsidRPr="004B14BD" w14:paraId="5798A69E" w14:textId="77777777" w:rsidTr="000B6712">
        <w:tc>
          <w:tcPr>
            <w:tcW w:w="3847" w:type="dxa"/>
            <w:shd w:val="clear" w:color="auto" w:fill="E6E6E6"/>
            <w:hideMark/>
          </w:tcPr>
          <w:p w14:paraId="5ED154CC" w14:textId="77777777" w:rsidR="000B6712" w:rsidRPr="004B14BD" w:rsidRDefault="000B6712" w:rsidP="000B6712">
            <w:pPr>
              <w:spacing w:line="360" w:lineRule="auto"/>
              <w:rPr>
                <w:b/>
                <w:color w:val="000000" w:themeColor="text1"/>
                <w:szCs w:val="19"/>
              </w:rPr>
            </w:pPr>
            <w:r w:rsidRPr="004B14BD">
              <w:rPr>
                <w:b/>
                <w:color w:val="000000" w:themeColor="text1"/>
                <w:szCs w:val="19"/>
              </w:rPr>
              <w:t>Virksomhedens kontaktpersoner:</w:t>
            </w:r>
          </w:p>
        </w:tc>
        <w:tc>
          <w:tcPr>
            <w:tcW w:w="4870" w:type="dxa"/>
            <w:shd w:val="clear" w:color="auto" w:fill="E6E6E6"/>
          </w:tcPr>
          <w:p w14:paraId="1FAF0861" w14:textId="77777777" w:rsidR="00BF6AAF" w:rsidRPr="004B14BD" w:rsidRDefault="00BF6AAF" w:rsidP="00BF6AAF">
            <w:pPr>
              <w:spacing w:line="240" w:lineRule="auto"/>
              <w:ind w:left="497"/>
              <w:rPr>
                <w:bCs/>
                <w:color w:val="000000" w:themeColor="text1"/>
                <w:szCs w:val="19"/>
                <w:lang w:val="en-US"/>
              </w:rPr>
            </w:pPr>
            <w:r w:rsidRPr="004B14BD">
              <w:rPr>
                <w:bCs/>
                <w:color w:val="000000" w:themeColor="text1"/>
                <w:szCs w:val="19"/>
                <w:lang w:val="en-US"/>
              </w:rPr>
              <w:t>Microsoft 3366 Denmark ApS</w:t>
            </w:r>
          </w:p>
          <w:p w14:paraId="18E124CB" w14:textId="77777777" w:rsidR="00BF6AAF" w:rsidRPr="004B14BD" w:rsidRDefault="00BF6AAF" w:rsidP="00BF6AAF">
            <w:pPr>
              <w:spacing w:line="240" w:lineRule="auto"/>
              <w:ind w:left="497"/>
              <w:rPr>
                <w:bCs/>
                <w:color w:val="000000" w:themeColor="text1"/>
                <w:szCs w:val="19"/>
                <w:lang w:val="en-US"/>
              </w:rPr>
            </w:pPr>
            <w:r w:rsidRPr="004B14BD">
              <w:rPr>
                <w:bCs/>
                <w:color w:val="000000" w:themeColor="text1"/>
                <w:szCs w:val="19"/>
                <w:lang w:val="en-US"/>
              </w:rPr>
              <w:t>C/O Microsoft Danmark ApS</w:t>
            </w:r>
          </w:p>
          <w:p w14:paraId="104D3207" w14:textId="77777777" w:rsidR="00BF6AAF" w:rsidRPr="004B14BD" w:rsidRDefault="00BF6AAF" w:rsidP="00BF6AAF">
            <w:pPr>
              <w:spacing w:line="240" w:lineRule="auto"/>
              <w:ind w:left="497"/>
              <w:rPr>
                <w:bCs/>
                <w:color w:val="000000" w:themeColor="text1"/>
                <w:szCs w:val="19"/>
              </w:rPr>
            </w:pPr>
            <w:r w:rsidRPr="004B14BD">
              <w:rPr>
                <w:bCs/>
                <w:color w:val="000000" w:themeColor="text1"/>
                <w:szCs w:val="19"/>
              </w:rPr>
              <w:t>Kanalvej 7</w:t>
            </w:r>
          </w:p>
          <w:p w14:paraId="7C84E572" w14:textId="77777777" w:rsidR="00BF6AAF" w:rsidRPr="004B14BD" w:rsidRDefault="00BF6AAF" w:rsidP="00BF6AAF">
            <w:pPr>
              <w:spacing w:line="240" w:lineRule="auto"/>
              <w:ind w:left="497"/>
              <w:rPr>
                <w:bCs/>
                <w:color w:val="000000" w:themeColor="text1"/>
                <w:szCs w:val="19"/>
              </w:rPr>
            </w:pPr>
            <w:r w:rsidRPr="004B14BD">
              <w:rPr>
                <w:bCs/>
                <w:color w:val="000000" w:themeColor="text1"/>
                <w:szCs w:val="19"/>
              </w:rPr>
              <w:t>2800 Kongens Lyngby</w:t>
            </w:r>
          </w:p>
          <w:p w14:paraId="11633B61" w14:textId="77777777" w:rsidR="00BF6AAF" w:rsidRPr="004B14BD" w:rsidRDefault="00BF6AAF" w:rsidP="00BF6AAF">
            <w:pPr>
              <w:spacing w:line="240" w:lineRule="auto"/>
              <w:ind w:left="497"/>
              <w:rPr>
                <w:bCs/>
                <w:color w:val="000000" w:themeColor="text1"/>
                <w:szCs w:val="19"/>
              </w:rPr>
            </w:pPr>
            <w:r w:rsidRPr="004B14BD">
              <w:rPr>
                <w:bCs/>
                <w:color w:val="000000" w:themeColor="text1"/>
                <w:szCs w:val="19"/>
              </w:rPr>
              <w:t>Att: Nana Bule</w:t>
            </w:r>
          </w:p>
          <w:p w14:paraId="26E9C08C" w14:textId="77777777" w:rsidR="00BF6AAF" w:rsidRPr="004B14BD" w:rsidRDefault="00BF6AAF" w:rsidP="00BF6AAF">
            <w:pPr>
              <w:spacing w:line="240" w:lineRule="auto"/>
              <w:ind w:left="497"/>
              <w:rPr>
                <w:bCs/>
                <w:color w:val="000000" w:themeColor="text1"/>
                <w:szCs w:val="19"/>
              </w:rPr>
            </w:pPr>
            <w:r w:rsidRPr="004B14BD">
              <w:rPr>
                <w:bCs/>
                <w:color w:val="000000" w:themeColor="text1"/>
                <w:szCs w:val="19"/>
              </w:rPr>
              <w:t xml:space="preserve">Telefon. +45 44 89 01 00 </w:t>
            </w:r>
          </w:p>
          <w:p w14:paraId="708C7932" w14:textId="77777777" w:rsidR="000B6712" w:rsidRPr="004B14BD" w:rsidRDefault="00BF6AAF" w:rsidP="00BF6AAF">
            <w:pPr>
              <w:spacing w:line="240" w:lineRule="auto"/>
              <w:ind w:left="497"/>
              <w:rPr>
                <w:bCs/>
                <w:color w:val="000000" w:themeColor="text1"/>
                <w:szCs w:val="19"/>
              </w:rPr>
            </w:pPr>
            <w:hyperlink r:id="rId10" w:history="1">
              <w:r w:rsidRPr="004B14BD">
                <w:rPr>
                  <w:rStyle w:val="Hyperlink"/>
                  <w:bCs/>
                  <w:color w:val="000000" w:themeColor="text1"/>
                  <w:szCs w:val="19"/>
                </w:rPr>
                <w:t>Nanab@microsoft.com</w:t>
              </w:r>
            </w:hyperlink>
          </w:p>
          <w:p w14:paraId="58127829" w14:textId="77777777" w:rsidR="000B6712" w:rsidRPr="004B14BD" w:rsidRDefault="000B6712" w:rsidP="00BF6AAF">
            <w:pPr>
              <w:spacing w:line="240" w:lineRule="auto"/>
              <w:rPr>
                <w:bCs/>
                <w:color w:val="000000" w:themeColor="text1"/>
                <w:szCs w:val="19"/>
                <w:lang w:val="en-GB"/>
              </w:rPr>
            </w:pPr>
          </w:p>
        </w:tc>
      </w:tr>
      <w:tr w:rsidR="000B6712" w:rsidRPr="004B14BD" w14:paraId="42F3C287" w14:textId="77777777" w:rsidTr="000B6712">
        <w:tc>
          <w:tcPr>
            <w:tcW w:w="3847" w:type="dxa"/>
            <w:shd w:val="clear" w:color="auto" w:fill="E6E6E6"/>
            <w:hideMark/>
          </w:tcPr>
          <w:p w14:paraId="163CE08E" w14:textId="77777777" w:rsidR="000B6712" w:rsidRPr="004B14BD" w:rsidRDefault="000B6712" w:rsidP="000B6712">
            <w:pPr>
              <w:spacing w:line="360" w:lineRule="auto"/>
              <w:rPr>
                <w:b/>
                <w:color w:val="000000" w:themeColor="text1"/>
                <w:szCs w:val="19"/>
              </w:rPr>
            </w:pPr>
            <w:r w:rsidRPr="004B14BD">
              <w:rPr>
                <w:b/>
                <w:color w:val="000000" w:themeColor="text1"/>
                <w:szCs w:val="19"/>
              </w:rPr>
              <w:t>Ejendommen ejes af:</w:t>
            </w:r>
          </w:p>
        </w:tc>
        <w:tc>
          <w:tcPr>
            <w:tcW w:w="4870" w:type="dxa"/>
            <w:shd w:val="clear" w:color="auto" w:fill="E6E6E6"/>
          </w:tcPr>
          <w:p w14:paraId="387F634E" w14:textId="77777777" w:rsidR="00AD5D24" w:rsidRPr="004B14BD" w:rsidRDefault="00AD5D24" w:rsidP="00AD5D24">
            <w:pPr>
              <w:spacing w:line="240" w:lineRule="auto"/>
              <w:ind w:left="497"/>
              <w:rPr>
                <w:bCs/>
                <w:color w:val="000000" w:themeColor="text1"/>
                <w:szCs w:val="19"/>
                <w:lang w:val="en-US"/>
              </w:rPr>
            </w:pPr>
            <w:r w:rsidRPr="004B14BD">
              <w:rPr>
                <w:bCs/>
                <w:color w:val="000000" w:themeColor="text1"/>
                <w:szCs w:val="19"/>
                <w:lang w:val="en-US"/>
              </w:rPr>
              <w:t>Microsoft 3366 Denmark ApS</w:t>
            </w:r>
          </w:p>
          <w:p w14:paraId="0A117843" w14:textId="77777777" w:rsidR="00AD5D24" w:rsidRPr="004B14BD" w:rsidRDefault="00AD5D24" w:rsidP="00AD5D24">
            <w:pPr>
              <w:spacing w:line="240" w:lineRule="auto"/>
              <w:ind w:left="497"/>
              <w:rPr>
                <w:bCs/>
                <w:color w:val="000000" w:themeColor="text1"/>
                <w:szCs w:val="19"/>
                <w:lang w:val="en-US"/>
              </w:rPr>
            </w:pPr>
            <w:r w:rsidRPr="004B14BD">
              <w:rPr>
                <w:bCs/>
                <w:color w:val="000000" w:themeColor="text1"/>
                <w:szCs w:val="19"/>
                <w:lang w:val="en-US"/>
              </w:rPr>
              <w:t>C/O Microsoft Danmark ApS</w:t>
            </w:r>
          </w:p>
          <w:p w14:paraId="5B3F5C68" w14:textId="77777777" w:rsidR="00AD5D24" w:rsidRPr="004B14BD" w:rsidRDefault="00AD5D24" w:rsidP="00AD5D24">
            <w:pPr>
              <w:spacing w:line="240" w:lineRule="auto"/>
              <w:ind w:left="497"/>
              <w:rPr>
                <w:bCs/>
                <w:color w:val="000000" w:themeColor="text1"/>
                <w:szCs w:val="19"/>
              </w:rPr>
            </w:pPr>
            <w:r w:rsidRPr="004B14BD">
              <w:rPr>
                <w:bCs/>
                <w:color w:val="000000" w:themeColor="text1"/>
                <w:szCs w:val="19"/>
              </w:rPr>
              <w:t>Kanalvej 7</w:t>
            </w:r>
          </w:p>
          <w:p w14:paraId="28C8F938" w14:textId="77777777" w:rsidR="00AD5D24" w:rsidRPr="004B14BD" w:rsidRDefault="00AD5D24" w:rsidP="00AD5D24">
            <w:pPr>
              <w:spacing w:line="240" w:lineRule="auto"/>
              <w:ind w:left="497"/>
              <w:rPr>
                <w:bCs/>
                <w:color w:val="000000" w:themeColor="text1"/>
                <w:szCs w:val="19"/>
              </w:rPr>
            </w:pPr>
            <w:r w:rsidRPr="004B14BD">
              <w:rPr>
                <w:bCs/>
                <w:color w:val="000000" w:themeColor="text1"/>
                <w:szCs w:val="19"/>
              </w:rPr>
              <w:t>2800 Kongens Lyngby</w:t>
            </w:r>
          </w:p>
          <w:p w14:paraId="410DA15A" w14:textId="77777777" w:rsidR="000B6712" w:rsidRPr="004B14BD" w:rsidRDefault="000B6712" w:rsidP="00EC62FB">
            <w:pPr>
              <w:spacing w:line="240" w:lineRule="auto"/>
              <w:ind w:left="497"/>
              <w:rPr>
                <w:bCs/>
                <w:color w:val="000000" w:themeColor="text1"/>
                <w:szCs w:val="19"/>
              </w:rPr>
            </w:pPr>
          </w:p>
        </w:tc>
      </w:tr>
      <w:tr w:rsidR="000B6712" w:rsidRPr="004B14BD" w14:paraId="7B73473F" w14:textId="77777777" w:rsidTr="000B6712">
        <w:tc>
          <w:tcPr>
            <w:tcW w:w="3847" w:type="dxa"/>
            <w:shd w:val="clear" w:color="auto" w:fill="E6E6E6"/>
            <w:hideMark/>
          </w:tcPr>
          <w:p w14:paraId="1C7A7DCD" w14:textId="77777777" w:rsidR="000B6712" w:rsidRPr="00EC2606" w:rsidRDefault="000B6712" w:rsidP="000B6712">
            <w:pPr>
              <w:spacing w:line="360" w:lineRule="auto"/>
              <w:rPr>
                <w:b/>
                <w:color w:val="000000" w:themeColor="text1"/>
                <w:szCs w:val="19"/>
              </w:rPr>
            </w:pPr>
            <w:r w:rsidRPr="00EC2606">
              <w:rPr>
                <w:b/>
                <w:color w:val="000000" w:themeColor="text1"/>
                <w:szCs w:val="19"/>
              </w:rPr>
              <w:t>Godkendelsesdato:</w:t>
            </w:r>
          </w:p>
        </w:tc>
        <w:tc>
          <w:tcPr>
            <w:tcW w:w="4870" w:type="dxa"/>
            <w:shd w:val="clear" w:color="auto" w:fill="E6E6E6"/>
            <w:hideMark/>
          </w:tcPr>
          <w:p w14:paraId="2238E343" w14:textId="775DCC6A" w:rsidR="000B6712" w:rsidRPr="00EC2606" w:rsidRDefault="00EC2606" w:rsidP="000B6712">
            <w:pPr>
              <w:spacing w:line="240" w:lineRule="auto"/>
              <w:ind w:left="497"/>
              <w:rPr>
                <w:bCs/>
                <w:color w:val="000000" w:themeColor="text1"/>
                <w:szCs w:val="19"/>
              </w:rPr>
            </w:pPr>
            <w:r w:rsidRPr="00EC2606">
              <w:rPr>
                <w:bCs/>
                <w:color w:val="000000" w:themeColor="text1"/>
                <w:szCs w:val="19"/>
              </w:rPr>
              <w:t>22. december 2022</w:t>
            </w:r>
          </w:p>
        </w:tc>
      </w:tr>
      <w:tr w:rsidR="000B6712" w:rsidRPr="004B14BD" w14:paraId="3CACB3AE" w14:textId="77777777" w:rsidTr="000B6712">
        <w:tc>
          <w:tcPr>
            <w:tcW w:w="3847" w:type="dxa"/>
            <w:shd w:val="clear" w:color="auto" w:fill="E6E6E6"/>
          </w:tcPr>
          <w:p w14:paraId="108127C9" w14:textId="0BDA5B74" w:rsidR="000B6712" w:rsidRPr="004B14BD" w:rsidRDefault="000B6712" w:rsidP="000B6712">
            <w:pPr>
              <w:spacing w:line="360" w:lineRule="auto"/>
              <w:rPr>
                <w:b/>
                <w:color w:val="000000" w:themeColor="text1"/>
                <w:szCs w:val="19"/>
              </w:rPr>
            </w:pPr>
            <w:r w:rsidRPr="004B14BD">
              <w:rPr>
                <w:b/>
                <w:color w:val="000000" w:themeColor="text1"/>
                <w:szCs w:val="19"/>
              </w:rPr>
              <w:t>Kommunens sags</w:t>
            </w:r>
            <w:r w:rsidR="00461F04">
              <w:rPr>
                <w:b/>
                <w:color w:val="000000" w:themeColor="text1"/>
                <w:szCs w:val="19"/>
              </w:rPr>
              <w:t>.</w:t>
            </w:r>
            <w:r w:rsidRPr="004B14BD">
              <w:rPr>
                <w:b/>
                <w:color w:val="000000" w:themeColor="text1"/>
                <w:szCs w:val="19"/>
              </w:rPr>
              <w:t xml:space="preserve"> nr.:</w:t>
            </w:r>
          </w:p>
          <w:p w14:paraId="45E01313" w14:textId="77777777" w:rsidR="000B6712" w:rsidRPr="004B14BD" w:rsidRDefault="000B6712" w:rsidP="000B6712">
            <w:pPr>
              <w:spacing w:line="360" w:lineRule="auto"/>
              <w:rPr>
                <w:b/>
                <w:color w:val="000000" w:themeColor="text1"/>
                <w:szCs w:val="19"/>
              </w:rPr>
            </w:pPr>
          </w:p>
          <w:p w14:paraId="40489D90" w14:textId="77777777" w:rsidR="000B6712" w:rsidRPr="004B14BD" w:rsidRDefault="000B6712" w:rsidP="000B6712">
            <w:pPr>
              <w:spacing w:line="360" w:lineRule="auto"/>
              <w:rPr>
                <w:b/>
                <w:color w:val="000000" w:themeColor="text1"/>
                <w:szCs w:val="19"/>
              </w:rPr>
            </w:pPr>
            <w:r w:rsidRPr="004B14BD">
              <w:rPr>
                <w:b/>
                <w:color w:val="000000" w:themeColor="text1"/>
                <w:szCs w:val="19"/>
              </w:rPr>
              <w:t>Dokument nr.:</w:t>
            </w:r>
          </w:p>
        </w:tc>
        <w:tc>
          <w:tcPr>
            <w:tcW w:w="4870" w:type="dxa"/>
            <w:shd w:val="clear" w:color="auto" w:fill="E6E6E6"/>
          </w:tcPr>
          <w:p w14:paraId="3CD1791A" w14:textId="77777777" w:rsidR="000B6712" w:rsidRPr="004B14BD" w:rsidRDefault="006E6027" w:rsidP="000B6712">
            <w:pPr>
              <w:spacing w:line="240" w:lineRule="auto"/>
              <w:ind w:left="497"/>
              <w:rPr>
                <w:bCs/>
                <w:color w:val="000000" w:themeColor="text1"/>
                <w:szCs w:val="19"/>
              </w:rPr>
            </w:pPr>
            <w:r w:rsidRPr="004B14BD">
              <w:rPr>
                <w:bCs/>
                <w:color w:val="000000" w:themeColor="text1"/>
                <w:szCs w:val="19"/>
              </w:rPr>
              <w:t>22/9597</w:t>
            </w:r>
          </w:p>
          <w:p w14:paraId="4B1FA17A" w14:textId="77777777" w:rsidR="000B6712" w:rsidRPr="004B14BD" w:rsidRDefault="000B6712" w:rsidP="000B6712">
            <w:pPr>
              <w:spacing w:line="240" w:lineRule="auto"/>
              <w:ind w:left="497"/>
              <w:rPr>
                <w:bCs/>
                <w:color w:val="000000" w:themeColor="text1"/>
                <w:szCs w:val="19"/>
              </w:rPr>
            </w:pPr>
          </w:p>
          <w:p w14:paraId="1782A6A8" w14:textId="77777777" w:rsidR="000B6712" w:rsidRPr="004B14BD" w:rsidRDefault="000B6712" w:rsidP="000B6712">
            <w:pPr>
              <w:spacing w:line="240" w:lineRule="auto"/>
              <w:ind w:left="497"/>
              <w:rPr>
                <w:bCs/>
                <w:color w:val="000000" w:themeColor="text1"/>
                <w:szCs w:val="19"/>
              </w:rPr>
            </w:pPr>
          </w:p>
          <w:p w14:paraId="0A402CA3" w14:textId="0117A0A8" w:rsidR="000B6712" w:rsidRPr="004B14BD" w:rsidRDefault="003B69CF" w:rsidP="000B6712">
            <w:pPr>
              <w:spacing w:line="240" w:lineRule="auto"/>
              <w:ind w:left="497"/>
              <w:rPr>
                <w:bCs/>
                <w:color w:val="000000" w:themeColor="text1"/>
                <w:szCs w:val="19"/>
              </w:rPr>
            </w:pPr>
            <w:r>
              <w:rPr>
                <w:bCs/>
                <w:color w:val="000000" w:themeColor="text1"/>
                <w:szCs w:val="19"/>
              </w:rPr>
              <w:t>228509</w:t>
            </w:r>
            <w:r w:rsidR="00E3663D" w:rsidRPr="004B14BD">
              <w:rPr>
                <w:bCs/>
                <w:color w:val="000000" w:themeColor="text1"/>
                <w:szCs w:val="19"/>
              </w:rPr>
              <w:t>-22</w:t>
            </w:r>
          </w:p>
          <w:p w14:paraId="5AFD2621" w14:textId="77777777" w:rsidR="000B6712" w:rsidRPr="004B14BD" w:rsidRDefault="000B6712" w:rsidP="000B6712">
            <w:pPr>
              <w:spacing w:line="240" w:lineRule="auto"/>
              <w:ind w:left="497"/>
              <w:rPr>
                <w:bCs/>
                <w:color w:val="000000" w:themeColor="text1"/>
                <w:szCs w:val="19"/>
              </w:rPr>
            </w:pPr>
          </w:p>
        </w:tc>
      </w:tr>
    </w:tbl>
    <w:p w14:paraId="4875DF12" w14:textId="77777777" w:rsidR="000B6712" w:rsidRPr="004B14BD" w:rsidRDefault="000B6712" w:rsidP="000B6712">
      <w:pPr>
        <w:rPr>
          <w:b/>
          <w:color w:val="FF0000"/>
          <w:szCs w:val="24"/>
        </w:rPr>
      </w:pPr>
    </w:p>
    <w:p w14:paraId="6CFB8C9A" w14:textId="77777777" w:rsidR="000B6712" w:rsidRPr="004B14BD" w:rsidRDefault="000B6712" w:rsidP="000B6712">
      <w:pPr>
        <w:spacing w:line="240" w:lineRule="auto"/>
        <w:rPr>
          <w:b/>
          <w:bCs/>
          <w:color w:val="FF0000"/>
          <w:sz w:val="24"/>
        </w:rPr>
      </w:pPr>
      <w:r w:rsidRPr="004B14BD">
        <w:rPr>
          <w:color w:val="FF0000"/>
          <w:sz w:val="24"/>
        </w:rPr>
        <w:br w:type="page"/>
      </w:r>
    </w:p>
    <w:sdt>
      <w:sdtPr>
        <w:rPr>
          <w:color w:val="FF0000"/>
        </w:rPr>
        <w:id w:val="16167009"/>
        <w:docPartObj>
          <w:docPartGallery w:val="Table of Contents"/>
          <w:docPartUnique/>
        </w:docPartObj>
      </w:sdtPr>
      <w:sdtEndPr/>
      <w:sdtContent>
        <w:p w14:paraId="094DF2B3" w14:textId="77777777" w:rsidR="000B6712" w:rsidRPr="004B14BD" w:rsidRDefault="000B6712" w:rsidP="000B6712">
          <w:pPr>
            <w:keepNext/>
            <w:keepLines/>
            <w:spacing w:before="480" w:line="276" w:lineRule="auto"/>
            <w:rPr>
              <w:color w:val="000000" w:themeColor="text1"/>
              <w:sz w:val="28"/>
              <w:szCs w:val="28"/>
            </w:rPr>
          </w:pPr>
          <w:r w:rsidRPr="004B14BD">
            <w:rPr>
              <w:b/>
              <w:color w:val="000000" w:themeColor="text1"/>
              <w:sz w:val="28"/>
              <w:szCs w:val="28"/>
            </w:rPr>
            <w:t>Indholdsfortegnelse</w:t>
          </w:r>
        </w:p>
        <w:p w14:paraId="0E646F28" w14:textId="77777777" w:rsidR="000B6712" w:rsidRPr="004B14BD" w:rsidRDefault="000B6712" w:rsidP="000B6712">
          <w:pPr>
            <w:rPr>
              <w:color w:val="FF0000"/>
              <w:szCs w:val="24"/>
            </w:rPr>
          </w:pPr>
        </w:p>
        <w:p w14:paraId="00CEA0B3" w14:textId="5B589885" w:rsidR="002B5F34" w:rsidRPr="002B5F34" w:rsidRDefault="000B6712">
          <w:pPr>
            <w:pStyle w:val="Indholdsfortegnelse1"/>
            <w:tabs>
              <w:tab w:val="right" w:pos="8354"/>
            </w:tabs>
            <w:rPr>
              <w:rFonts w:eastAsiaTheme="minorEastAsia" w:cstheme="minorBidi"/>
              <w:noProof/>
              <w:sz w:val="22"/>
              <w:szCs w:val="22"/>
            </w:rPr>
          </w:pPr>
          <w:r w:rsidRPr="004B14BD">
            <w:rPr>
              <w:rFonts w:eastAsiaTheme="minorHAnsi" w:cstheme="minorBidi"/>
              <w:color w:val="FF0000"/>
              <w:szCs w:val="22"/>
              <w:lang w:eastAsia="en-US"/>
            </w:rPr>
            <w:fldChar w:fldCharType="begin"/>
          </w:r>
          <w:r w:rsidRPr="004B14BD">
            <w:rPr>
              <w:rFonts w:eastAsiaTheme="minorHAnsi" w:cstheme="minorBidi"/>
              <w:color w:val="FF0000"/>
              <w:szCs w:val="22"/>
              <w:lang w:eastAsia="en-US"/>
            </w:rPr>
            <w:instrText xml:space="preserve"> TOC \o "1-3" \h \z \u </w:instrText>
          </w:r>
          <w:r w:rsidRPr="004B14BD">
            <w:rPr>
              <w:rFonts w:eastAsiaTheme="minorHAnsi" w:cstheme="minorBidi"/>
              <w:color w:val="FF0000"/>
              <w:szCs w:val="22"/>
              <w:lang w:eastAsia="en-US"/>
            </w:rPr>
            <w:fldChar w:fldCharType="separate"/>
          </w:r>
          <w:hyperlink w:anchor="_Toc120196496" w:history="1">
            <w:r w:rsidR="002B5F34" w:rsidRPr="002B5F34">
              <w:rPr>
                <w:rStyle w:val="Hyperlink"/>
                <w:noProof/>
              </w:rPr>
              <w:t>Kort om det ansøgte projekt</w:t>
            </w:r>
            <w:r w:rsidR="002B5F34" w:rsidRPr="002B5F34">
              <w:rPr>
                <w:noProof/>
                <w:webHidden/>
              </w:rPr>
              <w:tab/>
            </w:r>
            <w:r w:rsidR="002B5F34" w:rsidRPr="002B5F34">
              <w:rPr>
                <w:noProof/>
                <w:webHidden/>
              </w:rPr>
              <w:fldChar w:fldCharType="begin"/>
            </w:r>
            <w:r w:rsidR="002B5F34" w:rsidRPr="002B5F34">
              <w:rPr>
                <w:noProof/>
                <w:webHidden/>
              </w:rPr>
              <w:instrText xml:space="preserve"> PAGEREF _Toc120196496 \h </w:instrText>
            </w:r>
            <w:r w:rsidR="002B5F34" w:rsidRPr="002B5F34">
              <w:rPr>
                <w:noProof/>
                <w:webHidden/>
              </w:rPr>
            </w:r>
            <w:r w:rsidR="002B5F34" w:rsidRPr="002B5F34">
              <w:rPr>
                <w:noProof/>
                <w:webHidden/>
              </w:rPr>
              <w:fldChar w:fldCharType="separate"/>
            </w:r>
            <w:r w:rsidR="00B85250">
              <w:rPr>
                <w:noProof/>
                <w:webHidden/>
              </w:rPr>
              <w:t>4</w:t>
            </w:r>
            <w:r w:rsidR="002B5F34" w:rsidRPr="002B5F34">
              <w:rPr>
                <w:noProof/>
                <w:webHidden/>
              </w:rPr>
              <w:fldChar w:fldCharType="end"/>
            </w:r>
          </w:hyperlink>
        </w:p>
        <w:p w14:paraId="11F7A83B" w14:textId="15B4928A" w:rsidR="002B5F34" w:rsidRPr="00AE348F" w:rsidRDefault="002B5F34">
          <w:pPr>
            <w:pStyle w:val="Indholdsfortegnelse1"/>
            <w:tabs>
              <w:tab w:val="left" w:pos="567"/>
              <w:tab w:val="right" w:pos="8354"/>
            </w:tabs>
            <w:rPr>
              <w:rFonts w:eastAsiaTheme="minorEastAsia" w:cstheme="minorBidi"/>
              <w:b/>
              <w:bCs/>
              <w:noProof/>
              <w:sz w:val="22"/>
              <w:szCs w:val="22"/>
            </w:rPr>
          </w:pPr>
          <w:hyperlink w:anchor="_Toc120196497" w:history="1">
            <w:r w:rsidRPr="00AE348F">
              <w:rPr>
                <w:rStyle w:val="Hyperlink"/>
                <w:b/>
                <w:bCs/>
                <w:noProof/>
              </w:rPr>
              <w:t>1.</w:t>
            </w:r>
            <w:r w:rsidRPr="00AE348F">
              <w:rPr>
                <w:rFonts w:eastAsiaTheme="minorEastAsia" w:cstheme="minorBidi"/>
                <w:b/>
                <w:bCs/>
                <w:noProof/>
                <w:sz w:val="22"/>
                <w:szCs w:val="22"/>
              </w:rPr>
              <w:tab/>
            </w:r>
            <w:r w:rsidRPr="00AE348F">
              <w:rPr>
                <w:rStyle w:val="Hyperlink"/>
                <w:b/>
                <w:bCs/>
                <w:noProof/>
              </w:rPr>
              <w:t>Vilkår</w:t>
            </w:r>
            <w:r w:rsidRPr="00AE348F">
              <w:rPr>
                <w:b/>
                <w:bCs/>
                <w:noProof/>
                <w:webHidden/>
              </w:rPr>
              <w:tab/>
            </w:r>
            <w:r w:rsidRPr="00AE348F">
              <w:rPr>
                <w:b/>
                <w:bCs/>
                <w:noProof/>
                <w:webHidden/>
              </w:rPr>
              <w:fldChar w:fldCharType="begin"/>
            </w:r>
            <w:r w:rsidRPr="00AE348F">
              <w:rPr>
                <w:b/>
                <w:bCs/>
                <w:noProof/>
                <w:webHidden/>
              </w:rPr>
              <w:instrText xml:space="preserve"> PAGEREF _Toc120196497 \h </w:instrText>
            </w:r>
            <w:r w:rsidRPr="00AE348F">
              <w:rPr>
                <w:b/>
                <w:bCs/>
                <w:noProof/>
                <w:webHidden/>
              </w:rPr>
            </w:r>
            <w:r w:rsidRPr="00AE348F">
              <w:rPr>
                <w:b/>
                <w:bCs/>
                <w:noProof/>
                <w:webHidden/>
              </w:rPr>
              <w:fldChar w:fldCharType="separate"/>
            </w:r>
            <w:r w:rsidR="00B85250">
              <w:rPr>
                <w:b/>
                <w:bCs/>
                <w:noProof/>
                <w:webHidden/>
              </w:rPr>
              <w:t>4</w:t>
            </w:r>
            <w:r w:rsidRPr="00AE348F">
              <w:rPr>
                <w:b/>
                <w:bCs/>
                <w:noProof/>
                <w:webHidden/>
              </w:rPr>
              <w:fldChar w:fldCharType="end"/>
            </w:r>
          </w:hyperlink>
        </w:p>
        <w:p w14:paraId="64FD918F" w14:textId="6F93D803" w:rsidR="002B5F34" w:rsidRPr="00AE348F" w:rsidRDefault="002B5F34" w:rsidP="003D20EA">
          <w:pPr>
            <w:pStyle w:val="Indholdsfortegnelse1"/>
            <w:tabs>
              <w:tab w:val="right" w:pos="8354"/>
            </w:tabs>
            <w:ind w:left="284"/>
            <w:rPr>
              <w:rStyle w:val="Hyperlink"/>
              <w:noProof/>
            </w:rPr>
          </w:pPr>
          <w:hyperlink w:anchor="_Toc120196498" w:history="1">
            <w:r w:rsidRPr="002B5F34">
              <w:rPr>
                <w:rStyle w:val="Hyperlink"/>
                <w:noProof/>
              </w:rPr>
              <w:t>Generelt</w:t>
            </w:r>
            <w:r w:rsidRPr="00AE348F">
              <w:rPr>
                <w:rStyle w:val="Hyperlink"/>
                <w:noProof/>
                <w:webHidden/>
              </w:rPr>
              <w:tab/>
            </w:r>
            <w:r w:rsidRPr="00AE348F">
              <w:rPr>
                <w:rStyle w:val="Hyperlink"/>
                <w:noProof/>
                <w:webHidden/>
              </w:rPr>
              <w:fldChar w:fldCharType="begin"/>
            </w:r>
            <w:r w:rsidRPr="00AE348F">
              <w:rPr>
                <w:rStyle w:val="Hyperlink"/>
                <w:noProof/>
                <w:webHidden/>
              </w:rPr>
              <w:instrText xml:space="preserve"> PAGEREF _Toc120196498 \h </w:instrText>
            </w:r>
            <w:r w:rsidRPr="00AE348F">
              <w:rPr>
                <w:rStyle w:val="Hyperlink"/>
                <w:noProof/>
                <w:webHidden/>
              </w:rPr>
            </w:r>
            <w:r w:rsidRPr="00AE348F">
              <w:rPr>
                <w:rStyle w:val="Hyperlink"/>
                <w:noProof/>
                <w:webHidden/>
              </w:rPr>
              <w:fldChar w:fldCharType="separate"/>
            </w:r>
            <w:r w:rsidR="00B85250">
              <w:rPr>
                <w:rStyle w:val="Hyperlink"/>
                <w:noProof/>
                <w:webHidden/>
              </w:rPr>
              <w:t>5</w:t>
            </w:r>
            <w:r w:rsidRPr="00AE348F">
              <w:rPr>
                <w:rStyle w:val="Hyperlink"/>
                <w:noProof/>
                <w:webHidden/>
              </w:rPr>
              <w:fldChar w:fldCharType="end"/>
            </w:r>
          </w:hyperlink>
        </w:p>
        <w:p w14:paraId="6EC61425" w14:textId="7DA574C5" w:rsidR="002B5F34" w:rsidRPr="00AE348F" w:rsidRDefault="002B5F34" w:rsidP="003D20EA">
          <w:pPr>
            <w:pStyle w:val="Indholdsfortegnelse1"/>
            <w:tabs>
              <w:tab w:val="right" w:pos="8354"/>
            </w:tabs>
            <w:ind w:left="284"/>
            <w:rPr>
              <w:rStyle w:val="Hyperlink"/>
              <w:noProof/>
            </w:rPr>
          </w:pPr>
          <w:hyperlink w:anchor="_Toc120196499" w:history="1">
            <w:r w:rsidRPr="002B5F34">
              <w:rPr>
                <w:rStyle w:val="Hyperlink"/>
                <w:noProof/>
              </w:rPr>
              <w:t>Indretning og drift</w:t>
            </w:r>
            <w:r w:rsidRPr="00AE348F">
              <w:rPr>
                <w:rStyle w:val="Hyperlink"/>
                <w:noProof/>
                <w:webHidden/>
              </w:rPr>
              <w:tab/>
            </w:r>
            <w:r w:rsidRPr="00AE348F">
              <w:rPr>
                <w:rStyle w:val="Hyperlink"/>
                <w:noProof/>
                <w:webHidden/>
              </w:rPr>
              <w:fldChar w:fldCharType="begin"/>
            </w:r>
            <w:r w:rsidRPr="00AE348F">
              <w:rPr>
                <w:rStyle w:val="Hyperlink"/>
                <w:noProof/>
                <w:webHidden/>
              </w:rPr>
              <w:instrText xml:space="preserve"> PAGEREF _Toc120196499 \h </w:instrText>
            </w:r>
            <w:r w:rsidRPr="00AE348F">
              <w:rPr>
                <w:rStyle w:val="Hyperlink"/>
                <w:noProof/>
                <w:webHidden/>
              </w:rPr>
            </w:r>
            <w:r w:rsidRPr="00AE348F">
              <w:rPr>
                <w:rStyle w:val="Hyperlink"/>
                <w:noProof/>
                <w:webHidden/>
              </w:rPr>
              <w:fldChar w:fldCharType="separate"/>
            </w:r>
            <w:r w:rsidR="00B85250">
              <w:rPr>
                <w:rStyle w:val="Hyperlink"/>
                <w:noProof/>
                <w:webHidden/>
              </w:rPr>
              <w:t>5</w:t>
            </w:r>
            <w:r w:rsidRPr="00AE348F">
              <w:rPr>
                <w:rStyle w:val="Hyperlink"/>
                <w:noProof/>
                <w:webHidden/>
              </w:rPr>
              <w:fldChar w:fldCharType="end"/>
            </w:r>
          </w:hyperlink>
        </w:p>
        <w:p w14:paraId="3FFFB4E5" w14:textId="3607042C" w:rsidR="002B5F34" w:rsidRPr="00AE348F" w:rsidRDefault="002B5F34" w:rsidP="003D20EA">
          <w:pPr>
            <w:pStyle w:val="Indholdsfortegnelse1"/>
            <w:tabs>
              <w:tab w:val="right" w:pos="8354"/>
            </w:tabs>
            <w:ind w:left="284"/>
            <w:rPr>
              <w:rStyle w:val="Hyperlink"/>
              <w:noProof/>
            </w:rPr>
          </w:pPr>
          <w:hyperlink w:anchor="_Toc120196500" w:history="1">
            <w:r w:rsidRPr="002B5F34">
              <w:rPr>
                <w:rStyle w:val="Hyperlink"/>
                <w:noProof/>
              </w:rPr>
              <w:t>Støj</w:t>
            </w:r>
            <w:r w:rsidRPr="00AE348F">
              <w:rPr>
                <w:rStyle w:val="Hyperlink"/>
                <w:noProof/>
                <w:webHidden/>
              </w:rPr>
              <w:tab/>
            </w:r>
            <w:r w:rsidRPr="00AE348F">
              <w:rPr>
                <w:rStyle w:val="Hyperlink"/>
                <w:noProof/>
                <w:webHidden/>
              </w:rPr>
              <w:fldChar w:fldCharType="begin"/>
            </w:r>
            <w:r w:rsidRPr="00AE348F">
              <w:rPr>
                <w:rStyle w:val="Hyperlink"/>
                <w:noProof/>
                <w:webHidden/>
              </w:rPr>
              <w:instrText xml:space="preserve"> PAGEREF _Toc120196500 \h </w:instrText>
            </w:r>
            <w:r w:rsidRPr="00AE348F">
              <w:rPr>
                <w:rStyle w:val="Hyperlink"/>
                <w:noProof/>
                <w:webHidden/>
              </w:rPr>
            </w:r>
            <w:r w:rsidRPr="00AE348F">
              <w:rPr>
                <w:rStyle w:val="Hyperlink"/>
                <w:noProof/>
                <w:webHidden/>
              </w:rPr>
              <w:fldChar w:fldCharType="separate"/>
            </w:r>
            <w:r w:rsidR="00B85250">
              <w:rPr>
                <w:rStyle w:val="Hyperlink"/>
                <w:noProof/>
                <w:webHidden/>
              </w:rPr>
              <w:t>6</w:t>
            </w:r>
            <w:r w:rsidRPr="00AE348F">
              <w:rPr>
                <w:rStyle w:val="Hyperlink"/>
                <w:noProof/>
                <w:webHidden/>
              </w:rPr>
              <w:fldChar w:fldCharType="end"/>
            </w:r>
          </w:hyperlink>
        </w:p>
        <w:p w14:paraId="4FCB8CEF" w14:textId="40122F43" w:rsidR="002B5F34" w:rsidRPr="00AE348F" w:rsidRDefault="002B5F34" w:rsidP="003D20EA">
          <w:pPr>
            <w:pStyle w:val="Indholdsfortegnelse1"/>
            <w:tabs>
              <w:tab w:val="right" w:pos="8354"/>
            </w:tabs>
            <w:ind w:left="284"/>
            <w:rPr>
              <w:rStyle w:val="Hyperlink"/>
              <w:noProof/>
            </w:rPr>
          </w:pPr>
          <w:hyperlink w:anchor="_Toc120196501" w:history="1">
            <w:r w:rsidRPr="002B5F34">
              <w:rPr>
                <w:rStyle w:val="Hyperlink"/>
                <w:noProof/>
              </w:rPr>
              <w:t>Lavfrekvent støj og infralyd</w:t>
            </w:r>
            <w:r w:rsidRPr="00AE348F">
              <w:rPr>
                <w:rStyle w:val="Hyperlink"/>
                <w:noProof/>
                <w:webHidden/>
              </w:rPr>
              <w:tab/>
            </w:r>
            <w:r w:rsidRPr="00AE348F">
              <w:rPr>
                <w:rStyle w:val="Hyperlink"/>
                <w:noProof/>
                <w:webHidden/>
              </w:rPr>
              <w:fldChar w:fldCharType="begin"/>
            </w:r>
            <w:r w:rsidRPr="00AE348F">
              <w:rPr>
                <w:rStyle w:val="Hyperlink"/>
                <w:noProof/>
                <w:webHidden/>
              </w:rPr>
              <w:instrText xml:space="preserve"> PAGEREF _Toc120196501 \h </w:instrText>
            </w:r>
            <w:r w:rsidRPr="00AE348F">
              <w:rPr>
                <w:rStyle w:val="Hyperlink"/>
                <w:noProof/>
                <w:webHidden/>
              </w:rPr>
            </w:r>
            <w:r w:rsidRPr="00AE348F">
              <w:rPr>
                <w:rStyle w:val="Hyperlink"/>
                <w:noProof/>
                <w:webHidden/>
              </w:rPr>
              <w:fldChar w:fldCharType="separate"/>
            </w:r>
            <w:r w:rsidR="00B85250">
              <w:rPr>
                <w:rStyle w:val="Hyperlink"/>
                <w:noProof/>
                <w:webHidden/>
              </w:rPr>
              <w:t>7</w:t>
            </w:r>
            <w:r w:rsidRPr="00AE348F">
              <w:rPr>
                <w:rStyle w:val="Hyperlink"/>
                <w:noProof/>
                <w:webHidden/>
              </w:rPr>
              <w:fldChar w:fldCharType="end"/>
            </w:r>
          </w:hyperlink>
        </w:p>
        <w:p w14:paraId="4EEA7B33" w14:textId="3048848A" w:rsidR="002B5F34" w:rsidRPr="00AE348F" w:rsidRDefault="002B5F34" w:rsidP="003D20EA">
          <w:pPr>
            <w:pStyle w:val="Indholdsfortegnelse1"/>
            <w:tabs>
              <w:tab w:val="right" w:pos="8354"/>
            </w:tabs>
            <w:ind w:left="284"/>
            <w:rPr>
              <w:rStyle w:val="Hyperlink"/>
              <w:noProof/>
            </w:rPr>
          </w:pPr>
          <w:hyperlink w:anchor="_Toc120196502" w:history="1">
            <w:r w:rsidRPr="002B5F34">
              <w:rPr>
                <w:rStyle w:val="Hyperlink"/>
                <w:noProof/>
              </w:rPr>
              <w:t>Vibrationer</w:t>
            </w:r>
            <w:r w:rsidRPr="00AE348F">
              <w:rPr>
                <w:rStyle w:val="Hyperlink"/>
                <w:noProof/>
                <w:webHidden/>
              </w:rPr>
              <w:tab/>
            </w:r>
            <w:r w:rsidRPr="00AE348F">
              <w:rPr>
                <w:rStyle w:val="Hyperlink"/>
                <w:noProof/>
                <w:webHidden/>
              </w:rPr>
              <w:fldChar w:fldCharType="begin"/>
            </w:r>
            <w:r w:rsidRPr="00AE348F">
              <w:rPr>
                <w:rStyle w:val="Hyperlink"/>
                <w:noProof/>
                <w:webHidden/>
              </w:rPr>
              <w:instrText xml:space="preserve"> PAGEREF _Toc120196502 \h </w:instrText>
            </w:r>
            <w:r w:rsidRPr="00AE348F">
              <w:rPr>
                <w:rStyle w:val="Hyperlink"/>
                <w:noProof/>
                <w:webHidden/>
              </w:rPr>
            </w:r>
            <w:r w:rsidRPr="00AE348F">
              <w:rPr>
                <w:rStyle w:val="Hyperlink"/>
                <w:noProof/>
                <w:webHidden/>
              </w:rPr>
              <w:fldChar w:fldCharType="separate"/>
            </w:r>
            <w:r w:rsidR="00B85250">
              <w:rPr>
                <w:rStyle w:val="Hyperlink"/>
                <w:noProof/>
                <w:webHidden/>
              </w:rPr>
              <w:t>8</w:t>
            </w:r>
            <w:r w:rsidRPr="00AE348F">
              <w:rPr>
                <w:rStyle w:val="Hyperlink"/>
                <w:noProof/>
                <w:webHidden/>
              </w:rPr>
              <w:fldChar w:fldCharType="end"/>
            </w:r>
          </w:hyperlink>
        </w:p>
        <w:p w14:paraId="14852D38" w14:textId="0F5A4410" w:rsidR="002B5F34" w:rsidRPr="00AE348F" w:rsidRDefault="002B5F34" w:rsidP="003D20EA">
          <w:pPr>
            <w:pStyle w:val="Indholdsfortegnelse1"/>
            <w:tabs>
              <w:tab w:val="right" w:pos="8354"/>
            </w:tabs>
            <w:ind w:left="284"/>
            <w:rPr>
              <w:rStyle w:val="Hyperlink"/>
              <w:noProof/>
            </w:rPr>
          </w:pPr>
          <w:hyperlink w:anchor="_Toc120196503" w:history="1">
            <w:r w:rsidRPr="002B5F34">
              <w:rPr>
                <w:rStyle w:val="Hyperlink"/>
                <w:noProof/>
              </w:rPr>
              <w:t>Luftforurening</w:t>
            </w:r>
            <w:r w:rsidRPr="00AE348F">
              <w:rPr>
                <w:rStyle w:val="Hyperlink"/>
                <w:noProof/>
                <w:webHidden/>
              </w:rPr>
              <w:tab/>
            </w:r>
            <w:r w:rsidRPr="00AE348F">
              <w:rPr>
                <w:rStyle w:val="Hyperlink"/>
                <w:noProof/>
                <w:webHidden/>
              </w:rPr>
              <w:fldChar w:fldCharType="begin"/>
            </w:r>
            <w:r w:rsidRPr="00AE348F">
              <w:rPr>
                <w:rStyle w:val="Hyperlink"/>
                <w:noProof/>
                <w:webHidden/>
              </w:rPr>
              <w:instrText xml:space="preserve"> PAGEREF _Toc120196503 \h </w:instrText>
            </w:r>
            <w:r w:rsidRPr="00AE348F">
              <w:rPr>
                <w:rStyle w:val="Hyperlink"/>
                <w:noProof/>
                <w:webHidden/>
              </w:rPr>
            </w:r>
            <w:r w:rsidRPr="00AE348F">
              <w:rPr>
                <w:rStyle w:val="Hyperlink"/>
                <w:noProof/>
                <w:webHidden/>
              </w:rPr>
              <w:fldChar w:fldCharType="separate"/>
            </w:r>
            <w:r w:rsidR="00B85250">
              <w:rPr>
                <w:rStyle w:val="Hyperlink"/>
                <w:noProof/>
                <w:webHidden/>
              </w:rPr>
              <w:t>8</w:t>
            </w:r>
            <w:r w:rsidRPr="00AE348F">
              <w:rPr>
                <w:rStyle w:val="Hyperlink"/>
                <w:noProof/>
                <w:webHidden/>
              </w:rPr>
              <w:fldChar w:fldCharType="end"/>
            </w:r>
          </w:hyperlink>
        </w:p>
        <w:p w14:paraId="54248114" w14:textId="0DED8B5E" w:rsidR="002B5F34" w:rsidRPr="00AE348F" w:rsidRDefault="002B5F34" w:rsidP="003D20EA">
          <w:pPr>
            <w:pStyle w:val="Indholdsfortegnelse1"/>
            <w:tabs>
              <w:tab w:val="right" w:pos="8354"/>
            </w:tabs>
            <w:ind w:left="284"/>
            <w:rPr>
              <w:rStyle w:val="Hyperlink"/>
              <w:noProof/>
            </w:rPr>
          </w:pPr>
          <w:hyperlink w:anchor="_Toc120196504" w:history="1">
            <w:r w:rsidRPr="002B5F34">
              <w:rPr>
                <w:rStyle w:val="Hyperlink"/>
                <w:noProof/>
              </w:rPr>
              <w:t>Lugt</w:t>
            </w:r>
            <w:r w:rsidRPr="00AE348F">
              <w:rPr>
                <w:rStyle w:val="Hyperlink"/>
                <w:noProof/>
                <w:webHidden/>
              </w:rPr>
              <w:tab/>
            </w:r>
            <w:r w:rsidRPr="00AE348F">
              <w:rPr>
                <w:rStyle w:val="Hyperlink"/>
                <w:noProof/>
                <w:webHidden/>
              </w:rPr>
              <w:fldChar w:fldCharType="begin"/>
            </w:r>
            <w:r w:rsidRPr="00AE348F">
              <w:rPr>
                <w:rStyle w:val="Hyperlink"/>
                <w:noProof/>
                <w:webHidden/>
              </w:rPr>
              <w:instrText xml:space="preserve"> PAGEREF _Toc120196504 \h </w:instrText>
            </w:r>
            <w:r w:rsidRPr="00AE348F">
              <w:rPr>
                <w:rStyle w:val="Hyperlink"/>
                <w:noProof/>
                <w:webHidden/>
              </w:rPr>
            </w:r>
            <w:r w:rsidRPr="00AE348F">
              <w:rPr>
                <w:rStyle w:val="Hyperlink"/>
                <w:noProof/>
                <w:webHidden/>
              </w:rPr>
              <w:fldChar w:fldCharType="separate"/>
            </w:r>
            <w:r w:rsidR="00B85250">
              <w:rPr>
                <w:rStyle w:val="Hyperlink"/>
                <w:noProof/>
                <w:webHidden/>
              </w:rPr>
              <w:t>9</w:t>
            </w:r>
            <w:r w:rsidRPr="00AE348F">
              <w:rPr>
                <w:rStyle w:val="Hyperlink"/>
                <w:noProof/>
                <w:webHidden/>
              </w:rPr>
              <w:fldChar w:fldCharType="end"/>
            </w:r>
          </w:hyperlink>
        </w:p>
        <w:p w14:paraId="1778BDE6" w14:textId="61E34069" w:rsidR="002B5F34" w:rsidRPr="003D20EA" w:rsidRDefault="002B5F34" w:rsidP="003D20EA">
          <w:pPr>
            <w:pStyle w:val="Indholdsfortegnelse1"/>
            <w:tabs>
              <w:tab w:val="right" w:pos="8354"/>
            </w:tabs>
            <w:ind w:left="284"/>
            <w:rPr>
              <w:rStyle w:val="Hyperlink"/>
              <w:noProof/>
            </w:rPr>
          </w:pPr>
          <w:hyperlink w:anchor="_Toc120196505" w:history="1">
            <w:r w:rsidRPr="002B5F34">
              <w:rPr>
                <w:rStyle w:val="Hyperlink"/>
                <w:noProof/>
              </w:rPr>
              <w:t>Beskyttelse af jord, grundvand og overfladevand</w:t>
            </w:r>
            <w:r w:rsidRPr="003D20EA">
              <w:rPr>
                <w:rStyle w:val="Hyperlink"/>
                <w:noProof/>
                <w:webHidden/>
              </w:rPr>
              <w:tab/>
            </w:r>
            <w:r w:rsidRPr="003D20EA">
              <w:rPr>
                <w:rStyle w:val="Hyperlink"/>
                <w:noProof/>
                <w:webHidden/>
              </w:rPr>
              <w:fldChar w:fldCharType="begin"/>
            </w:r>
            <w:r w:rsidRPr="003D20EA">
              <w:rPr>
                <w:rStyle w:val="Hyperlink"/>
                <w:noProof/>
                <w:webHidden/>
              </w:rPr>
              <w:instrText xml:space="preserve"> PAGEREF _Toc120196505 \h </w:instrText>
            </w:r>
            <w:r w:rsidRPr="003D20EA">
              <w:rPr>
                <w:rStyle w:val="Hyperlink"/>
                <w:noProof/>
                <w:webHidden/>
              </w:rPr>
            </w:r>
            <w:r w:rsidRPr="003D20EA">
              <w:rPr>
                <w:rStyle w:val="Hyperlink"/>
                <w:noProof/>
                <w:webHidden/>
              </w:rPr>
              <w:fldChar w:fldCharType="separate"/>
            </w:r>
            <w:r w:rsidR="00B85250">
              <w:rPr>
                <w:rStyle w:val="Hyperlink"/>
                <w:noProof/>
                <w:webHidden/>
              </w:rPr>
              <w:t>9</w:t>
            </w:r>
            <w:r w:rsidRPr="003D20EA">
              <w:rPr>
                <w:rStyle w:val="Hyperlink"/>
                <w:noProof/>
                <w:webHidden/>
              </w:rPr>
              <w:fldChar w:fldCharType="end"/>
            </w:r>
          </w:hyperlink>
        </w:p>
        <w:p w14:paraId="0E19EE09" w14:textId="6F13E61E" w:rsidR="002B5F34" w:rsidRPr="003D20EA" w:rsidRDefault="002B5F34" w:rsidP="003D20EA">
          <w:pPr>
            <w:pStyle w:val="Indholdsfortegnelse1"/>
            <w:tabs>
              <w:tab w:val="right" w:pos="8354"/>
            </w:tabs>
            <w:ind w:left="284"/>
            <w:rPr>
              <w:rStyle w:val="Hyperlink"/>
              <w:noProof/>
            </w:rPr>
          </w:pPr>
          <w:hyperlink w:anchor="_Toc120196506" w:history="1">
            <w:r w:rsidRPr="002B5F34">
              <w:rPr>
                <w:rStyle w:val="Hyperlink"/>
                <w:noProof/>
              </w:rPr>
              <w:t>Egenkontrol</w:t>
            </w:r>
            <w:r w:rsidRPr="003D20EA">
              <w:rPr>
                <w:rStyle w:val="Hyperlink"/>
                <w:noProof/>
                <w:webHidden/>
              </w:rPr>
              <w:tab/>
            </w:r>
            <w:r w:rsidRPr="003D20EA">
              <w:rPr>
                <w:rStyle w:val="Hyperlink"/>
                <w:noProof/>
                <w:webHidden/>
              </w:rPr>
              <w:fldChar w:fldCharType="begin"/>
            </w:r>
            <w:r w:rsidRPr="003D20EA">
              <w:rPr>
                <w:rStyle w:val="Hyperlink"/>
                <w:noProof/>
                <w:webHidden/>
              </w:rPr>
              <w:instrText xml:space="preserve"> PAGEREF _Toc120196506 \h </w:instrText>
            </w:r>
            <w:r w:rsidRPr="003D20EA">
              <w:rPr>
                <w:rStyle w:val="Hyperlink"/>
                <w:noProof/>
                <w:webHidden/>
              </w:rPr>
            </w:r>
            <w:r w:rsidRPr="003D20EA">
              <w:rPr>
                <w:rStyle w:val="Hyperlink"/>
                <w:noProof/>
                <w:webHidden/>
              </w:rPr>
              <w:fldChar w:fldCharType="separate"/>
            </w:r>
            <w:r w:rsidR="00B85250">
              <w:rPr>
                <w:rStyle w:val="Hyperlink"/>
                <w:noProof/>
                <w:webHidden/>
              </w:rPr>
              <w:t>10</w:t>
            </w:r>
            <w:r w:rsidRPr="003D20EA">
              <w:rPr>
                <w:rStyle w:val="Hyperlink"/>
                <w:noProof/>
                <w:webHidden/>
              </w:rPr>
              <w:fldChar w:fldCharType="end"/>
            </w:r>
          </w:hyperlink>
        </w:p>
        <w:p w14:paraId="13CD7BB4" w14:textId="1EDB071F" w:rsidR="002B5F34" w:rsidRPr="003D20EA" w:rsidRDefault="002B5F34" w:rsidP="003D20EA">
          <w:pPr>
            <w:pStyle w:val="Indholdsfortegnelse1"/>
            <w:tabs>
              <w:tab w:val="right" w:pos="8354"/>
            </w:tabs>
            <w:ind w:left="284"/>
            <w:rPr>
              <w:rStyle w:val="Hyperlink"/>
              <w:noProof/>
            </w:rPr>
          </w:pPr>
          <w:hyperlink w:anchor="_Toc120196507" w:history="1">
            <w:r w:rsidRPr="002B5F34">
              <w:rPr>
                <w:rStyle w:val="Hyperlink"/>
                <w:noProof/>
              </w:rPr>
              <w:t>Uheld og unormal drift</w:t>
            </w:r>
            <w:r w:rsidRPr="003D20EA">
              <w:rPr>
                <w:rStyle w:val="Hyperlink"/>
                <w:noProof/>
                <w:webHidden/>
              </w:rPr>
              <w:tab/>
            </w:r>
            <w:r w:rsidRPr="003D20EA">
              <w:rPr>
                <w:rStyle w:val="Hyperlink"/>
                <w:noProof/>
                <w:webHidden/>
              </w:rPr>
              <w:fldChar w:fldCharType="begin"/>
            </w:r>
            <w:r w:rsidRPr="003D20EA">
              <w:rPr>
                <w:rStyle w:val="Hyperlink"/>
                <w:noProof/>
                <w:webHidden/>
              </w:rPr>
              <w:instrText xml:space="preserve"> PAGEREF _Toc120196507 \h </w:instrText>
            </w:r>
            <w:r w:rsidRPr="003D20EA">
              <w:rPr>
                <w:rStyle w:val="Hyperlink"/>
                <w:noProof/>
                <w:webHidden/>
              </w:rPr>
            </w:r>
            <w:r w:rsidRPr="003D20EA">
              <w:rPr>
                <w:rStyle w:val="Hyperlink"/>
                <w:noProof/>
                <w:webHidden/>
              </w:rPr>
              <w:fldChar w:fldCharType="separate"/>
            </w:r>
            <w:r w:rsidR="00B85250">
              <w:rPr>
                <w:rStyle w:val="Hyperlink"/>
                <w:noProof/>
                <w:webHidden/>
              </w:rPr>
              <w:t>12</w:t>
            </w:r>
            <w:r w:rsidRPr="003D20EA">
              <w:rPr>
                <w:rStyle w:val="Hyperlink"/>
                <w:noProof/>
                <w:webHidden/>
              </w:rPr>
              <w:fldChar w:fldCharType="end"/>
            </w:r>
          </w:hyperlink>
        </w:p>
        <w:p w14:paraId="4D0F7737" w14:textId="78F8C25C" w:rsidR="002B5F34" w:rsidRPr="003D20EA" w:rsidRDefault="002B5F34" w:rsidP="003D20EA">
          <w:pPr>
            <w:pStyle w:val="Indholdsfortegnelse1"/>
            <w:tabs>
              <w:tab w:val="right" w:pos="8354"/>
            </w:tabs>
            <w:ind w:left="284"/>
            <w:rPr>
              <w:rStyle w:val="Hyperlink"/>
              <w:noProof/>
            </w:rPr>
          </w:pPr>
          <w:hyperlink w:anchor="_Toc120196508" w:history="1">
            <w:r w:rsidRPr="002B5F34">
              <w:rPr>
                <w:rStyle w:val="Hyperlink"/>
                <w:noProof/>
              </w:rPr>
              <w:t>Energi og råvare udnyttelse</w:t>
            </w:r>
            <w:r w:rsidRPr="003D20EA">
              <w:rPr>
                <w:rStyle w:val="Hyperlink"/>
                <w:noProof/>
                <w:webHidden/>
              </w:rPr>
              <w:tab/>
            </w:r>
            <w:r w:rsidRPr="003D20EA">
              <w:rPr>
                <w:rStyle w:val="Hyperlink"/>
                <w:noProof/>
                <w:webHidden/>
              </w:rPr>
              <w:fldChar w:fldCharType="begin"/>
            </w:r>
            <w:r w:rsidRPr="003D20EA">
              <w:rPr>
                <w:rStyle w:val="Hyperlink"/>
                <w:noProof/>
                <w:webHidden/>
              </w:rPr>
              <w:instrText xml:space="preserve"> PAGEREF _Toc120196508 \h </w:instrText>
            </w:r>
            <w:r w:rsidRPr="003D20EA">
              <w:rPr>
                <w:rStyle w:val="Hyperlink"/>
                <w:noProof/>
                <w:webHidden/>
              </w:rPr>
            </w:r>
            <w:r w:rsidRPr="003D20EA">
              <w:rPr>
                <w:rStyle w:val="Hyperlink"/>
                <w:noProof/>
                <w:webHidden/>
              </w:rPr>
              <w:fldChar w:fldCharType="separate"/>
            </w:r>
            <w:r w:rsidR="00B85250">
              <w:rPr>
                <w:rStyle w:val="Hyperlink"/>
                <w:noProof/>
                <w:webHidden/>
              </w:rPr>
              <w:t>13</w:t>
            </w:r>
            <w:r w:rsidRPr="003D20EA">
              <w:rPr>
                <w:rStyle w:val="Hyperlink"/>
                <w:noProof/>
                <w:webHidden/>
              </w:rPr>
              <w:fldChar w:fldCharType="end"/>
            </w:r>
          </w:hyperlink>
        </w:p>
        <w:p w14:paraId="655D561D" w14:textId="3F26B9BB" w:rsidR="002B5F34" w:rsidRPr="003D20EA" w:rsidRDefault="002B5F34" w:rsidP="003D20EA">
          <w:pPr>
            <w:pStyle w:val="Indholdsfortegnelse1"/>
            <w:tabs>
              <w:tab w:val="right" w:pos="8354"/>
            </w:tabs>
            <w:ind w:left="284"/>
            <w:rPr>
              <w:rStyle w:val="Hyperlink"/>
              <w:noProof/>
            </w:rPr>
          </w:pPr>
          <w:hyperlink w:anchor="_Toc120196509" w:history="1">
            <w:r w:rsidRPr="002B5F34">
              <w:rPr>
                <w:rStyle w:val="Hyperlink"/>
                <w:noProof/>
              </w:rPr>
              <w:t>Driftsjournal og indberetning</w:t>
            </w:r>
            <w:r w:rsidRPr="003D20EA">
              <w:rPr>
                <w:rStyle w:val="Hyperlink"/>
                <w:noProof/>
                <w:webHidden/>
              </w:rPr>
              <w:tab/>
            </w:r>
            <w:r w:rsidRPr="003D20EA">
              <w:rPr>
                <w:rStyle w:val="Hyperlink"/>
                <w:noProof/>
                <w:webHidden/>
              </w:rPr>
              <w:fldChar w:fldCharType="begin"/>
            </w:r>
            <w:r w:rsidRPr="003D20EA">
              <w:rPr>
                <w:rStyle w:val="Hyperlink"/>
                <w:noProof/>
                <w:webHidden/>
              </w:rPr>
              <w:instrText xml:space="preserve"> PAGEREF _Toc120196509 \h </w:instrText>
            </w:r>
            <w:r w:rsidRPr="003D20EA">
              <w:rPr>
                <w:rStyle w:val="Hyperlink"/>
                <w:noProof/>
                <w:webHidden/>
              </w:rPr>
            </w:r>
            <w:r w:rsidRPr="003D20EA">
              <w:rPr>
                <w:rStyle w:val="Hyperlink"/>
                <w:noProof/>
                <w:webHidden/>
              </w:rPr>
              <w:fldChar w:fldCharType="separate"/>
            </w:r>
            <w:r w:rsidR="00B85250">
              <w:rPr>
                <w:rStyle w:val="Hyperlink"/>
                <w:noProof/>
                <w:webHidden/>
              </w:rPr>
              <w:t>13</w:t>
            </w:r>
            <w:r w:rsidRPr="003D20EA">
              <w:rPr>
                <w:rStyle w:val="Hyperlink"/>
                <w:noProof/>
                <w:webHidden/>
              </w:rPr>
              <w:fldChar w:fldCharType="end"/>
            </w:r>
          </w:hyperlink>
        </w:p>
        <w:p w14:paraId="48BD8E45" w14:textId="1A8F7B41" w:rsidR="002B5F34" w:rsidRPr="003D20EA" w:rsidRDefault="002B5F34" w:rsidP="003D20EA">
          <w:pPr>
            <w:pStyle w:val="Indholdsfortegnelse1"/>
            <w:tabs>
              <w:tab w:val="right" w:pos="8354"/>
            </w:tabs>
            <w:ind w:left="284"/>
            <w:rPr>
              <w:rStyle w:val="Hyperlink"/>
              <w:noProof/>
            </w:rPr>
          </w:pPr>
          <w:hyperlink w:anchor="_Toc120196510" w:history="1">
            <w:r w:rsidRPr="002B5F34">
              <w:rPr>
                <w:rStyle w:val="Hyperlink"/>
                <w:noProof/>
              </w:rPr>
              <w:t>Foranstaltninger ved ophør</w:t>
            </w:r>
            <w:r w:rsidRPr="003D20EA">
              <w:rPr>
                <w:rStyle w:val="Hyperlink"/>
                <w:noProof/>
                <w:webHidden/>
              </w:rPr>
              <w:tab/>
            </w:r>
            <w:r w:rsidRPr="003D20EA">
              <w:rPr>
                <w:rStyle w:val="Hyperlink"/>
                <w:noProof/>
                <w:webHidden/>
              </w:rPr>
              <w:fldChar w:fldCharType="begin"/>
            </w:r>
            <w:r w:rsidRPr="003D20EA">
              <w:rPr>
                <w:rStyle w:val="Hyperlink"/>
                <w:noProof/>
                <w:webHidden/>
              </w:rPr>
              <w:instrText xml:space="preserve"> PAGEREF _Toc120196510 \h </w:instrText>
            </w:r>
            <w:r w:rsidRPr="003D20EA">
              <w:rPr>
                <w:rStyle w:val="Hyperlink"/>
                <w:noProof/>
                <w:webHidden/>
              </w:rPr>
            </w:r>
            <w:r w:rsidRPr="003D20EA">
              <w:rPr>
                <w:rStyle w:val="Hyperlink"/>
                <w:noProof/>
                <w:webHidden/>
              </w:rPr>
              <w:fldChar w:fldCharType="separate"/>
            </w:r>
            <w:r w:rsidR="00B85250">
              <w:rPr>
                <w:rStyle w:val="Hyperlink"/>
                <w:noProof/>
                <w:webHidden/>
              </w:rPr>
              <w:t>13</w:t>
            </w:r>
            <w:r w:rsidRPr="003D20EA">
              <w:rPr>
                <w:rStyle w:val="Hyperlink"/>
                <w:noProof/>
                <w:webHidden/>
              </w:rPr>
              <w:fldChar w:fldCharType="end"/>
            </w:r>
          </w:hyperlink>
        </w:p>
        <w:p w14:paraId="2B07D0F3" w14:textId="3619617F" w:rsidR="002B5F34" w:rsidRPr="00AE348F" w:rsidRDefault="002B5F34">
          <w:pPr>
            <w:pStyle w:val="Indholdsfortegnelse1"/>
            <w:tabs>
              <w:tab w:val="left" w:pos="567"/>
              <w:tab w:val="right" w:pos="8354"/>
            </w:tabs>
            <w:rPr>
              <w:rFonts w:eastAsiaTheme="minorEastAsia" w:cstheme="minorBidi"/>
              <w:b/>
              <w:bCs/>
              <w:noProof/>
              <w:sz w:val="22"/>
              <w:szCs w:val="22"/>
            </w:rPr>
          </w:pPr>
          <w:hyperlink w:anchor="_Toc120196511" w:history="1">
            <w:r w:rsidRPr="00AE348F">
              <w:rPr>
                <w:rStyle w:val="Hyperlink"/>
                <w:b/>
                <w:bCs/>
                <w:noProof/>
              </w:rPr>
              <w:t>2.</w:t>
            </w:r>
            <w:r w:rsidRPr="00AE348F">
              <w:rPr>
                <w:rFonts w:eastAsiaTheme="minorEastAsia" w:cstheme="minorBidi"/>
                <w:b/>
                <w:bCs/>
                <w:noProof/>
                <w:sz w:val="22"/>
                <w:szCs w:val="22"/>
              </w:rPr>
              <w:tab/>
            </w:r>
            <w:r w:rsidRPr="00AE348F">
              <w:rPr>
                <w:rStyle w:val="Hyperlink"/>
                <w:b/>
                <w:bCs/>
                <w:noProof/>
              </w:rPr>
              <w:t>Miljøteknisk beskrivelse og vurdering</w:t>
            </w:r>
            <w:r w:rsidRPr="00AE348F">
              <w:rPr>
                <w:b/>
                <w:bCs/>
                <w:noProof/>
                <w:webHidden/>
              </w:rPr>
              <w:tab/>
            </w:r>
            <w:r w:rsidRPr="00AE348F">
              <w:rPr>
                <w:b/>
                <w:bCs/>
                <w:noProof/>
                <w:webHidden/>
              </w:rPr>
              <w:fldChar w:fldCharType="begin"/>
            </w:r>
            <w:r w:rsidRPr="00AE348F">
              <w:rPr>
                <w:b/>
                <w:bCs/>
                <w:noProof/>
                <w:webHidden/>
              </w:rPr>
              <w:instrText xml:space="preserve"> PAGEREF _Toc120196511 \h </w:instrText>
            </w:r>
            <w:r w:rsidRPr="00AE348F">
              <w:rPr>
                <w:b/>
                <w:bCs/>
                <w:noProof/>
                <w:webHidden/>
              </w:rPr>
            </w:r>
            <w:r w:rsidRPr="00AE348F">
              <w:rPr>
                <w:b/>
                <w:bCs/>
                <w:noProof/>
                <w:webHidden/>
              </w:rPr>
              <w:fldChar w:fldCharType="separate"/>
            </w:r>
            <w:r w:rsidR="00B85250">
              <w:rPr>
                <w:b/>
                <w:bCs/>
                <w:noProof/>
                <w:webHidden/>
              </w:rPr>
              <w:t>15</w:t>
            </w:r>
            <w:r w:rsidRPr="00AE348F">
              <w:rPr>
                <w:b/>
                <w:bCs/>
                <w:noProof/>
                <w:webHidden/>
              </w:rPr>
              <w:fldChar w:fldCharType="end"/>
            </w:r>
          </w:hyperlink>
        </w:p>
        <w:p w14:paraId="65E7B29F" w14:textId="555D99EC" w:rsidR="002B5F34" w:rsidRPr="00036B6D" w:rsidRDefault="00B85250" w:rsidP="00036B6D">
          <w:pPr>
            <w:pStyle w:val="Indholdsfortegnelse1"/>
            <w:tabs>
              <w:tab w:val="right" w:pos="8354"/>
            </w:tabs>
            <w:ind w:left="284"/>
            <w:rPr>
              <w:rStyle w:val="Hyperlink"/>
              <w:noProof/>
            </w:rPr>
          </w:pPr>
          <w:hyperlink w:anchor="_Toc120196512" w:history="1">
            <w:r w:rsidR="002B5F34" w:rsidRPr="002B5F34">
              <w:rPr>
                <w:rStyle w:val="Hyperlink"/>
                <w:noProof/>
              </w:rPr>
              <w:t>2.1 Regler i MCP-bekendtgørelsen og olietankbekendtgørelsen</w:t>
            </w:r>
            <w:r w:rsidR="002B5F34" w:rsidRPr="00036B6D">
              <w:rPr>
                <w:rStyle w:val="Hyperlink"/>
                <w:noProof/>
                <w:webHidden/>
              </w:rPr>
              <w:tab/>
            </w:r>
            <w:r w:rsidR="002B5F34" w:rsidRPr="00036B6D">
              <w:rPr>
                <w:rStyle w:val="Hyperlink"/>
                <w:noProof/>
                <w:webHidden/>
              </w:rPr>
              <w:fldChar w:fldCharType="begin"/>
            </w:r>
            <w:r w:rsidR="002B5F34" w:rsidRPr="00036B6D">
              <w:rPr>
                <w:rStyle w:val="Hyperlink"/>
                <w:noProof/>
                <w:webHidden/>
              </w:rPr>
              <w:instrText xml:space="preserve"> PAGEREF _Toc120196512 \h </w:instrText>
            </w:r>
            <w:r w:rsidR="002B5F34" w:rsidRPr="00036B6D">
              <w:rPr>
                <w:rStyle w:val="Hyperlink"/>
                <w:noProof/>
                <w:webHidden/>
              </w:rPr>
            </w:r>
            <w:r w:rsidR="002B5F34" w:rsidRPr="00036B6D">
              <w:rPr>
                <w:rStyle w:val="Hyperlink"/>
                <w:noProof/>
                <w:webHidden/>
              </w:rPr>
              <w:fldChar w:fldCharType="separate"/>
            </w:r>
            <w:r>
              <w:rPr>
                <w:rStyle w:val="Hyperlink"/>
                <w:noProof/>
                <w:webHidden/>
              </w:rPr>
              <w:t>15</w:t>
            </w:r>
            <w:r w:rsidR="002B5F34" w:rsidRPr="00036B6D">
              <w:rPr>
                <w:rStyle w:val="Hyperlink"/>
                <w:noProof/>
                <w:webHidden/>
              </w:rPr>
              <w:fldChar w:fldCharType="end"/>
            </w:r>
          </w:hyperlink>
        </w:p>
        <w:p w14:paraId="04BC6E62" w14:textId="141CF216" w:rsidR="002B5F34" w:rsidRPr="00036B6D" w:rsidRDefault="00B85250" w:rsidP="00036B6D">
          <w:pPr>
            <w:pStyle w:val="Indholdsfortegnelse1"/>
            <w:tabs>
              <w:tab w:val="right" w:pos="8354"/>
            </w:tabs>
            <w:ind w:left="284"/>
            <w:rPr>
              <w:rStyle w:val="Hyperlink"/>
              <w:noProof/>
            </w:rPr>
          </w:pPr>
          <w:hyperlink w:anchor="_Toc120196513" w:history="1">
            <w:r w:rsidR="002B5F34" w:rsidRPr="002B5F34">
              <w:rPr>
                <w:rStyle w:val="Hyperlink"/>
                <w:noProof/>
              </w:rPr>
              <w:t>2.2 Øvrig lovgivning</w:t>
            </w:r>
            <w:r w:rsidR="002B5F34" w:rsidRPr="00036B6D">
              <w:rPr>
                <w:rStyle w:val="Hyperlink"/>
                <w:noProof/>
                <w:webHidden/>
              </w:rPr>
              <w:tab/>
            </w:r>
            <w:r w:rsidR="002B5F34" w:rsidRPr="00036B6D">
              <w:rPr>
                <w:rStyle w:val="Hyperlink"/>
                <w:noProof/>
                <w:webHidden/>
              </w:rPr>
              <w:fldChar w:fldCharType="begin"/>
            </w:r>
            <w:r w:rsidR="002B5F34" w:rsidRPr="00036B6D">
              <w:rPr>
                <w:rStyle w:val="Hyperlink"/>
                <w:noProof/>
                <w:webHidden/>
              </w:rPr>
              <w:instrText xml:space="preserve"> PAGEREF _Toc120196513 \h </w:instrText>
            </w:r>
            <w:r w:rsidR="002B5F34" w:rsidRPr="00036B6D">
              <w:rPr>
                <w:rStyle w:val="Hyperlink"/>
                <w:noProof/>
                <w:webHidden/>
              </w:rPr>
            </w:r>
            <w:r w:rsidR="002B5F34" w:rsidRPr="00036B6D">
              <w:rPr>
                <w:rStyle w:val="Hyperlink"/>
                <w:noProof/>
                <w:webHidden/>
              </w:rPr>
              <w:fldChar w:fldCharType="separate"/>
            </w:r>
            <w:r>
              <w:rPr>
                <w:rStyle w:val="Hyperlink"/>
                <w:noProof/>
                <w:webHidden/>
              </w:rPr>
              <w:t>21</w:t>
            </w:r>
            <w:r w:rsidR="002B5F34" w:rsidRPr="00036B6D">
              <w:rPr>
                <w:rStyle w:val="Hyperlink"/>
                <w:noProof/>
                <w:webHidden/>
              </w:rPr>
              <w:fldChar w:fldCharType="end"/>
            </w:r>
          </w:hyperlink>
        </w:p>
        <w:p w14:paraId="4BE3594D" w14:textId="061CFD62" w:rsidR="002B5F34" w:rsidRPr="00036B6D" w:rsidRDefault="00B85250" w:rsidP="00036B6D">
          <w:pPr>
            <w:pStyle w:val="Indholdsfortegnelse1"/>
            <w:tabs>
              <w:tab w:val="right" w:pos="8354"/>
            </w:tabs>
            <w:ind w:left="284"/>
            <w:rPr>
              <w:rStyle w:val="Hyperlink"/>
              <w:noProof/>
            </w:rPr>
          </w:pPr>
          <w:hyperlink w:anchor="_Toc120196514" w:history="1">
            <w:r w:rsidR="002B5F34" w:rsidRPr="002B5F34">
              <w:rPr>
                <w:rStyle w:val="Hyperlink"/>
                <w:noProof/>
              </w:rPr>
              <w:t>2.3 Beliggenhed og planforhold</w:t>
            </w:r>
            <w:r w:rsidR="002B5F34" w:rsidRPr="00036B6D">
              <w:rPr>
                <w:rStyle w:val="Hyperlink"/>
                <w:noProof/>
                <w:webHidden/>
              </w:rPr>
              <w:tab/>
            </w:r>
            <w:r w:rsidR="002B5F34" w:rsidRPr="00036B6D">
              <w:rPr>
                <w:rStyle w:val="Hyperlink"/>
                <w:noProof/>
                <w:webHidden/>
              </w:rPr>
              <w:fldChar w:fldCharType="begin"/>
            </w:r>
            <w:r w:rsidR="002B5F34" w:rsidRPr="00036B6D">
              <w:rPr>
                <w:rStyle w:val="Hyperlink"/>
                <w:noProof/>
                <w:webHidden/>
              </w:rPr>
              <w:instrText xml:space="preserve"> PAGEREF _Toc120196514 \h </w:instrText>
            </w:r>
            <w:r w:rsidR="002B5F34" w:rsidRPr="00036B6D">
              <w:rPr>
                <w:rStyle w:val="Hyperlink"/>
                <w:noProof/>
                <w:webHidden/>
              </w:rPr>
            </w:r>
            <w:r w:rsidR="002B5F34" w:rsidRPr="00036B6D">
              <w:rPr>
                <w:rStyle w:val="Hyperlink"/>
                <w:noProof/>
                <w:webHidden/>
              </w:rPr>
              <w:fldChar w:fldCharType="separate"/>
            </w:r>
            <w:r>
              <w:rPr>
                <w:rStyle w:val="Hyperlink"/>
                <w:noProof/>
                <w:webHidden/>
              </w:rPr>
              <w:t>22</w:t>
            </w:r>
            <w:r w:rsidR="002B5F34" w:rsidRPr="00036B6D">
              <w:rPr>
                <w:rStyle w:val="Hyperlink"/>
                <w:noProof/>
                <w:webHidden/>
              </w:rPr>
              <w:fldChar w:fldCharType="end"/>
            </w:r>
          </w:hyperlink>
        </w:p>
        <w:p w14:paraId="6BE5C58C" w14:textId="32F0D5EE" w:rsidR="002B5F34" w:rsidRPr="00036B6D" w:rsidRDefault="00B85250" w:rsidP="00036B6D">
          <w:pPr>
            <w:pStyle w:val="Indholdsfortegnelse1"/>
            <w:tabs>
              <w:tab w:val="right" w:pos="8354"/>
            </w:tabs>
            <w:ind w:left="284"/>
            <w:rPr>
              <w:rStyle w:val="Hyperlink"/>
              <w:noProof/>
            </w:rPr>
          </w:pPr>
          <w:hyperlink w:anchor="_Toc120196515" w:history="1">
            <w:r w:rsidR="002B5F34" w:rsidRPr="002B5F34">
              <w:rPr>
                <w:rStyle w:val="Hyperlink"/>
                <w:noProof/>
              </w:rPr>
              <w:t>2.4 Drikkevandsinteresser</w:t>
            </w:r>
            <w:r w:rsidR="002B5F34" w:rsidRPr="00036B6D">
              <w:rPr>
                <w:rStyle w:val="Hyperlink"/>
                <w:noProof/>
                <w:webHidden/>
              </w:rPr>
              <w:tab/>
            </w:r>
            <w:r w:rsidR="002B5F34" w:rsidRPr="00036B6D">
              <w:rPr>
                <w:rStyle w:val="Hyperlink"/>
                <w:noProof/>
                <w:webHidden/>
              </w:rPr>
              <w:fldChar w:fldCharType="begin"/>
            </w:r>
            <w:r w:rsidR="002B5F34" w:rsidRPr="00036B6D">
              <w:rPr>
                <w:rStyle w:val="Hyperlink"/>
                <w:noProof/>
                <w:webHidden/>
              </w:rPr>
              <w:instrText xml:space="preserve"> PAGEREF _Toc120196515 \h </w:instrText>
            </w:r>
            <w:r w:rsidR="002B5F34" w:rsidRPr="00036B6D">
              <w:rPr>
                <w:rStyle w:val="Hyperlink"/>
                <w:noProof/>
                <w:webHidden/>
              </w:rPr>
            </w:r>
            <w:r w:rsidR="002B5F34" w:rsidRPr="00036B6D">
              <w:rPr>
                <w:rStyle w:val="Hyperlink"/>
                <w:noProof/>
                <w:webHidden/>
              </w:rPr>
              <w:fldChar w:fldCharType="separate"/>
            </w:r>
            <w:r>
              <w:rPr>
                <w:rStyle w:val="Hyperlink"/>
                <w:noProof/>
                <w:webHidden/>
              </w:rPr>
              <w:t>23</w:t>
            </w:r>
            <w:r w:rsidR="002B5F34" w:rsidRPr="00036B6D">
              <w:rPr>
                <w:rStyle w:val="Hyperlink"/>
                <w:noProof/>
                <w:webHidden/>
              </w:rPr>
              <w:fldChar w:fldCharType="end"/>
            </w:r>
          </w:hyperlink>
        </w:p>
        <w:p w14:paraId="68D87F3F" w14:textId="06C1D116" w:rsidR="002B5F34" w:rsidRPr="00036B6D" w:rsidRDefault="00B85250" w:rsidP="00036B6D">
          <w:pPr>
            <w:pStyle w:val="Indholdsfortegnelse1"/>
            <w:tabs>
              <w:tab w:val="right" w:pos="8354"/>
            </w:tabs>
            <w:ind w:left="284"/>
            <w:rPr>
              <w:rStyle w:val="Hyperlink"/>
              <w:noProof/>
            </w:rPr>
          </w:pPr>
          <w:hyperlink w:anchor="_Toc120196516" w:history="1">
            <w:r w:rsidR="002B5F34" w:rsidRPr="002B5F34">
              <w:rPr>
                <w:rStyle w:val="Hyperlink"/>
                <w:noProof/>
              </w:rPr>
              <w:t>2.5 Indretning og drift</w:t>
            </w:r>
            <w:r w:rsidR="002B5F34" w:rsidRPr="00036B6D">
              <w:rPr>
                <w:rStyle w:val="Hyperlink"/>
                <w:noProof/>
                <w:webHidden/>
              </w:rPr>
              <w:tab/>
            </w:r>
            <w:r w:rsidR="002B5F34" w:rsidRPr="00036B6D">
              <w:rPr>
                <w:rStyle w:val="Hyperlink"/>
                <w:noProof/>
                <w:webHidden/>
              </w:rPr>
              <w:fldChar w:fldCharType="begin"/>
            </w:r>
            <w:r w:rsidR="002B5F34" w:rsidRPr="00036B6D">
              <w:rPr>
                <w:rStyle w:val="Hyperlink"/>
                <w:noProof/>
                <w:webHidden/>
              </w:rPr>
              <w:instrText xml:space="preserve"> PAGEREF _Toc120196516 \h </w:instrText>
            </w:r>
            <w:r w:rsidR="002B5F34" w:rsidRPr="00036B6D">
              <w:rPr>
                <w:rStyle w:val="Hyperlink"/>
                <w:noProof/>
                <w:webHidden/>
              </w:rPr>
            </w:r>
            <w:r w:rsidR="002B5F34" w:rsidRPr="00036B6D">
              <w:rPr>
                <w:rStyle w:val="Hyperlink"/>
                <w:noProof/>
                <w:webHidden/>
              </w:rPr>
              <w:fldChar w:fldCharType="separate"/>
            </w:r>
            <w:r>
              <w:rPr>
                <w:rStyle w:val="Hyperlink"/>
                <w:noProof/>
                <w:webHidden/>
              </w:rPr>
              <w:t>23</w:t>
            </w:r>
            <w:r w:rsidR="002B5F34" w:rsidRPr="00036B6D">
              <w:rPr>
                <w:rStyle w:val="Hyperlink"/>
                <w:noProof/>
                <w:webHidden/>
              </w:rPr>
              <w:fldChar w:fldCharType="end"/>
            </w:r>
          </w:hyperlink>
        </w:p>
        <w:p w14:paraId="54968999" w14:textId="6CF59AC9" w:rsidR="002B5F34" w:rsidRPr="00036B6D" w:rsidRDefault="002B5F34" w:rsidP="00036B6D">
          <w:pPr>
            <w:pStyle w:val="Indholdsfortegnelse1"/>
            <w:tabs>
              <w:tab w:val="right" w:pos="8354"/>
            </w:tabs>
            <w:ind w:left="284"/>
            <w:rPr>
              <w:rStyle w:val="Hyperlink"/>
              <w:noProof/>
            </w:rPr>
          </w:pPr>
          <w:hyperlink w:anchor="_Toc120196517" w:history="1">
            <w:r w:rsidRPr="002B5F34">
              <w:rPr>
                <w:rStyle w:val="Hyperlink"/>
                <w:noProof/>
              </w:rPr>
              <w:t>2.6 Støj</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_Toc120196517 \h </w:instrText>
            </w:r>
            <w:r w:rsidRPr="00036B6D">
              <w:rPr>
                <w:rStyle w:val="Hyperlink"/>
                <w:noProof/>
                <w:webHidden/>
              </w:rPr>
            </w:r>
            <w:r w:rsidRPr="00036B6D">
              <w:rPr>
                <w:rStyle w:val="Hyperlink"/>
                <w:noProof/>
                <w:webHidden/>
              </w:rPr>
              <w:fldChar w:fldCharType="separate"/>
            </w:r>
            <w:r w:rsidR="00B85250">
              <w:rPr>
                <w:rStyle w:val="Hyperlink"/>
                <w:noProof/>
                <w:webHidden/>
              </w:rPr>
              <w:t>26</w:t>
            </w:r>
            <w:r w:rsidRPr="00036B6D">
              <w:rPr>
                <w:rStyle w:val="Hyperlink"/>
                <w:noProof/>
                <w:webHidden/>
              </w:rPr>
              <w:fldChar w:fldCharType="end"/>
            </w:r>
          </w:hyperlink>
        </w:p>
        <w:p w14:paraId="2E299A22" w14:textId="083874F6" w:rsidR="002B5F34" w:rsidRPr="00036B6D" w:rsidRDefault="002B5F34" w:rsidP="00036B6D">
          <w:pPr>
            <w:pStyle w:val="Indholdsfortegnelse1"/>
            <w:tabs>
              <w:tab w:val="right" w:pos="8354"/>
            </w:tabs>
            <w:ind w:left="284"/>
            <w:rPr>
              <w:rStyle w:val="Hyperlink"/>
              <w:noProof/>
            </w:rPr>
          </w:pPr>
          <w:hyperlink w:anchor="_Toc120196518" w:history="1">
            <w:r w:rsidRPr="002B5F34">
              <w:rPr>
                <w:rStyle w:val="Hyperlink"/>
                <w:noProof/>
              </w:rPr>
              <w:t>2.7 Luftforurening</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_Toc120196518 \h </w:instrText>
            </w:r>
            <w:r w:rsidRPr="00036B6D">
              <w:rPr>
                <w:rStyle w:val="Hyperlink"/>
                <w:noProof/>
                <w:webHidden/>
              </w:rPr>
            </w:r>
            <w:r w:rsidRPr="00036B6D">
              <w:rPr>
                <w:rStyle w:val="Hyperlink"/>
                <w:noProof/>
                <w:webHidden/>
              </w:rPr>
              <w:fldChar w:fldCharType="separate"/>
            </w:r>
            <w:r w:rsidR="00B85250">
              <w:rPr>
                <w:rStyle w:val="Hyperlink"/>
                <w:noProof/>
                <w:webHidden/>
              </w:rPr>
              <w:t>28</w:t>
            </w:r>
            <w:r w:rsidRPr="00036B6D">
              <w:rPr>
                <w:rStyle w:val="Hyperlink"/>
                <w:noProof/>
                <w:webHidden/>
              </w:rPr>
              <w:fldChar w:fldCharType="end"/>
            </w:r>
          </w:hyperlink>
        </w:p>
        <w:p w14:paraId="0D0AE53E" w14:textId="1074A0ED" w:rsidR="002B5F34" w:rsidRPr="00036B6D" w:rsidRDefault="002B5F34" w:rsidP="00036B6D">
          <w:pPr>
            <w:pStyle w:val="Indholdsfortegnelse1"/>
            <w:tabs>
              <w:tab w:val="right" w:pos="8354"/>
            </w:tabs>
            <w:ind w:left="284"/>
            <w:rPr>
              <w:rStyle w:val="Hyperlink"/>
              <w:noProof/>
            </w:rPr>
          </w:pPr>
          <w:hyperlink w:anchor="_Toc120196519" w:history="1">
            <w:r w:rsidRPr="002B5F34">
              <w:rPr>
                <w:rStyle w:val="Hyperlink"/>
                <w:noProof/>
              </w:rPr>
              <w:t>2.8 Lugt</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_Toc120196519 \h </w:instrText>
            </w:r>
            <w:r w:rsidRPr="00036B6D">
              <w:rPr>
                <w:rStyle w:val="Hyperlink"/>
                <w:noProof/>
                <w:webHidden/>
              </w:rPr>
            </w:r>
            <w:r w:rsidRPr="00036B6D">
              <w:rPr>
                <w:rStyle w:val="Hyperlink"/>
                <w:noProof/>
                <w:webHidden/>
              </w:rPr>
              <w:fldChar w:fldCharType="separate"/>
            </w:r>
            <w:r w:rsidR="00B85250">
              <w:rPr>
                <w:rStyle w:val="Hyperlink"/>
                <w:noProof/>
                <w:webHidden/>
              </w:rPr>
              <w:t>34</w:t>
            </w:r>
            <w:r w:rsidRPr="00036B6D">
              <w:rPr>
                <w:rStyle w:val="Hyperlink"/>
                <w:noProof/>
                <w:webHidden/>
              </w:rPr>
              <w:fldChar w:fldCharType="end"/>
            </w:r>
          </w:hyperlink>
        </w:p>
        <w:p w14:paraId="76093BA9" w14:textId="03BEC8C4" w:rsidR="002B5F34" w:rsidRPr="00036B6D" w:rsidRDefault="002B5F34" w:rsidP="00036B6D">
          <w:pPr>
            <w:pStyle w:val="Indholdsfortegnelse1"/>
            <w:tabs>
              <w:tab w:val="right" w:pos="8354"/>
            </w:tabs>
            <w:ind w:left="284"/>
            <w:rPr>
              <w:rStyle w:val="Hyperlink"/>
              <w:noProof/>
            </w:rPr>
          </w:pPr>
          <w:hyperlink w:anchor="_Toc120196520" w:history="1">
            <w:r w:rsidRPr="002B5F34">
              <w:rPr>
                <w:rStyle w:val="Hyperlink"/>
                <w:noProof/>
              </w:rPr>
              <w:t>2.9 Affald</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_Toc120196520 \h </w:instrText>
            </w:r>
            <w:r w:rsidRPr="00036B6D">
              <w:rPr>
                <w:rStyle w:val="Hyperlink"/>
                <w:noProof/>
                <w:webHidden/>
              </w:rPr>
            </w:r>
            <w:r w:rsidRPr="00036B6D">
              <w:rPr>
                <w:rStyle w:val="Hyperlink"/>
                <w:noProof/>
                <w:webHidden/>
              </w:rPr>
              <w:fldChar w:fldCharType="separate"/>
            </w:r>
            <w:r w:rsidR="00B85250">
              <w:rPr>
                <w:rStyle w:val="Hyperlink"/>
                <w:noProof/>
                <w:webHidden/>
              </w:rPr>
              <w:t>34</w:t>
            </w:r>
            <w:r w:rsidRPr="00036B6D">
              <w:rPr>
                <w:rStyle w:val="Hyperlink"/>
                <w:noProof/>
                <w:webHidden/>
              </w:rPr>
              <w:fldChar w:fldCharType="end"/>
            </w:r>
          </w:hyperlink>
        </w:p>
        <w:p w14:paraId="5B42AED0" w14:textId="60FA681A" w:rsidR="002B5F34" w:rsidRPr="00036B6D" w:rsidRDefault="002B5F34" w:rsidP="00036B6D">
          <w:pPr>
            <w:pStyle w:val="Indholdsfortegnelse1"/>
            <w:tabs>
              <w:tab w:val="right" w:pos="8354"/>
            </w:tabs>
            <w:ind w:left="284"/>
            <w:rPr>
              <w:rStyle w:val="Hyperlink"/>
              <w:noProof/>
            </w:rPr>
          </w:pPr>
          <w:hyperlink w:anchor="_Toc120196521" w:history="1">
            <w:r w:rsidRPr="002B5F34">
              <w:rPr>
                <w:rStyle w:val="Hyperlink"/>
                <w:noProof/>
              </w:rPr>
              <w:t>2.10 Beskyttelse af jord, grundvand og overfladevand</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_Toc120196521 \h </w:instrText>
            </w:r>
            <w:r w:rsidRPr="00036B6D">
              <w:rPr>
                <w:rStyle w:val="Hyperlink"/>
                <w:noProof/>
                <w:webHidden/>
              </w:rPr>
            </w:r>
            <w:r w:rsidRPr="00036B6D">
              <w:rPr>
                <w:rStyle w:val="Hyperlink"/>
                <w:noProof/>
                <w:webHidden/>
              </w:rPr>
              <w:fldChar w:fldCharType="separate"/>
            </w:r>
            <w:r w:rsidR="00B85250">
              <w:rPr>
                <w:rStyle w:val="Hyperlink"/>
                <w:noProof/>
                <w:webHidden/>
              </w:rPr>
              <w:t>35</w:t>
            </w:r>
            <w:r w:rsidRPr="00036B6D">
              <w:rPr>
                <w:rStyle w:val="Hyperlink"/>
                <w:noProof/>
                <w:webHidden/>
              </w:rPr>
              <w:fldChar w:fldCharType="end"/>
            </w:r>
          </w:hyperlink>
        </w:p>
        <w:p w14:paraId="28395B79" w14:textId="55CEAA31" w:rsidR="002B5F34" w:rsidRPr="00036B6D" w:rsidRDefault="002B5F34" w:rsidP="00036B6D">
          <w:pPr>
            <w:pStyle w:val="Indholdsfortegnelse1"/>
            <w:tabs>
              <w:tab w:val="right" w:pos="8354"/>
            </w:tabs>
            <w:ind w:left="284"/>
            <w:rPr>
              <w:rStyle w:val="Hyperlink"/>
              <w:noProof/>
            </w:rPr>
          </w:pPr>
          <w:hyperlink w:anchor="_Toc120196522" w:history="1">
            <w:r w:rsidRPr="002B5F34">
              <w:rPr>
                <w:rStyle w:val="Hyperlink"/>
                <w:noProof/>
              </w:rPr>
              <w:t>2.11 Spildevand</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_Toc120196522 \h </w:instrText>
            </w:r>
            <w:r w:rsidRPr="00036B6D">
              <w:rPr>
                <w:rStyle w:val="Hyperlink"/>
                <w:noProof/>
                <w:webHidden/>
              </w:rPr>
            </w:r>
            <w:r w:rsidRPr="00036B6D">
              <w:rPr>
                <w:rStyle w:val="Hyperlink"/>
                <w:noProof/>
                <w:webHidden/>
              </w:rPr>
              <w:fldChar w:fldCharType="separate"/>
            </w:r>
            <w:r w:rsidR="00B85250">
              <w:rPr>
                <w:rStyle w:val="Hyperlink"/>
                <w:noProof/>
                <w:webHidden/>
              </w:rPr>
              <w:t>38</w:t>
            </w:r>
            <w:r w:rsidRPr="00036B6D">
              <w:rPr>
                <w:rStyle w:val="Hyperlink"/>
                <w:noProof/>
                <w:webHidden/>
              </w:rPr>
              <w:fldChar w:fldCharType="end"/>
            </w:r>
          </w:hyperlink>
        </w:p>
        <w:p w14:paraId="3B76F8BD" w14:textId="591FDE04" w:rsidR="002B5F34" w:rsidRPr="00036B6D" w:rsidRDefault="002B5F34" w:rsidP="00036B6D">
          <w:pPr>
            <w:pStyle w:val="Indholdsfortegnelse1"/>
            <w:tabs>
              <w:tab w:val="right" w:pos="8354"/>
            </w:tabs>
            <w:ind w:left="284"/>
            <w:rPr>
              <w:rStyle w:val="Hyperlink"/>
              <w:noProof/>
            </w:rPr>
          </w:pPr>
          <w:hyperlink w:anchor="_Toc120196523" w:history="1">
            <w:r w:rsidRPr="002B5F34">
              <w:rPr>
                <w:rStyle w:val="Hyperlink"/>
                <w:noProof/>
              </w:rPr>
              <w:t>2.12</w:t>
            </w:r>
            <w:r w:rsidR="00036B6D">
              <w:rPr>
                <w:rStyle w:val="Hyperlink"/>
                <w:noProof/>
              </w:rPr>
              <w:t xml:space="preserve"> </w:t>
            </w:r>
            <w:r w:rsidRPr="002B5F34">
              <w:rPr>
                <w:rStyle w:val="Hyperlink"/>
                <w:noProof/>
              </w:rPr>
              <w:t>Bedst tilgængelige teknologi-BAT</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_Toc120196523 \h </w:instrText>
            </w:r>
            <w:r w:rsidRPr="00036B6D">
              <w:rPr>
                <w:rStyle w:val="Hyperlink"/>
                <w:noProof/>
                <w:webHidden/>
              </w:rPr>
            </w:r>
            <w:r w:rsidRPr="00036B6D">
              <w:rPr>
                <w:rStyle w:val="Hyperlink"/>
                <w:noProof/>
                <w:webHidden/>
              </w:rPr>
              <w:fldChar w:fldCharType="separate"/>
            </w:r>
            <w:r w:rsidR="00B85250">
              <w:rPr>
                <w:rStyle w:val="Hyperlink"/>
                <w:noProof/>
                <w:webHidden/>
              </w:rPr>
              <w:t>39</w:t>
            </w:r>
            <w:r w:rsidRPr="00036B6D">
              <w:rPr>
                <w:rStyle w:val="Hyperlink"/>
                <w:noProof/>
                <w:webHidden/>
              </w:rPr>
              <w:fldChar w:fldCharType="end"/>
            </w:r>
          </w:hyperlink>
        </w:p>
        <w:p w14:paraId="5E3144F2" w14:textId="58F7C431" w:rsidR="002B5F34" w:rsidRPr="00036B6D" w:rsidRDefault="002B5F34" w:rsidP="00036B6D">
          <w:pPr>
            <w:pStyle w:val="Indholdsfortegnelse1"/>
            <w:tabs>
              <w:tab w:val="right" w:pos="8354"/>
            </w:tabs>
            <w:ind w:left="284"/>
            <w:rPr>
              <w:rStyle w:val="Hyperlink"/>
              <w:noProof/>
            </w:rPr>
          </w:pPr>
          <w:hyperlink w:anchor="_Toc120196524" w:history="1">
            <w:r w:rsidRPr="002B5F34">
              <w:rPr>
                <w:rStyle w:val="Hyperlink"/>
                <w:noProof/>
              </w:rPr>
              <w:t>2.13 Energi og råvareudnyttelse</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_Toc120196524 \h </w:instrText>
            </w:r>
            <w:r w:rsidRPr="00036B6D">
              <w:rPr>
                <w:rStyle w:val="Hyperlink"/>
                <w:noProof/>
                <w:webHidden/>
              </w:rPr>
            </w:r>
            <w:r w:rsidRPr="00036B6D">
              <w:rPr>
                <w:rStyle w:val="Hyperlink"/>
                <w:noProof/>
                <w:webHidden/>
              </w:rPr>
              <w:fldChar w:fldCharType="separate"/>
            </w:r>
            <w:r w:rsidR="00B85250">
              <w:rPr>
                <w:rStyle w:val="Hyperlink"/>
                <w:noProof/>
                <w:webHidden/>
              </w:rPr>
              <w:t>39</w:t>
            </w:r>
            <w:r w:rsidRPr="00036B6D">
              <w:rPr>
                <w:rStyle w:val="Hyperlink"/>
                <w:noProof/>
                <w:webHidden/>
              </w:rPr>
              <w:fldChar w:fldCharType="end"/>
            </w:r>
          </w:hyperlink>
        </w:p>
        <w:p w14:paraId="232EF366" w14:textId="7293AFB6" w:rsidR="002B5F34" w:rsidRPr="00036B6D" w:rsidRDefault="002B5F34" w:rsidP="00036B6D">
          <w:pPr>
            <w:pStyle w:val="Indholdsfortegnelse1"/>
            <w:tabs>
              <w:tab w:val="right" w:pos="8354"/>
            </w:tabs>
            <w:ind w:left="284"/>
            <w:rPr>
              <w:rStyle w:val="Hyperlink"/>
              <w:noProof/>
            </w:rPr>
          </w:pPr>
          <w:hyperlink w:anchor="_Toc120196525" w:history="1">
            <w:r w:rsidRPr="002B5F34">
              <w:rPr>
                <w:rStyle w:val="Hyperlink"/>
                <w:noProof/>
              </w:rPr>
              <w:t>2.14 Foranstaltninger i forbindelse med virksomhedens ophør</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_Toc120196525 \h </w:instrText>
            </w:r>
            <w:r w:rsidRPr="00036B6D">
              <w:rPr>
                <w:rStyle w:val="Hyperlink"/>
                <w:noProof/>
                <w:webHidden/>
              </w:rPr>
            </w:r>
            <w:r w:rsidRPr="00036B6D">
              <w:rPr>
                <w:rStyle w:val="Hyperlink"/>
                <w:noProof/>
                <w:webHidden/>
              </w:rPr>
              <w:fldChar w:fldCharType="separate"/>
            </w:r>
            <w:r w:rsidR="00B85250">
              <w:rPr>
                <w:rStyle w:val="Hyperlink"/>
                <w:noProof/>
                <w:webHidden/>
              </w:rPr>
              <w:t>40</w:t>
            </w:r>
            <w:r w:rsidRPr="00036B6D">
              <w:rPr>
                <w:rStyle w:val="Hyperlink"/>
                <w:noProof/>
                <w:webHidden/>
              </w:rPr>
              <w:fldChar w:fldCharType="end"/>
            </w:r>
          </w:hyperlink>
        </w:p>
        <w:p w14:paraId="5B3C50B7" w14:textId="14EAD24A" w:rsidR="002B5F34" w:rsidRPr="00036B6D" w:rsidRDefault="002B5F34" w:rsidP="00036B6D">
          <w:pPr>
            <w:pStyle w:val="Indholdsfortegnelse1"/>
            <w:tabs>
              <w:tab w:val="right" w:pos="8354"/>
            </w:tabs>
            <w:ind w:left="284"/>
            <w:rPr>
              <w:rStyle w:val="Hyperlink"/>
              <w:noProof/>
            </w:rPr>
          </w:pPr>
          <w:hyperlink w:anchor="_Toc120196526" w:history="1">
            <w:r w:rsidRPr="002B5F34">
              <w:rPr>
                <w:rStyle w:val="Hyperlink"/>
                <w:noProof/>
              </w:rPr>
              <w:t>2.15 Habitatbekendtgørelsen</w:t>
            </w:r>
            <w:r w:rsidRPr="00036B6D">
              <w:rPr>
                <w:rStyle w:val="Hyperlink"/>
                <w:noProof/>
                <w:webHidden/>
              </w:rPr>
              <w:tab/>
            </w:r>
            <w:r w:rsidRPr="00036B6D">
              <w:rPr>
                <w:rStyle w:val="Hyperlink"/>
                <w:noProof/>
                <w:webHidden/>
              </w:rPr>
              <w:fldChar w:fldCharType="begin"/>
            </w:r>
            <w:r w:rsidRPr="00036B6D">
              <w:rPr>
                <w:rStyle w:val="Hyperlink"/>
                <w:noProof/>
                <w:webHidden/>
              </w:rPr>
              <w:instrText xml:space="preserve"> PAGEREF _Toc120196526 \h </w:instrText>
            </w:r>
            <w:r w:rsidRPr="00036B6D">
              <w:rPr>
                <w:rStyle w:val="Hyperlink"/>
                <w:noProof/>
                <w:webHidden/>
              </w:rPr>
            </w:r>
            <w:r w:rsidRPr="00036B6D">
              <w:rPr>
                <w:rStyle w:val="Hyperlink"/>
                <w:noProof/>
                <w:webHidden/>
              </w:rPr>
              <w:fldChar w:fldCharType="separate"/>
            </w:r>
            <w:r w:rsidR="00B85250">
              <w:rPr>
                <w:rStyle w:val="Hyperlink"/>
                <w:noProof/>
                <w:webHidden/>
              </w:rPr>
              <w:t>40</w:t>
            </w:r>
            <w:r w:rsidRPr="00036B6D">
              <w:rPr>
                <w:rStyle w:val="Hyperlink"/>
                <w:noProof/>
                <w:webHidden/>
              </w:rPr>
              <w:fldChar w:fldCharType="end"/>
            </w:r>
          </w:hyperlink>
        </w:p>
        <w:p w14:paraId="33F17351" w14:textId="4AA8332A" w:rsidR="002B5F34" w:rsidRPr="00AD453F" w:rsidRDefault="002B5F34" w:rsidP="00AD453F">
          <w:pPr>
            <w:pStyle w:val="Indholdsfortegnelse1"/>
            <w:tabs>
              <w:tab w:val="right" w:pos="8354"/>
            </w:tabs>
            <w:ind w:left="284"/>
            <w:rPr>
              <w:rStyle w:val="Hyperlink"/>
              <w:noProof/>
            </w:rPr>
          </w:pPr>
          <w:hyperlink w:anchor="_Toc120196527" w:history="1">
            <w:r w:rsidRPr="002B5F34">
              <w:rPr>
                <w:rStyle w:val="Hyperlink"/>
                <w:noProof/>
              </w:rPr>
              <w:t>2.16 Forhold omkring basistilstandsrapport</w:t>
            </w:r>
            <w:r w:rsidRPr="00AD453F">
              <w:rPr>
                <w:rStyle w:val="Hyperlink"/>
                <w:noProof/>
                <w:webHidden/>
              </w:rPr>
              <w:tab/>
            </w:r>
            <w:r w:rsidRPr="00AD453F">
              <w:rPr>
                <w:rStyle w:val="Hyperlink"/>
                <w:noProof/>
                <w:webHidden/>
              </w:rPr>
              <w:fldChar w:fldCharType="begin"/>
            </w:r>
            <w:r w:rsidRPr="00AD453F">
              <w:rPr>
                <w:rStyle w:val="Hyperlink"/>
                <w:noProof/>
                <w:webHidden/>
              </w:rPr>
              <w:instrText xml:space="preserve"> PAGEREF _Toc120196527 \h </w:instrText>
            </w:r>
            <w:r w:rsidRPr="00AD453F">
              <w:rPr>
                <w:rStyle w:val="Hyperlink"/>
                <w:noProof/>
                <w:webHidden/>
              </w:rPr>
            </w:r>
            <w:r w:rsidRPr="00AD453F">
              <w:rPr>
                <w:rStyle w:val="Hyperlink"/>
                <w:noProof/>
                <w:webHidden/>
              </w:rPr>
              <w:fldChar w:fldCharType="separate"/>
            </w:r>
            <w:r w:rsidR="00B85250">
              <w:rPr>
                <w:rStyle w:val="Hyperlink"/>
                <w:noProof/>
                <w:webHidden/>
              </w:rPr>
              <w:t>44</w:t>
            </w:r>
            <w:r w:rsidRPr="00AD453F">
              <w:rPr>
                <w:rStyle w:val="Hyperlink"/>
                <w:noProof/>
                <w:webHidden/>
              </w:rPr>
              <w:fldChar w:fldCharType="end"/>
            </w:r>
          </w:hyperlink>
        </w:p>
        <w:p w14:paraId="50E1C769" w14:textId="13D55E02" w:rsidR="002B5F34" w:rsidRPr="00AE348F" w:rsidRDefault="002B5F34" w:rsidP="00A37015">
          <w:pPr>
            <w:pStyle w:val="Indholdsfortegnelse2"/>
            <w:spacing w:after="0"/>
            <w:rPr>
              <w:rFonts w:asciiTheme="minorHAnsi" w:eastAsiaTheme="minorEastAsia" w:hAnsiTheme="minorHAnsi" w:cstheme="minorBidi"/>
              <w:b/>
              <w:bCs/>
              <w:noProof/>
              <w:sz w:val="22"/>
              <w:szCs w:val="22"/>
            </w:rPr>
          </w:pPr>
          <w:hyperlink w:anchor="_Toc120196528" w:history="1">
            <w:r w:rsidRPr="00AE348F">
              <w:rPr>
                <w:rStyle w:val="Hyperlink"/>
                <w:rFonts w:ascii="Verdana" w:hAnsi="Verdana"/>
                <w:b/>
                <w:bCs/>
                <w:noProof/>
              </w:rPr>
              <w:t>3.</w:t>
            </w:r>
            <w:r w:rsidRPr="00AE348F">
              <w:rPr>
                <w:rFonts w:ascii="Verdana" w:eastAsiaTheme="minorEastAsia" w:hAnsi="Verdana" w:cstheme="minorBidi"/>
                <w:b/>
                <w:bCs/>
                <w:noProof/>
                <w:sz w:val="22"/>
                <w:szCs w:val="22"/>
              </w:rPr>
              <w:tab/>
            </w:r>
            <w:r w:rsidRPr="00AE348F">
              <w:rPr>
                <w:rStyle w:val="Hyperlink"/>
                <w:rFonts w:ascii="Verdana" w:hAnsi="Verdana"/>
                <w:b/>
                <w:bCs/>
                <w:noProof/>
              </w:rPr>
              <w:t>Konklusion</w:t>
            </w:r>
            <w:r w:rsidRPr="00AE348F">
              <w:rPr>
                <w:rFonts w:ascii="Verdana" w:hAnsi="Verdana"/>
                <w:b/>
                <w:bCs/>
                <w:noProof/>
                <w:webHidden/>
              </w:rPr>
              <w:tab/>
            </w:r>
            <w:r w:rsidRPr="00AE348F">
              <w:rPr>
                <w:rFonts w:ascii="Verdana" w:hAnsi="Verdana"/>
                <w:b/>
                <w:bCs/>
                <w:noProof/>
                <w:webHidden/>
              </w:rPr>
              <w:fldChar w:fldCharType="begin"/>
            </w:r>
            <w:r w:rsidRPr="00AE348F">
              <w:rPr>
                <w:rFonts w:ascii="Verdana" w:hAnsi="Verdana"/>
                <w:b/>
                <w:bCs/>
                <w:noProof/>
                <w:webHidden/>
              </w:rPr>
              <w:instrText xml:space="preserve"> PAGEREF _Toc120196528 \h </w:instrText>
            </w:r>
            <w:r w:rsidRPr="00AE348F">
              <w:rPr>
                <w:rFonts w:ascii="Verdana" w:hAnsi="Verdana"/>
                <w:b/>
                <w:bCs/>
                <w:noProof/>
                <w:webHidden/>
              </w:rPr>
            </w:r>
            <w:r w:rsidRPr="00AE348F">
              <w:rPr>
                <w:rFonts w:ascii="Verdana" w:hAnsi="Verdana"/>
                <w:b/>
                <w:bCs/>
                <w:noProof/>
                <w:webHidden/>
              </w:rPr>
              <w:fldChar w:fldCharType="separate"/>
            </w:r>
            <w:r w:rsidR="00B85250">
              <w:rPr>
                <w:rFonts w:ascii="Verdana" w:hAnsi="Verdana"/>
                <w:b/>
                <w:bCs/>
                <w:noProof/>
                <w:webHidden/>
              </w:rPr>
              <w:t>46</w:t>
            </w:r>
            <w:r w:rsidRPr="00AE348F">
              <w:rPr>
                <w:rFonts w:ascii="Verdana" w:hAnsi="Verdana"/>
                <w:b/>
                <w:bCs/>
                <w:noProof/>
                <w:webHidden/>
              </w:rPr>
              <w:fldChar w:fldCharType="end"/>
            </w:r>
          </w:hyperlink>
        </w:p>
        <w:p w14:paraId="7DA20AB6" w14:textId="00ABF0F3" w:rsidR="000B6712" w:rsidRPr="004B14BD" w:rsidRDefault="000B6712" w:rsidP="000B6712">
          <w:pPr>
            <w:rPr>
              <w:color w:val="FF0000"/>
              <w:szCs w:val="24"/>
            </w:rPr>
          </w:pPr>
          <w:r w:rsidRPr="004B14BD">
            <w:rPr>
              <w:color w:val="FF0000"/>
              <w:szCs w:val="24"/>
            </w:rPr>
            <w:fldChar w:fldCharType="end"/>
          </w:r>
        </w:p>
      </w:sdtContent>
    </w:sdt>
    <w:p w14:paraId="22475388" w14:textId="77777777" w:rsidR="000B6712" w:rsidRPr="004933A8" w:rsidRDefault="000B6712" w:rsidP="000B6712">
      <w:pPr>
        <w:rPr>
          <w:b/>
          <w:color w:val="000000" w:themeColor="text1"/>
          <w:sz w:val="28"/>
          <w:szCs w:val="28"/>
        </w:rPr>
      </w:pPr>
      <w:r w:rsidRPr="004933A8">
        <w:rPr>
          <w:b/>
          <w:color w:val="000000" w:themeColor="text1"/>
          <w:sz w:val="28"/>
          <w:szCs w:val="28"/>
        </w:rPr>
        <w:t>Bilag</w:t>
      </w:r>
    </w:p>
    <w:p w14:paraId="5F2A167F" w14:textId="1901CB81" w:rsidR="000B6712" w:rsidRPr="00CA188F" w:rsidRDefault="000B6712" w:rsidP="000B6712">
      <w:pPr>
        <w:spacing w:line="360" w:lineRule="auto"/>
        <w:rPr>
          <w:szCs w:val="24"/>
        </w:rPr>
      </w:pPr>
      <w:r w:rsidRPr="00CA188F">
        <w:rPr>
          <w:b/>
          <w:szCs w:val="24"/>
        </w:rPr>
        <w:t xml:space="preserve">Bilag 1: </w:t>
      </w:r>
      <w:bookmarkStart w:id="0" w:name="_Toc326588482"/>
      <w:r w:rsidR="00A75D8C" w:rsidRPr="00CA188F">
        <w:rPr>
          <w:szCs w:val="24"/>
        </w:rPr>
        <w:t xml:space="preserve">Ansøgning om miljøgodkendelse af </w:t>
      </w:r>
      <w:r w:rsidR="00F03F88" w:rsidRPr="00CA188F">
        <w:rPr>
          <w:szCs w:val="24"/>
        </w:rPr>
        <w:t>20. december 2022.</w:t>
      </w:r>
    </w:p>
    <w:p w14:paraId="74E8C5FD" w14:textId="569AF142" w:rsidR="00F03F88" w:rsidRPr="00CA188F" w:rsidRDefault="00F03F88" w:rsidP="000B6712">
      <w:pPr>
        <w:spacing w:line="360" w:lineRule="auto"/>
        <w:rPr>
          <w:szCs w:val="24"/>
        </w:rPr>
      </w:pPr>
      <w:r w:rsidRPr="00CA188F">
        <w:rPr>
          <w:b/>
          <w:bCs/>
          <w:szCs w:val="24"/>
        </w:rPr>
        <w:t>Bilag 2.</w:t>
      </w:r>
      <w:r w:rsidRPr="00CA188F">
        <w:rPr>
          <w:szCs w:val="24"/>
        </w:rPr>
        <w:t xml:space="preserve"> Bilag til ansøgning om miljøgodkendelse af 20. december 2022.</w:t>
      </w:r>
    </w:p>
    <w:p w14:paraId="6FECDF61" w14:textId="1ABF1CC6" w:rsidR="00E22DA1" w:rsidRPr="00CA188F" w:rsidRDefault="00E22DA1" w:rsidP="000B6712">
      <w:pPr>
        <w:spacing w:line="360" w:lineRule="auto"/>
        <w:rPr>
          <w:szCs w:val="24"/>
        </w:rPr>
      </w:pPr>
      <w:r w:rsidRPr="00CA188F">
        <w:rPr>
          <w:b/>
          <w:bCs/>
          <w:szCs w:val="24"/>
        </w:rPr>
        <w:t xml:space="preserve">Bilag </w:t>
      </w:r>
      <w:r w:rsidR="00F03F88" w:rsidRPr="00CA188F">
        <w:rPr>
          <w:b/>
          <w:bCs/>
          <w:szCs w:val="24"/>
        </w:rPr>
        <w:t>3</w:t>
      </w:r>
      <w:r w:rsidR="00A75D8C" w:rsidRPr="00CA188F">
        <w:rPr>
          <w:b/>
          <w:bCs/>
          <w:szCs w:val="24"/>
        </w:rPr>
        <w:t xml:space="preserve"> </w:t>
      </w:r>
      <w:r w:rsidR="00A75D8C" w:rsidRPr="00CA188F">
        <w:rPr>
          <w:szCs w:val="24"/>
        </w:rPr>
        <w:t>Lokalplanområder rundt om virksomheden</w:t>
      </w:r>
      <w:r w:rsidR="001B2E3D" w:rsidRPr="00CA188F">
        <w:rPr>
          <w:szCs w:val="24"/>
        </w:rPr>
        <w:t>.</w:t>
      </w:r>
    </w:p>
    <w:p w14:paraId="6CADE452" w14:textId="7D7C69B9" w:rsidR="00D14BD9" w:rsidRPr="004B14BD" w:rsidRDefault="00181C51" w:rsidP="00714A10">
      <w:pPr>
        <w:pStyle w:val="Overskrift1"/>
      </w:pPr>
      <w:bookmarkStart w:id="1" w:name="_Toc120196496"/>
      <w:bookmarkStart w:id="2" w:name="_Toc384208146"/>
      <w:r w:rsidRPr="004B14BD">
        <w:lastRenderedPageBreak/>
        <w:t xml:space="preserve">Kort </w:t>
      </w:r>
      <w:r w:rsidR="00A1043E" w:rsidRPr="004B14BD">
        <w:t>om det ansøgte</w:t>
      </w:r>
      <w:r w:rsidR="002266EC" w:rsidRPr="004B14BD">
        <w:t xml:space="preserve"> projekt</w:t>
      </w:r>
      <w:bookmarkEnd w:id="1"/>
    </w:p>
    <w:p w14:paraId="28F0C875" w14:textId="77777777" w:rsidR="00D718F6" w:rsidRPr="004B14BD" w:rsidRDefault="00D718F6" w:rsidP="00D718F6"/>
    <w:p w14:paraId="661D03FD" w14:textId="45ECBF72" w:rsidR="008401F3" w:rsidRPr="000249FE" w:rsidRDefault="004804A4" w:rsidP="00B306AE">
      <w:r w:rsidRPr="004B14BD">
        <w:t xml:space="preserve">Sweco A/S har på vegne af Microsoft Danmark ApS </w:t>
      </w:r>
      <w:r w:rsidR="005209F7" w:rsidRPr="004B14BD">
        <w:t>den 17. maj 2022 ansøgt om miljøgodkendelse af Microsoft Danmark ApS</w:t>
      </w:r>
      <w:r w:rsidR="00307946" w:rsidRPr="004B14BD">
        <w:t xml:space="preserve"> (datacenter CPH07)</w:t>
      </w:r>
      <w:r w:rsidR="005209F7" w:rsidRPr="004B14BD">
        <w:t>, Bohus Boulevard 2, 2630 Taastrup.</w:t>
      </w:r>
      <w:r w:rsidR="00AD5653" w:rsidRPr="004B14BD">
        <w:t xml:space="preserve"> </w:t>
      </w:r>
      <w:r w:rsidR="0009307A" w:rsidRPr="000249FE">
        <w:t>Opdateret ansøgning</w:t>
      </w:r>
      <w:r w:rsidR="000249FE" w:rsidRPr="000249FE">
        <w:t xml:space="preserve"> og bilag er herefter</w:t>
      </w:r>
      <w:r w:rsidR="0009307A" w:rsidRPr="000249FE">
        <w:t xml:space="preserve"> indsendt den </w:t>
      </w:r>
      <w:r w:rsidR="000249FE" w:rsidRPr="000249FE">
        <w:t>20. december 2022.</w:t>
      </w:r>
    </w:p>
    <w:p w14:paraId="022EF7D3" w14:textId="77777777" w:rsidR="00DC39A3" w:rsidRPr="004B14BD" w:rsidRDefault="00DC39A3" w:rsidP="00B306AE"/>
    <w:p w14:paraId="5EE6173E" w14:textId="568BCE0F" w:rsidR="00B3724E" w:rsidRPr="004B14BD" w:rsidRDefault="00B3724E" w:rsidP="00B306AE">
      <w:r w:rsidRPr="004B14BD">
        <w:t>Datacentret vil, når det er færdigt</w:t>
      </w:r>
      <w:r w:rsidR="00B30D53">
        <w:t>,</w:t>
      </w:r>
      <w:r w:rsidRPr="004B14BD">
        <w:t xml:space="preserve"> bestå af 4 identiske bygninger/datahaller</w:t>
      </w:r>
      <w:r w:rsidR="005C11E9">
        <w:t xml:space="preserve"> (colo 1-4)</w:t>
      </w:r>
      <w:r w:rsidRPr="004B14BD">
        <w:t>, en administrationsbygning og et nødstrømsanlæg.</w:t>
      </w:r>
    </w:p>
    <w:p w14:paraId="3C168B34" w14:textId="77777777" w:rsidR="00B3724E" w:rsidRPr="004B14BD" w:rsidRDefault="00B3724E" w:rsidP="00B306AE"/>
    <w:p w14:paraId="5FD33AB1" w14:textId="269F8649" w:rsidR="00315C17" w:rsidRPr="004B14BD" w:rsidRDefault="00B3724E" w:rsidP="00B306AE">
      <w:pPr>
        <w:rPr>
          <w:color w:val="000000" w:themeColor="text1"/>
        </w:rPr>
      </w:pPr>
      <w:r w:rsidRPr="004B14BD">
        <w:rPr>
          <w:color w:val="000000" w:themeColor="text1"/>
        </w:rPr>
        <w:t xml:space="preserve">Datacentre kræver ikke i sig selv miljøgodkendelse. Nødstrømsanlægget i tilknytning til datacentret er dog en godkendelsespligtig biaktivitet. Nærværende miljøgodkendelse omhandler </w:t>
      </w:r>
      <w:r w:rsidR="00DD0A4A" w:rsidRPr="004B14BD">
        <w:rPr>
          <w:color w:val="000000" w:themeColor="text1"/>
        </w:rPr>
        <w:t>udelukkende</w:t>
      </w:r>
      <w:r w:rsidRPr="004B14BD">
        <w:rPr>
          <w:color w:val="000000" w:themeColor="text1"/>
        </w:rPr>
        <w:t xml:space="preserve"> nødstrømsanlægget samt de aktiviteter, der er </w:t>
      </w:r>
      <w:r w:rsidR="00D656AA" w:rsidRPr="004B14BD">
        <w:rPr>
          <w:color w:val="000000" w:themeColor="text1"/>
        </w:rPr>
        <w:t xml:space="preserve">er teknisk og forureningsmæssigt </w:t>
      </w:r>
      <w:r w:rsidRPr="004B14BD">
        <w:rPr>
          <w:color w:val="000000" w:themeColor="text1"/>
        </w:rPr>
        <w:t>forbundet hermed.</w:t>
      </w:r>
      <w:r w:rsidR="00315C17" w:rsidRPr="004B14BD">
        <w:rPr>
          <w:color w:val="000000" w:themeColor="text1"/>
        </w:rPr>
        <w:t xml:space="preserve"> </w:t>
      </w:r>
    </w:p>
    <w:p w14:paraId="09D108EB" w14:textId="77777777" w:rsidR="00B3724E" w:rsidRPr="004B14BD" w:rsidRDefault="00B3724E" w:rsidP="00B306AE">
      <w:pPr>
        <w:rPr>
          <w:color w:val="000000" w:themeColor="text1"/>
        </w:rPr>
      </w:pPr>
    </w:p>
    <w:p w14:paraId="334FDCE3" w14:textId="4DAB9958" w:rsidR="00DD0A4A" w:rsidRPr="004B14BD" w:rsidRDefault="00B3724E" w:rsidP="00B306AE">
      <w:pPr>
        <w:rPr>
          <w:color w:val="000000" w:themeColor="text1"/>
        </w:rPr>
      </w:pPr>
      <w:r w:rsidRPr="004B14BD">
        <w:rPr>
          <w:color w:val="000000" w:themeColor="text1"/>
        </w:rPr>
        <w:t>Nødstrømsanlægget vil fuldt udbygget bestå af 16 dieseldrevne generatorer til selve datacentret med en indfyret effekt på hver 7,5</w:t>
      </w:r>
      <w:r w:rsidR="00E13F8A" w:rsidRPr="004B14BD">
        <w:rPr>
          <w:color w:val="000000" w:themeColor="text1"/>
        </w:rPr>
        <w:t xml:space="preserve"> </w:t>
      </w:r>
      <w:r w:rsidRPr="004B14BD">
        <w:rPr>
          <w:color w:val="000000" w:themeColor="text1"/>
        </w:rPr>
        <w:t>MW samt et selvstændigt nødstrømsanlæg til administrationsbygningen med en indfyret effekt på 1,21 MW. Nødstrømsanlægget til datacentret og administrationsbygningen har en samlet indfyret effekt på 121,21 MW og placeres dermed under Godkendelsesbekendtgørelsens</w:t>
      </w:r>
      <w:r w:rsidR="00EE6A03" w:rsidRPr="004B14BD">
        <w:rPr>
          <w:rStyle w:val="Fodnotehenvisning"/>
          <w:color w:val="000000" w:themeColor="text1"/>
        </w:rPr>
        <w:footnoteReference w:id="1"/>
      </w:r>
      <w:r w:rsidRPr="004B14BD">
        <w:rPr>
          <w:color w:val="000000" w:themeColor="text1"/>
        </w:rPr>
        <w:t xml:space="preserve"> bilag 1</w:t>
      </w:r>
      <w:r w:rsidR="00DD0A4A" w:rsidRPr="004B14BD">
        <w:rPr>
          <w:color w:val="000000" w:themeColor="text1"/>
        </w:rPr>
        <w:t>:</w:t>
      </w:r>
    </w:p>
    <w:p w14:paraId="19D9CF2D" w14:textId="77777777" w:rsidR="00DD0A4A" w:rsidRPr="004B14BD" w:rsidRDefault="00DD0A4A" w:rsidP="00B306AE">
      <w:pPr>
        <w:rPr>
          <w:color w:val="000000" w:themeColor="text1"/>
        </w:rPr>
      </w:pPr>
    </w:p>
    <w:p w14:paraId="53EDBB9A" w14:textId="77777777" w:rsidR="00DD0A4A" w:rsidRPr="004B14BD" w:rsidRDefault="00DD0A4A" w:rsidP="00B306AE">
      <w:pPr>
        <w:rPr>
          <w:color w:val="000000" w:themeColor="text1"/>
        </w:rPr>
      </w:pPr>
      <w:r w:rsidRPr="004B14BD">
        <w:rPr>
          <w:i/>
          <w:color w:val="000000" w:themeColor="text1"/>
        </w:rPr>
        <w:t>P</w:t>
      </w:r>
      <w:r w:rsidR="00B3724E" w:rsidRPr="004B14BD">
        <w:rPr>
          <w:i/>
          <w:color w:val="000000" w:themeColor="text1"/>
        </w:rPr>
        <w:t>unkt 1.1B</w:t>
      </w:r>
      <w:r w:rsidRPr="004B14BD">
        <w:rPr>
          <w:i/>
          <w:color w:val="000000" w:themeColor="text1"/>
        </w:rPr>
        <w:t>: Forbrænding af brændsel i anlæg med en samlet nominel indfyret termisk effekt på 50 MW eller derover, hvor brændslet er andet end kul og/eller orimulsion.</w:t>
      </w:r>
    </w:p>
    <w:p w14:paraId="6242DD02" w14:textId="77777777" w:rsidR="00A53836" w:rsidRPr="004B14BD" w:rsidRDefault="00A53836" w:rsidP="00B306AE">
      <w:pPr>
        <w:rPr>
          <w:color w:val="000000" w:themeColor="text1"/>
        </w:rPr>
      </w:pPr>
    </w:p>
    <w:p w14:paraId="3A257C4E" w14:textId="527B2381" w:rsidR="00D97A9B" w:rsidRPr="004B14BD" w:rsidRDefault="00D959C6" w:rsidP="00B306AE">
      <w:pPr>
        <w:rPr>
          <w:color w:val="000000" w:themeColor="text1"/>
        </w:rPr>
      </w:pPr>
      <w:r w:rsidRPr="004B14BD">
        <w:rPr>
          <w:color w:val="000000" w:themeColor="text1"/>
        </w:rPr>
        <w:t>Nødstrømsanlægget vil være i drift ved svigt i elforsyningen og ved periodiske test i dagtimerne</w:t>
      </w:r>
      <w:r w:rsidR="008C4DB5" w:rsidRPr="004B14BD">
        <w:rPr>
          <w:color w:val="000000" w:themeColor="text1"/>
        </w:rPr>
        <w:t>;</w:t>
      </w:r>
      <w:r w:rsidR="006427E2" w:rsidRPr="004B14BD">
        <w:rPr>
          <w:color w:val="000000" w:themeColor="text1"/>
        </w:rPr>
        <w:t xml:space="preserve"> i alt 96 timer pr. år</w:t>
      </w:r>
      <w:r w:rsidRPr="004B14BD">
        <w:rPr>
          <w:color w:val="000000" w:themeColor="text1"/>
        </w:rPr>
        <w:t xml:space="preserve">. Anlægget er dermed under </w:t>
      </w:r>
      <w:r w:rsidR="00A17722" w:rsidRPr="004B14BD">
        <w:rPr>
          <w:color w:val="000000" w:themeColor="text1"/>
        </w:rPr>
        <w:t xml:space="preserve">den </w:t>
      </w:r>
      <w:r w:rsidRPr="004B14BD">
        <w:rPr>
          <w:color w:val="000000" w:themeColor="text1"/>
        </w:rPr>
        <w:t>500 timers tærskelværdi for driftstimer (i gennemsnit over en periode på 3 år), der definerer nødstrømsanlæg iht. § 10 i bekendtgørelsen om mellemstore fyringsanlæg (MCP-bekendtgørelsen</w:t>
      </w:r>
      <w:r w:rsidR="00A17722" w:rsidRPr="004B14BD">
        <w:rPr>
          <w:rStyle w:val="Fodnotehenvisning"/>
          <w:color w:val="000000" w:themeColor="text1"/>
        </w:rPr>
        <w:footnoteReference w:id="2"/>
      </w:r>
      <w:r w:rsidRPr="004B14BD">
        <w:rPr>
          <w:color w:val="000000" w:themeColor="text1"/>
        </w:rPr>
        <w:t>).</w:t>
      </w:r>
    </w:p>
    <w:p w14:paraId="4B1E895D" w14:textId="77777777" w:rsidR="00A53836" w:rsidRPr="004B14BD" w:rsidRDefault="00A53836" w:rsidP="00B306AE">
      <w:pPr>
        <w:rPr>
          <w:color w:val="000000" w:themeColor="text1"/>
        </w:rPr>
      </w:pPr>
    </w:p>
    <w:p w14:paraId="6D888422" w14:textId="2CFB23A4" w:rsidR="00B3724E" w:rsidRPr="004B14BD" w:rsidRDefault="006427E2" w:rsidP="00B306AE">
      <w:r w:rsidRPr="004B14BD">
        <w:t>Det samlede p</w:t>
      </w:r>
      <w:r w:rsidR="00B3724E" w:rsidRPr="004B14BD">
        <w:t>rojekt vil være faseopdelt for de 4 datahaller</w:t>
      </w:r>
      <w:r w:rsidR="007B6717">
        <w:t xml:space="preserve"> (colo’er)</w:t>
      </w:r>
      <w:r w:rsidR="00B3724E" w:rsidRPr="004B14BD">
        <w:t>. I fase 1 etableres to operationelle datahaller med nødstrømsanlæg samt to tomme bygningsskaller. I løbet af en kortere årrække forventes det at fase 2 påbegyndes, hvilket betyder, at de to resterende datahaller gøres operationelle, og der etableres nødstrømsanlæg til disse haller</w:t>
      </w:r>
      <w:r w:rsidR="00C353C6" w:rsidRPr="004B14BD">
        <w:t xml:space="preserve"> også</w:t>
      </w:r>
      <w:r w:rsidR="00B3724E" w:rsidRPr="004B14BD">
        <w:t xml:space="preserve">. </w:t>
      </w:r>
    </w:p>
    <w:p w14:paraId="2941F3E7" w14:textId="77777777" w:rsidR="00B3724E" w:rsidRPr="004B14BD" w:rsidRDefault="00B3724E" w:rsidP="00B306AE"/>
    <w:p w14:paraId="6236BFF4" w14:textId="14350A40" w:rsidR="00B3724E" w:rsidRPr="004B14BD" w:rsidRDefault="00B3724E" w:rsidP="00B306AE">
      <w:r w:rsidRPr="004B14BD">
        <w:t>Etablering af datacenteret forventes at påbegyndes ultimo 2022. Datacenteret forventes færdigopført og i fuld drift i 2027.</w:t>
      </w:r>
    </w:p>
    <w:p w14:paraId="51D6E90E" w14:textId="77777777" w:rsidR="000D267C" w:rsidRPr="004B14BD" w:rsidRDefault="000D267C" w:rsidP="00B306AE"/>
    <w:p w14:paraId="6943904A" w14:textId="77777777" w:rsidR="00A60F0C" w:rsidRPr="004B14BD" w:rsidRDefault="00A60F0C" w:rsidP="00A60F0C">
      <w:pPr>
        <w:rPr>
          <w:color w:val="FF0000"/>
        </w:rPr>
      </w:pPr>
    </w:p>
    <w:p w14:paraId="5ECA2B71" w14:textId="15471698" w:rsidR="000B6712" w:rsidRPr="004B14BD" w:rsidRDefault="00E05A89" w:rsidP="00071FE1">
      <w:pPr>
        <w:pStyle w:val="Overskrift1"/>
        <w:numPr>
          <w:ilvl w:val="0"/>
          <w:numId w:val="47"/>
        </w:numPr>
      </w:pPr>
      <w:bookmarkStart w:id="3" w:name="_Toc120196497"/>
      <w:bookmarkEnd w:id="0"/>
      <w:bookmarkEnd w:id="2"/>
      <w:r w:rsidRPr="004B14BD">
        <w:t>Vilkår</w:t>
      </w:r>
      <w:bookmarkEnd w:id="3"/>
    </w:p>
    <w:p w14:paraId="0CF188A3" w14:textId="77777777" w:rsidR="000B6712" w:rsidRPr="004B14BD" w:rsidRDefault="000B6712" w:rsidP="000B6712">
      <w:pPr>
        <w:autoSpaceDE w:val="0"/>
        <w:autoSpaceDN w:val="0"/>
        <w:adjustRightInd w:val="0"/>
        <w:rPr>
          <w:rFonts w:cs="Verdana"/>
          <w:color w:val="000000" w:themeColor="text1"/>
          <w:szCs w:val="19"/>
        </w:rPr>
      </w:pPr>
    </w:p>
    <w:p w14:paraId="29138EFC" w14:textId="1DD2948D" w:rsidR="000B6712" w:rsidRPr="004B14BD" w:rsidRDefault="000B6712" w:rsidP="00714A10">
      <w:r w:rsidRPr="004B14BD">
        <w:t>Vilkårene meddeles i henhold til § 33, stk. 1 i miljøbeskyttelsesloven</w:t>
      </w:r>
      <w:r w:rsidR="007256A5" w:rsidRPr="004B14BD">
        <w:rPr>
          <w:rStyle w:val="Fodnotehenvisning"/>
        </w:rPr>
        <w:footnoteReference w:id="3"/>
      </w:r>
      <w:r w:rsidRPr="004B14BD">
        <w:t xml:space="preserve"> og godkendelsesbekendtgørelsen</w:t>
      </w:r>
      <w:r w:rsidR="00F0241B" w:rsidRPr="004B14BD">
        <w:rPr>
          <w:rStyle w:val="Fodnotehenvisning"/>
        </w:rPr>
        <w:footnoteReference w:id="4"/>
      </w:r>
      <w:r w:rsidRPr="004B14BD">
        <w:t xml:space="preserve">. </w:t>
      </w:r>
    </w:p>
    <w:p w14:paraId="6E61351B" w14:textId="77777777" w:rsidR="000B6712" w:rsidRPr="004B14BD" w:rsidRDefault="000B6712" w:rsidP="00714A10">
      <w:pPr>
        <w:rPr>
          <w:color w:val="FF0000"/>
        </w:rPr>
      </w:pPr>
    </w:p>
    <w:p w14:paraId="63967A7E" w14:textId="5102EC5C" w:rsidR="00690680" w:rsidRPr="004B14BD" w:rsidRDefault="000B6712" w:rsidP="00714A10">
      <w:r w:rsidRPr="004B14BD">
        <w:t>Vilkårene er fastsat på baggrund af kommunens vurdering af ansøgning om miljøgodkendelse</w:t>
      </w:r>
      <w:r w:rsidR="003A6896" w:rsidRPr="004B14BD">
        <w:t>. Relevante vilkår er taget fra bekendtgørelse om standardvilkår</w:t>
      </w:r>
      <w:r w:rsidR="003A6896" w:rsidRPr="004B14BD">
        <w:rPr>
          <w:rStyle w:val="Fodnotehenvisning"/>
        </w:rPr>
        <w:footnoteReference w:id="5"/>
      </w:r>
      <w:r w:rsidR="003A6896" w:rsidRPr="004B14BD">
        <w:t xml:space="preserve"> med udgangspunkt i standardvilkår </w:t>
      </w:r>
      <w:r w:rsidR="00072AE6" w:rsidRPr="004B14BD">
        <w:t>for listepunkt G 201: Kraftproducerende anlæg, varmeproducerende anlæg, gasturbineanlæg og motoranlæg med en samlet nominel indfyret termisk effekt på mere end eller lig med 5 MW og mindre end 50 MW.</w:t>
      </w:r>
      <w:r w:rsidRPr="004B14BD">
        <w:t xml:space="preserve"> </w:t>
      </w:r>
    </w:p>
    <w:p w14:paraId="7CE9B794" w14:textId="77777777" w:rsidR="00690680" w:rsidRPr="004B14BD" w:rsidRDefault="00690680" w:rsidP="00714A10"/>
    <w:p w14:paraId="38AFA912" w14:textId="4DC0D353" w:rsidR="00EA25A5" w:rsidRPr="004B14BD" w:rsidRDefault="00EA25A5" w:rsidP="00714A10">
      <w:r w:rsidRPr="004B14BD">
        <w:t xml:space="preserve">Virksomheden er også omfattet af </w:t>
      </w:r>
      <w:r w:rsidR="007D638D" w:rsidRPr="004B14BD">
        <w:t>Mellemstore Fyr Bekendtgørelsen</w:t>
      </w:r>
      <w:r w:rsidR="007D638D" w:rsidRPr="004B14BD">
        <w:rPr>
          <w:rStyle w:val="Fodnotehenvisning"/>
        </w:rPr>
        <w:footnoteReference w:id="6"/>
      </w:r>
      <w:r w:rsidR="007D638D" w:rsidRPr="004B14BD">
        <w:t xml:space="preserve"> (MCP-Bekendtgørelsen)</w:t>
      </w:r>
      <w:r w:rsidRPr="004B14BD">
        <w:t>.</w:t>
      </w:r>
      <w:r w:rsidR="00425ACE" w:rsidRPr="004B14BD">
        <w:t xml:space="preserve"> Bekendtgørelsen fastlægger bl.a. emissionsgrænseværdier for motorer, der anvender diesel som brændsel. Grænseværdierne er dog først gældende ved en driftstid på over 500 timer pr. år.</w:t>
      </w:r>
    </w:p>
    <w:p w14:paraId="45F5DAE6" w14:textId="77777777" w:rsidR="00EA25A5" w:rsidRPr="004B14BD" w:rsidRDefault="00EA25A5" w:rsidP="00714A10">
      <w:pPr>
        <w:rPr>
          <w:rFonts w:cs="Verdana"/>
          <w:color w:val="000000" w:themeColor="text1"/>
          <w:szCs w:val="19"/>
        </w:rPr>
      </w:pPr>
    </w:p>
    <w:p w14:paraId="03DB8EB6" w14:textId="484B7F03" w:rsidR="00EA25A5" w:rsidRPr="004B14BD" w:rsidRDefault="00EA25A5" w:rsidP="00714A10">
      <w:pPr>
        <w:rPr>
          <w:rFonts w:cs="Verdana"/>
          <w:color w:val="000000" w:themeColor="text1"/>
          <w:szCs w:val="19"/>
        </w:rPr>
      </w:pPr>
      <w:r w:rsidRPr="004B14BD">
        <w:rPr>
          <w:rFonts w:cs="Verdana"/>
          <w:color w:val="000000" w:themeColor="text1"/>
          <w:szCs w:val="19"/>
        </w:rPr>
        <w:t xml:space="preserve">Virksomheden er ikke omfattet af Store fyr bekendtgørelsen, selvom der er en samlet indfyret effekt over 50 MW, idet alle generatorer hver </w:t>
      </w:r>
      <w:r w:rsidR="00B9371F" w:rsidRPr="004B14BD">
        <w:rPr>
          <w:rFonts w:cs="Verdana"/>
          <w:color w:val="000000" w:themeColor="text1"/>
          <w:szCs w:val="19"/>
        </w:rPr>
        <w:t xml:space="preserve">især </w:t>
      </w:r>
      <w:r w:rsidRPr="004B14BD">
        <w:rPr>
          <w:rFonts w:cs="Verdana"/>
          <w:color w:val="000000" w:themeColor="text1"/>
          <w:szCs w:val="19"/>
        </w:rPr>
        <w:t>er under 15</w:t>
      </w:r>
      <w:r w:rsidR="00B9371F" w:rsidRPr="004B14BD">
        <w:rPr>
          <w:rFonts w:cs="Verdana"/>
          <w:color w:val="000000" w:themeColor="text1"/>
          <w:szCs w:val="19"/>
        </w:rPr>
        <w:t xml:space="preserve"> </w:t>
      </w:r>
      <w:r w:rsidRPr="004B14BD">
        <w:rPr>
          <w:rFonts w:cs="Verdana"/>
          <w:color w:val="000000" w:themeColor="text1"/>
          <w:szCs w:val="19"/>
        </w:rPr>
        <w:t>MW, og derfor ikke skal tælles med efter sammenlægningsreglerne.</w:t>
      </w:r>
    </w:p>
    <w:p w14:paraId="18FE97D6" w14:textId="77777777" w:rsidR="00841879" w:rsidRPr="004B14BD" w:rsidRDefault="00841879" w:rsidP="00714A10">
      <w:pPr>
        <w:rPr>
          <w:rFonts w:cs="Verdana"/>
          <w:color w:val="000000" w:themeColor="text1"/>
          <w:szCs w:val="19"/>
        </w:rPr>
      </w:pPr>
    </w:p>
    <w:p w14:paraId="44875347" w14:textId="70A6AE35" w:rsidR="0039535C" w:rsidRPr="004B14BD" w:rsidRDefault="0039535C" w:rsidP="00714A10">
      <w:pPr>
        <w:rPr>
          <w:rFonts w:cs="Verdana"/>
          <w:color w:val="000000" w:themeColor="text1"/>
          <w:szCs w:val="19"/>
        </w:rPr>
      </w:pPr>
      <w:r w:rsidRPr="004B14BD">
        <w:rPr>
          <w:rFonts w:cs="Verdana"/>
          <w:color w:val="000000" w:themeColor="text1"/>
          <w:szCs w:val="19"/>
        </w:rPr>
        <w:t>Microsofts aktiviteter er p.t. ikke omfattet af bindende BAT-konklusion</w:t>
      </w:r>
      <w:r w:rsidR="00B43AFF">
        <w:rPr>
          <w:rFonts w:cs="Verdana"/>
          <w:color w:val="000000" w:themeColor="text1"/>
          <w:szCs w:val="19"/>
        </w:rPr>
        <w:t>er</w:t>
      </w:r>
      <w:r w:rsidRPr="004B14BD">
        <w:rPr>
          <w:rFonts w:cs="Verdana"/>
          <w:color w:val="000000" w:themeColor="text1"/>
          <w:szCs w:val="19"/>
        </w:rPr>
        <w:t>.</w:t>
      </w:r>
    </w:p>
    <w:p w14:paraId="10EE219B" w14:textId="77777777" w:rsidR="0039535C" w:rsidRPr="004B14BD" w:rsidRDefault="0039535C" w:rsidP="00714A10">
      <w:pPr>
        <w:rPr>
          <w:rFonts w:cs="Verdana"/>
          <w:color w:val="000000" w:themeColor="text1"/>
          <w:szCs w:val="19"/>
        </w:rPr>
      </w:pPr>
    </w:p>
    <w:p w14:paraId="7A13BDA9" w14:textId="1692986C" w:rsidR="00841879" w:rsidRPr="004B14BD" w:rsidRDefault="00841879" w:rsidP="00714A10">
      <w:pPr>
        <w:rPr>
          <w:rFonts w:cs="Verdana"/>
          <w:color w:val="000000" w:themeColor="text1"/>
          <w:szCs w:val="19"/>
        </w:rPr>
      </w:pPr>
      <w:r w:rsidRPr="004B14BD">
        <w:rPr>
          <w:rFonts w:cs="Verdana"/>
          <w:color w:val="000000" w:themeColor="text1"/>
          <w:szCs w:val="19"/>
        </w:rPr>
        <w:t xml:space="preserve">Godkendelsen af bilag 1-virksomheder, hvis hovedlistepunkt ikke er omfattet af en BAT-konklusion, skal regelmæssigt og mindst hvert 10. år tages op til revurdering og om nødvendigt ændres i lyset af den teknologiske udvikling. Tilsynsmyndigheden foretager den første regelmæssige revurdering, når der er forløbet 8 år fra det tidspunkt, hvor virksomheden blev godkendt første gang. </w:t>
      </w:r>
    </w:p>
    <w:p w14:paraId="62600330" w14:textId="77777777" w:rsidR="000B6712" w:rsidRPr="004B14BD" w:rsidRDefault="000B6712" w:rsidP="00714A10">
      <w:pPr>
        <w:rPr>
          <w:rFonts w:cs="Verdana"/>
          <w:color w:val="FF0000"/>
          <w:szCs w:val="19"/>
        </w:rPr>
      </w:pPr>
    </w:p>
    <w:p w14:paraId="18673FF3" w14:textId="07894D0E" w:rsidR="000B6712" w:rsidRPr="004B14BD" w:rsidRDefault="000B6712" w:rsidP="00714A10">
      <w:pPr>
        <w:rPr>
          <w:rFonts w:cs="Verdana"/>
          <w:color w:val="000000" w:themeColor="text1"/>
          <w:szCs w:val="19"/>
        </w:rPr>
      </w:pPr>
      <w:r w:rsidRPr="004B14BD">
        <w:rPr>
          <w:rFonts w:cs="Verdana"/>
          <w:color w:val="000000" w:themeColor="text1"/>
          <w:szCs w:val="19"/>
        </w:rPr>
        <w:t xml:space="preserve">Virksomheden er ansvarlig for, at indretning og drift sker i overensstemmelse med det, der fremgår af miljøgodkendelsens vilkår, virksomhedens ansøgningsmateriale samt </w:t>
      </w:r>
      <w:r w:rsidR="009E1247" w:rsidRPr="004B14BD">
        <w:rPr>
          <w:rFonts w:cs="Verdana"/>
          <w:color w:val="000000" w:themeColor="text1"/>
          <w:szCs w:val="19"/>
        </w:rPr>
        <w:t xml:space="preserve">eventuelt </w:t>
      </w:r>
      <w:r w:rsidRPr="004B14BD">
        <w:rPr>
          <w:rFonts w:cs="Verdana"/>
          <w:color w:val="000000" w:themeColor="text1"/>
          <w:szCs w:val="19"/>
        </w:rPr>
        <w:t>supplerende materiale, der er fremsendt til kommunen.</w:t>
      </w:r>
    </w:p>
    <w:p w14:paraId="4C0D1C40" w14:textId="77777777" w:rsidR="001B2109" w:rsidRPr="004B14BD" w:rsidRDefault="001B2109" w:rsidP="00714A10">
      <w:pPr>
        <w:rPr>
          <w:rFonts w:cs="Verdana"/>
          <w:color w:val="FF0000"/>
          <w:szCs w:val="19"/>
        </w:rPr>
      </w:pPr>
    </w:p>
    <w:p w14:paraId="2E01AE53" w14:textId="77777777" w:rsidR="001B2109" w:rsidRPr="004B14BD" w:rsidRDefault="001B2109" w:rsidP="00714A10">
      <w:pPr>
        <w:rPr>
          <w:rFonts w:cs="Verdana"/>
          <w:color w:val="000000" w:themeColor="text1"/>
          <w:szCs w:val="19"/>
        </w:rPr>
      </w:pPr>
      <w:r w:rsidRPr="004B14BD">
        <w:rPr>
          <w:rFonts w:cs="Verdana"/>
          <w:color w:val="000000" w:themeColor="text1"/>
          <w:szCs w:val="19"/>
        </w:rPr>
        <w:t>Virksomheden må ikke udvides eller ændres bygningsmæssigt eller driftsmæssigt, herunder med hensyn til affaldsfrembringelse på en måde, som indebærer forøget forurening, før udvidelsen eller ændringen er godkendt af godkendelsesmyndigheden.</w:t>
      </w:r>
    </w:p>
    <w:tbl>
      <w:tblPr>
        <w:tblW w:w="5662" w:type="pct"/>
        <w:tblLook w:val="04A0" w:firstRow="1" w:lastRow="0" w:firstColumn="1" w:lastColumn="0" w:noHBand="0" w:noVBand="1"/>
      </w:tblPr>
      <w:tblGrid>
        <w:gridCol w:w="1169"/>
        <w:gridCol w:w="8303"/>
      </w:tblGrid>
      <w:tr w:rsidR="000B6712" w:rsidRPr="004B14BD" w14:paraId="030F6D8B" w14:textId="77777777" w:rsidTr="00E05A89">
        <w:tc>
          <w:tcPr>
            <w:tcW w:w="5000" w:type="pct"/>
            <w:gridSpan w:val="2"/>
          </w:tcPr>
          <w:p w14:paraId="7F35B303" w14:textId="656817CB" w:rsidR="000B6712" w:rsidRPr="004B14BD" w:rsidRDefault="000B6712" w:rsidP="006E3384">
            <w:pPr>
              <w:pStyle w:val="Overskrift2"/>
            </w:pPr>
            <w:bookmarkStart w:id="4" w:name="_Toc120196498"/>
            <w:bookmarkStart w:id="5" w:name="_Hlk119493747"/>
            <w:r w:rsidRPr="004B14BD">
              <w:t>Generel</w:t>
            </w:r>
            <w:r w:rsidR="0030251B" w:rsidRPr="004B14BD">
              <w:t>t</w:t>
            </w:r>
            <w:bookmarkEnd w:id="4"/>
          </w:p>
          <w:p w14:paraId="4A21859B" w14:textId="77777777" w:rsidR="000B6712" w:rsidRPr="004B14BD" w:rsidRDefault="000B6712" w:rsidP="000B6712">
            <w:pPr>
              <w:rPr>
                <w:color w:val="FF0000"/>
                <w:szCs w:val="24"/>
              </w:rPr>
            </w:pPr>
          </w:p>
        </w:tc>
      </w:tr>
      <w:tr w:rsidR="000B6712" w:rsidRPr="004B14BD" w14:paraId="3506A22F" w14:textId="77777777" w:rsidTr="00E05A89">
        <w:tc>
          <w:tcPr>
            <w:tcW w:w="5000" w:type="pct"/>
            <w:gridSpan w:val="2"/>
          </w:tcPr>
          <w:p w14:paraId="57E2EC4F" w14:textId="28706DF4" w:rsidR="00CE5A3D" w:rsidRPr="004B14BD" w:rsidRDefault="00940BAD" w:rsidP="00862B16">
            <w:pPr>
              <w:pStyle w:val="Listeafsnit"/>
              <w:numPr>
                <w:ilvl w:val="0"/>
                <w:numId w:val="14"/>
              </w:numPr>
            </w:pPr>
            <w:r w:rsidRPr="004B14BD">
              <w:t>Hvor der i vilkårene anvendes betegnelsen "tæt belægning" menes en fast belægning, der i løbet af påvirkningstiden er uigennemtrængelig for de forurenende stoffer, der håndteres på arealet.</w:t>
            </w:r>
          </w:p>
          <w:p w14:paraId="2C443174" w14:textId="77777777" w:rsidR="004659AF" w:rsidRPr="004B14BD" w:rsidRDefault="004659AF" w:rsidP="006E3384"/>
          <w:p w14:paraId="0B20F0E2" w14:textId="1C624AAF" w:rsidR="00940BAD" w:rsidRPr="004B14BD" w:rsidRDefault="00940BAD" w:rsidP="00862B16">
            <w:pPr>
              <w:pStyle w:val="Listeafsnit"/>
              <w:numPr>
                <w:ilvl w:val="0"/>
                <w:numId w:val="14"/>
              </w:numPr>
            </w:pPr>
            <w:r w:rsidRPr="004B14BD">
              <w:t>Godkendelsen bortfalder, hvis fase 1</w:t>
            </w:r>
            <w:r w:rsidR="004659AF" w:rsidRPr="004B14BD">
              <w:t xml:space="preserve"> (jf. afsnit </w:t>
            </w:r>
            <w:r w:rsidR="00F522B6">
              <w:t xml:space="preserve">2.5 </w:t>
            </w:r>
            <w:r w:rsidR="004659AF" w:rsidRPr="004B14BD">
              <w:t xml:space="preserve">Indretning og drift) </w:t>
            </w:r>
            <w:r w:rsidRPr="004B14BD">
              <w:t>ikke udnyttes senest 2 år efter, at godkendelsen er meddelt.</w:t>
            </w:r>
          </w:p>
          <w:p w14:paraId="18824F8F" w14:textId="77777777" w:rsidR="004659AF" w:rsidRPr="004B14BD" w:rsidRDefault="004659AF" w:rsidP="006E3384"/>
          <w:p w14:paraId="01136E4A" w14:textId="36CECA64" w:rsidR="00940BAD" w:rsidRPr="004B14BD" w:rsidRDefault="004659AF" w:rsidP="00862B16">
            <w:pPr>
              <w:pStyle w:val="Listeafsnit"/>
              <w:numPr>
                <w:ilvl w:val="0"/>
                <w:numId w:val="14"/>
              </w:numPr>
            </w:pPr>
            <w:r w:rsidRPr="004B14BD">
              <w:t xml:space="preserve">Godkendelse til etablering og </w:t>
            </w:r>
            <w:r w:rsidR="00940BAD" w:rsidRPr="004B14BD">
              <w:t xml:space="preserve">ibrugtagning af fase 2 </w:t>
            </w:r>
            <w:r w:rsidRPr="004B14BD">
              <w:t xml:space="preserve">(jf. afsnit </w:t>
            </w:r>
            <w:r w:rsidR="008D2EE6">
              <w:t>2.5</w:t>
            </w:r>
            <w:r w:rsidRPr="004B14BD">
              <w:t xml:space="preserve"> Indretning og drift) bortfalder, hvis denne del af godkendelsen ikke udnyttes senest 5 år efter, at godkendelsen er meddelt</w:t>
            </w:r>
            <w:r w:rsidR="00940BAD" w:rsidRPr="004B14BD">
              <w:t>.</w:t>
            </w:r>
          </w:p>
          <w:p w14:paraId="1EB7B449" w14:textId="77777777" w:rsidR="00207807" w:rsidRPr="004B14BD" w:rsidRDefault="00207807" w:rsidP="006E3384"/>
          <w:p w14:paraId="74021F8D" w14:textId="5783B1C8" w:rsidR="0065648D" w:rsidRPr="004B14BD" w:rsidRDefault="00207807" w:rsidP="00862B16">
            <w:pPr>
              <w:pStyle w:val="Listeafsnit"/>
              <w:numPr>
                <w:ilvl w:val="0"/>
                <w:numId w:val="14"/>
              </w:numPr>
            </w:pPr>
            <w:r w:rsidRPr="004B14BD">
              <w:t xml:space="preserve">Et eksemplar af godkendelsen skal til enhver tid </w:t>
            </w:r>
            <w:r w:rsidR="00361392" w:rsidRPr="004B14BD">
              <w:t>være tilgængelig på virksomheden. Driftspersonalet skal være bekendt med godkendelsens indhold.</w:t>
            </w:r>
          </w:p>
          <w:p w14:paraId="3C1E6783" w14:textId="59A17179" w:rsidR="00940BAD" w:rsidRPr="004B14BD" w:rsidRDefault="00940BAD" w:rsidP="009F0783">
            <w:pPr>
              <w:pStyle w:val="Overskrift2"/>
            </w:pPr>
            <w:bookmarkStart w:id="6" w:name="_Toc120196499"/>
            <w:r w:rsidRPr="004B14BD">
              <w:t>Indretning og drift</w:t>
            </w:r>
            <w:bookmarkEnd w:id="6"/>
          </w:p>
          <w:p w14:paraId="0EA976BE" w14:textId="77777777" w:rsidR="00940BAD" w:rsidRPr="004B14BD" w:rsidRDefault="00940BAD" w:rsidP="00940BAD"/>
          <w:p w14:paraId="0794F447" w14:textId="5C46FB54" w:rsidR="0098048E" w:rsidRPr="004B14BD" w:rsidRDefault="008B2086" w:rsidP="00862B16">
            <w:pPr>
              <w:pStyle w:val="Listeafsnit"/>
              <w:numPr>
                <w:ilvl w:val="0"/>
                <w:numId w:val="14"/>
              </w:numPr>
            </w:pPr>
            <w:r w:rsidRPr="004B14BD">
              <w:t>Nødstrømsanlægget må benytte</w:t>
            </w:r>
            <w:r w:rsidR="008E321C" w:rsidRPr="004B14BD">
              <w:t>s</w:t>
            </w:r>
            <w:r w:rsidRPr="004B14BD">
              <w:t xml:space="preserve"> i forbindelse med de</w:t>
            </w:r>
            <w:r w:rsidR="00E11A62" w:rsidRPr="004B14BD">
              <w:t>n</w:t>
            </w:r>
            <w:r w:rsidRPr="004B14BD">
              <w:t xml:space="preserve"> ansøgte test og vedligeholdelse af generatorer</w:t>
            </w:r>
            <w:r w:rsidR="00A41498" w:rsidRPr="004B14BD">
              <w:t>, der definerer den almindelige driftssituation</w:t>
            </w:r>
            <w:r w:rsidRPr="004B14BD">
              <w:t>. Nødstrømsanlægget må også anvendes som reel nødstrømsdrift i forbindelse med udfald på elnettet</w:t>
            </w:r>
            <w:r w:rsidR="0098048E" w:rsidRPr="004B14BD">
              <w:t>.</w:t>
            </w:r>
          </w:p>
          <w:p w14:paraId="59FF00D6" w14:textId="77777777" w:rsidR="002F19A1" w:rsidRPr="004B14BD" w:rsidRDefault="002F19A1" w:rsidP="002F19A1">
            <w:pPr>
              <w:pStyle w:val="Listeafsnit"/>
            </w:pPr>
          </w:p>
          <w:p w14:paraId="11887952" w14:textId="258526E3" w:rsidR="00C24EAB" w:rsidRPr="00D271F9" w:rsidRDefault="002F19A1" w:rsidP="002F19A1">
            <w:pPr>
              <w:pStyle w:val="Listeafsnit"/>
              <w:numPr>
                <w:ilvl w:val="0"/>
                <w:numId w:val="14"/>
              </w:numPr>
            </w:pPr>
            <w:r w:rsidRPr="004B14BD">
              <w:t xml:space="preserve">Administrationsgeneratoren skal være af typen C550 D5e med motor QSX15-G8. </w:t>
            </w:r>
            <w:r w:rsidR="00C64FF9" w:rsidRPr="004B14BD">
              <w:t>De 16 d</w:t>
            </w:r>
            <w:r w:rsidRPr="004B14BD">
              <w:t xml:space="preserve">atahalsgeneratorer </w:t>
            </w:r>
            <w:r w:rsidR="000E041C">
              <w:t xml:space="preserve">(colo-generatorer) </w:t>
            </w:r>
            <w:r w:rsidRPr="004B14BD">
              <w:t xml:space="preserve">skal være af typen C3750D5e med motor </w:t>
            </w:r>
            <w:r w:rsidRPr="004B14BD">
              <w:lastRenderedPageBreak/>
              <w:t xml:space="preserve">QSK95-G10, jf. datablade vedlagt </w:t>
            </w:r>
            <w:r w:rsidR="00854D2A">
              <w:t xml:space="preserve">som ”Bilag 3: OML-beregning” til opdateret </w:t>
            </w:r>
            <w:r w:rsidRPr="004B14BD">
              <w:t>ansøgning</w:t>
            </w:r>
            <w:r w:rsidR="00854D2A">
              <w:t xml:space="preserve"> om miljøgodkendelse af 20. december 2022</w:t>
            </w:r>
            <w:r w:rsidRPr="004B14BD">
              <w:t>.</w:t>
            </w:r>
            <w:r w:rsidR="005F7B13">
              <w:t xml:space="preserve"> </w:t>
            </w:r>
            <w:r w:rsidR="005F7B13" w:rsidRPr="00D271F9">
              <w:t xml:space="preserve">Hvis type eller motor ændres, skal </w:t>
            </w:r>
            <w:r w:rsidR="00C24EAB" w:rsidRPr="00D271F9">
              <w:t>det være til et anlæg, som har tilsvarende eller lavere emissioner af NOx og CO</w:t>
            </w:r>
            <w:r w:rsidR="006643A3" w:rsidRPr="00D271F9">
              <w:t xml:space="preserve"> </w:t>
            </w:r>
            <w:r w:rsidR="008D54A9" w:rsidRPr="00D271F9">
              <w:t>ved</w:t>
            </w:r>
            <w:r w:rsidR="006643A3" w:rsidRPr="00D271F9">
              <w:t xml:space="preserve"> maksimal normaldrift</w:t>
            </w:r>
            <w:r w:rsidR="00C24EAB" w:rsidRPr="00D271F9">
              <w:t>.</w:t>
            </w:r>
            <w:r w:rsidR="005331BD" w:rsidRPr="00D271F9">
              <w:t xml:space="preserve"> </w:t>
            </w:r>
          </w:p>
          <w:p w14:paraId="77326355" w14:textId="77777777" w:rsidR="005331BD" w:rsidRPr="00D271F9" w:rsidRDefault="005331BD" w:rsidP="005331BD">
            <w:pPr>
              <w:pStyle w:val="Listeafsnit"/>
            </w:pPr>
          </w:p>
          <w:p w14:paraId="63C0D182" w14:textId="0C7252A4" w:rsidR="005331BD" w:rsidRPr="00D271F9" w:rsidRDefault="005331BD" w:rsidP="005331BD">
            <w:pPr>
              <w:pStyle w:val="Listeafsnit"/>
            </w:pPr>
            <w:r w:rsidRPr="00D271F9">
              <w:t>Kommunen skal godkende et eventuelt nyt anlæg, inden det sættes op.</w:t>
            </w:r>
          </w:p>
          <w:p w14:paraId="38CC25B3" w14:textId="77777777" w:rsidR="007A25B9" w:rsidRPr="004B14BD" w:rsidRDefault="007A25B9" w:rsidP="009F0783"/>
          <w:p w14:paraId="4413A235" w14:textId="77777777" w:rsidR="00A40FA8" w:rsidRPr="004B14BD" w:rsidRDefault="00E11A62" w:rsidP="00862B16">
            <w:pPr>
              <w:pStyle w:val="Listeafsnit"/>
              <w:numPr>
                <w:ilvl w:val="0"/>
                <w:numId w:val="14"/>
              </w:numPr>
              <w:rPr>
                <w:szCs w:val="19"/>
              </w:rPr>
            </w:pPr>
            <w:r w:rsidRPr="004B14BD">
              <w:rPr>
                <w:szCs w:val="19"/>
              </w:rPr>
              <w:t>Virksomheden skal udarbejde en</w:t>
            </w:r>
            <w:r w:rsidR="00D11D8B" w:rsidRPr="004B14BD">
              <w:rPr>
                <w:szCs w:val="19"/>
              </w:rPr>
              <w:t xml:space="preserve"> </w:t>
            </w:r>
            <w:r w:rsidR="00A40FA8" w:rsidRPr="004B14BD">
              <w:rPr>
                <w:szCs w:val="19"/>
              </w:rPr>
              <w:t>skriftlig instruks</w:t>
            </w:r>
            <w:r w:rsidR="00D11D8B" w:rsidRPr="004B14BD">
              <w:rPr>
                <w:szCs w:val="19"/>
              </w:rPr>
              <w:t>, som beskriver</w:t>
            </w:r>
            <w:r w:rsidR="00A40FA8" w:rsidRPr="004B14BD">
              <w:rPr>
                <w:szCs w:val="19"/>
              </w:rPr>
              <w:t>:</w:t>
            </w:r>
          </w:p>
          <w:p w14:paraId="4042B594" w14:textId="77777777" w:rsidR="00A40FA8" w:rsidRPr="004B14BD" w:rsidRDefault="00A40FA8" w:rsidP="00A40FA8">
            <w:pPr>
              <w:pStyle w:val="Listeafsnit"/>
              <w:rPr>
                <w:szCs w:val="19"/>
              </w:rPr>
            </w:pPr>
          </w:p>
          <w:p w14:paraId="32BD68D4" w14:textId="6692732C" w:rsidR="00A40FA8" w:rsidRPr="004B14BD" w:rsidRDefault="004261C6" w:rsidP="00A40FA8">
            <w:pPr>
              <w:pStyle w:val="Listeafsnit"/>
              <w:numPr>
                <w:ilvl w:val="0"/>
                <w:numId w:val="22"/>
              </w:numPr>
              <w:rPr>
                <w:szCs w:val="19"/>
              </w:rPr>
            </w:pPr>
            <w:r w:rsidRPr="004B14BD">
              <w:rPr>
                <w:szCs w:val="19"/>
              </w:rPr>
              <w:t>F</w:t>
            </w:r>
            <w:r w:rsidR="00D11D8B" w:rsidRPr="004B14BD">
              <w:rPr>
                <w:szCs w:val="19"/>
              </w:rPr>
              <w:t xml:space="preserve">orebyggelse af uheld og afbødende foranstaltninger i forbindelse med </w:t>
            </w:r>
            <w:r w:rsidR="00F06668" w:rsidRPr="004B14BD">
              <w:rPr>
                <w:szCs w:val="19"/>
              </w:rPr>
              <w:t>lækage eller spild af olie og andre kemikalier. Procedure for p</w:t>
            </w:r>
            <w:r w:rsidR="00D11D8B" w:rsidRPr="004B14BD">
              <w:rPr>
                <w:szCs w:val="19"/>
              </w:rPr>
              <w:t>åfyldning af brændstof og andre kemikalier</w:t>
            </w:r>
            <w:r w:rsidR="00F06668" w:rsidRPr="004B14BD">
              <w:rPr>
                <w:szCs w:val="19"/>
              </w:rPr>
              <w:t xml:space="preserve"> </w:t>
            </w:r>
            <w:r w:rsidR="006155A4" w:rsidRPr="004B14BD">
              <w:rPr>
                <w:szCs w:val="19"/>
              </w:rPr>
              <w:t xml:space="preserve">til tanke </w:t>
            </w:r>
            <w:r w:rsidR="00F06668" w:rsidRPr="004B14BD">
              <w:rPr>
                <w:szCs w:val="19"/>
              </w:rPr>
              <w:t>skal indgå</w:t>
            </w:r>
            <w:r w:rsidR="006155A4" w:rsidRPr="004B14BD">
              <w:rPr>
                <w:szCs w:val="19"/>
              </w:rPr>
              <w:t xml:space="preserve"> i beskrivelsen</w:t>
            </w:r>
            <w:r w:rsidR="00D11D8B" w:rsidRPr="004B14BD">
              <w:rPr>
                <w:szCs w:val="19"/>
              </w:rPr>
              <w:t xml:space="preserve">. </w:t>
            </w:r>
          </w:p>
          <w:p w14:paraId="74C32EBF" w14:textId="77777777" w:rsidR="00A40FA8" w:rsidRPr="004B14BD" w:rsidRDefault="00A40FA8" w:rsidP="00A40FA8">
            <w:pPr>
              <w:rPr>
                <w:szCs w:val="19"/>
              </w:rPr>
            </w:pPr>
          </w:p>
          <w:p w14:paraId="0FC81AAD" w14:textId="41D2AAC7" w:rsidR="008B2086" w:rsidRPr="004B14BD" w:rsidRDefault="009D0BAC" w:rsidP="00A40FA8">
            <w:pPr>
              <w:pStyle w:val="Listeafsnit"/>
              <w:ind w:left="746"/>
              <w:rPr>
                <w:szCs w:val="19"/>
              </w:rPr>
            </w:pPr>
            <w:r>
              <w:rPr>
                <w:szCs w:val="19"/>
              </w:rPr>
              <w:t xml:space="preserve">Instruksen </w:t>
            </w:r>
            <w:r w:rsidR="00E11A62" w:rsidRPr="004B14BD">
              <w:rPr>
                <w:szCs w:val="19"/>
              </w:rPr>
              <w:t xml:space="preserve">skal indsendes til </w:t>
            </w:r>
            <w:r w:rsidR="00570320" w:rsidRPr="004B14BD">
              <w:rPr>
                <w:szCs w:val="19"/>
              </w:rPr>
              <w:t xml:space="preserve">og godkendes af </w:t>
            </w:r>
            <w:r w:rsidR="00E11A62" w:rsidRPr="004B14BD">
              <w:rPr>
                <w:szCs w:val="19"/>
              </w:rPr>
              <w:t>Høje-Taastrup Kommune inden driftsstart.</w:t>
            </w:r>
          </w:p>
          <w:p w14:paraId="07C0CDF2" w14:textId="77777777" w:rsidR="00F729E4" w:rsidRPr="004B14BD" w:rsidRDefault="00F729E4" w:rsidP="009F0783"/>
          <w:p w14:paraId="05ED9161" w14:textId="014B10FF" w:rsidR="00F93119" w:rsidRPr="004B14BD" w:rsidRDefault="002850D6" w:rsidP="00862B16">
            <w:pPr>
              <w:pStyle w:val="Listeafsnit"/>
              <w:numPr>
                <w:ilvl w:val="0"/>
                <w:numId w:val="14"/>
              </w:numPr>
            </w:pPr>
            <w:r w:rsidRPr="004B14BD">
              <w:t xml:space="preserve">Der skal være timetæller, der registrerer driftstiden </w:t>
            </w:r>
            <w:r w:rsidR="00F93119" w:rsidRPr="004B14BD">
              <w:t>og driftstidspunktet</w:t>
            </w:r>
            <w:r w:rsidR="00883F8D" w:rsidRPr="004B14BD">
              <w:t xml:space="preserve"> (dato og tid)</w:t>
            </w:r>
            <w:r w:rsidR="00F93119" w:rsidRPr="004B14BD">
              <w:t xml:space="preserve"> </w:t>
            </w:r>
            <w:r w:rsidRPr="004B14BD">
              <w:t xml:space="preserve">for den enkelte generator. </w:t>
            </w:r>
          </w:p>
          <w:p w14:paraId="49920A28" w14:textId="77777777" w:rsidR="002730ED" w:rsidRPr="004B14BD" w:rsidRDefault="002730ED" w:rsidP="009F0783"/>
          <w:p w14:paraId="3BBFE94E" w14:textId="2FA76E6F" w:rsidR="00F93119" w:rsidRPr="004B14BD" w:rsidRDefault="00F93119" w:rsidP="00862B16">
            <w:pPr>
              <w:pStyle w:val="Listeafsnit"/>
              <w:numPr>
                <w:ilvl w:val="0"/>
                <w:numId w:val="14"/>
              </w:numPr>
            </w:pPr>
            <w:r w:rsidRPr="004B14BD">
              <w:t xml:space="preserve">Test og vedligehold af nødstrømsanlægget må kun foregå i tidsrummet 7.00-18.00 på hverdage mandag - fredag. Der må kun testes 1 generator ad gangen. </w:t>
            </w:r>
          </w:p>
          <w:p w14:paraId="4544535E" w14:textId="77777777" w:rsidR="00BD2B3A" w:rsidRPr="004B14BD" w:rsidRDefault="00BD2B3A" w:rsidP="009F0783">
            <w:pPr>
              <w:rPr>
                <w:color w:val="FF0000"/>
              </w:rPr>
            </w:pPr>
          </w:p>
          <w:p w14:paraId="3035C78A" w14:textId="3015BB03" w:rsidR="00174ACC" w:rsidRPr="004B14BD" w:rsidRDefault="00BD2B3A" w:rsidP="00862B16">
            <w:pPr>
              <w:pStyle w:val="Listeafsnit"/>
              <w:numPr>
                <w:ilvl w:val="0"/>
                <w:numId w:val="14"/>
              </w:numPr>
            </w:pPr>
            <w:r w:rsidRPr="004B14BD">
              <w:t xml:space="preserve">Den årlige driftstid må ikke overstige 500 timer pr. generator </w:t>
            </w:r>
            <w:r w:rsidR="007C1FD0" w:rsidRPr="004B14BD">
              <w:t>opgjort som et rullende gennemsnit over 3 år.</w:t>
            </w:r>
          </w:p>
          <w:p w14:paraId="69A56E58" w14:textId="77777777" w:rsidR="001F653A" w:rsidRPr="004B14BD" w:rsidRDefault="001F653A" w:rsidP="009F0783"/>
          <w:p w14:paraId="5B212ABE" w14:textId="4AF51836" w:rsidR="009325E3" w:rsidRPr="004B14BD" w:rsidRDefault="009325E3" w:rsidP="00862B16">
            <w:pPr>
              <w:pStyle w:val="Listeafsnit"/>
              <w:numPr>
                <w:ilvl w:val="0"/>
                <w:numId w:val="14"/>
              </w:numPr>
            </w:pPr>
            <w:r w:rsidRPr="004B14BD">
              <w:t>Ved indkøring af nye generatorer tillades det</w:t>
            </w:r>
            <w:r w:rsidR="005E053B">
              <w:t>,</w:t>
            </w:r>
            <w:r w:rsidRPr="004B14BD">
              <w:t xml:space="preserve"> at </w:t>
            </w:r>
            <w:r w:rsidR="005906B2" w:rsidRPr="004B14BD">
              <w:t>B-værdi</w:t>
            </w:r>
            <w:r w:rsidRPr="004B14BD">
              <w:t xml:space="preserve">er og støjgrænser overskrides i kortere perioder. Indkøringen må ikke vare mere end </w:t>
            </w:r>
            <w:r w:rsidR="00415461">
              <w:t>4</w:t>
            </w:r>
            <w:r w:rsidR="00C94DAD" w:rsidRPr="004B14BD">
              <w:t xml:space="preserve"> </w:t>
            </w:r>
            <w:r w:rsidRPr="004B14BD">
              <w:t>timer. Høje-Taastrup Kommune skal orienteres inden indkøring.</w:t>
            </w:r>
          </w:p>
          <w:p w14:paraId="536265F6" w14:textId="77777777" w:rsidR="005E1871" w:rsidRPr="004B14BD" w:rsidRDefault="005E1871" w:rsidP="005E1871">
            <w:pPr>
              <w:pStyle w:val="Listeafsnit"/>
            </w:pPr>
          </w:p>
          <w:p w14:paraId="57898FE7" w14:textId="611EB334" w:rsidR="005E1871" w:rsidRPr="004B14BD" w:rsidRDefault="005E1871" w:rsidP="00862B16">
            <w:pPr>
              <w:pStyle w:val="Listeafsnit"/>
              <w:numPr>
                <w:ilvl w:val="0"/>
                <w:numId w:val="14"/>
              </w:numPr>
            </w:pPr>
            <w:r w:rsidRPr="004B14BD">
              <w:t>Hvis der optræder fejl på en motor, som medfører øgede emissioner, skal motoren straks standses, og fejlen udbedres.</w:t>
            </w:r>
          </w:p>
          <w:p w14:paraId="1A39CC4B" w14:textId="77777777" w:rsidR="007A25B9" w:rsidRPr="004B14BD" w:rsidRDefault="007A25B9" w:rsidP="009F0783"/>
          <w:p w14:paraId="11522C57" w14:textId="7B1234C2" w:rsidR="005A00A5" w:rsidRPr="004B14BD" w:rsidRDefault="005A00A5" w:rsidP="005A00A5">
            <w:pPr>
              <w:pStyle w:val="Listeafsnit"/>
              <w:numPr>
                <w:ilvl w:val="0"/>
                <w:numId w:val="14"/>
              </w:numPr>
            </w:pPr>
            <w:r w:rsidRPr="004B14BD">
              <w:t>Virksomheden skal udarbejde en beredskabsplan</w:t>
            </w:r>
            <w:r w:rsidR="00107697" w:rsidRPr="004B14BD">
              <w:t>,</w:t>
            </w:r>
            <w:r w:rsidRPr="004B14BD">
              <w:t xml:space="preserve"> der sættes i værk ved opstart af nøddrift jf. </w:t>
            </w:r>
            <w:r w:rsidR="00314AE1">
              <w:t>afsnit 2.5 Indretning og drift</w:t>
            </w:r>
            <w:r w:rsidRPr="004B14BD">
              <w:t>.</w:t>
            </w:r>
            <w:r w:rsidR="002C1A7E" w:rsidRPr="004B14BD">
              <w:t xml:space="preserve"> Planen skal indsendes til og godkendes af Høje-Taastrup Kommune inden driftsstart. </w:t>
            </w:r>
          </w:p>
          <w:p w14:paraId="2CFFFA6A" w14:textId="77777777" w:rsidR="002C1A7E" w:rsidRPr="004B14BD" w:rsidRDefault="002C1A7E" w:rsidP="002C1A7E"/>
          <w:p w14:paraId="6F0D86CB" w14:textId="78BF3F26" w:rsidR="002C1A7E" w:rsidRPr="004B14BD" w:rsidRDefault="002C1A7E" w:rsidP="002C1A7E">
            <w:pPr>
              <w:pStyle w:val="Listeafsnit"/>
            </w:pPr>
            <w:r w:rsidRPr="004B14BD">
              <w:t xml:space="preserve">Beredskabsplanen skal løbende opdateres, hvis der sker ændringer i </w:t>
            </w:r>
            <w:r w:rsidR="008F16BB" w:rsidRPr="004B14BD">
              <w:t xml:space="preserve">indretninger, </w:t>
            </w:r>
            <w:r w:rsidRPr="004B14BD">
              <w:t>procedurer, ansvar mv.</w:t>
            </w:r>
          </w:p>
          <w:p w14:paraId="7F402E67" w14:textId="77777777" w:rsidR="005A00A5" w:rsidRPr="004B14BD" w:rsidRDefault="005A00A5" w:rsidP="005A00A5"/>
          <w:p w14:paraId="365F1F9B" w14:textId="1727FE5C" w:rsidR="007A25B9" w:rsidRPr="004B14BD" w:rsidRDefault="007A25B9" w:rsidP="002C1A7E">
            <w:pPr>
              <w:pStyle w:val="Listeafsnit"/>
              <w:numPr>
                <w:ilvl w:val="0"/>
                <w:numId w:val="14"/>
              </w:numPr>
            </w:pPr>
            <w:r w:rsidRPr="004B14BD">
              <w:t xml:space="preserve">Når anlægget kører nødstrømsdrift, skal </w:t>
            </w:r>
            <w:r w:rsidR="00EC6499">
              <w:t>kommunen</w:t>
            </w:r>
            <w:r w:rsidRPr="004B14BD">
              <w:t xml:space="preserve"> kontaktes hurtigst muligt</w:t>
            </w:r>
            <w:r w:rsidR="00166B5B">
              <w:t>.</w:t>
            </w:r>
            <w:r w:rsidRPr="004B14BD">
              <w:t xml:space="preserve"> Dette skal implementeres i beredskabsplanen. </w:t>
            </w:r>
            <w:r w:rsidR="00EC6499">
              <w:t>Kommunen</w:t>
            </w:r>
            <w:r w:rsidRPr="004B14BD">
              <w:t xml:space="preserve"> skal igen orienteres ved endt nøddrift. Efterfølgende skal der indsendes dokumentation for</w:t>
            </w:r>
            <w:r w:rsidR="004220E2" w:rsidRPr="004B14BD">
              <w:t>,</w:t>
            </w:r>
            <w:r w:rsidRPr="004B14BD">
              <w:t xml:space="preserve"> hvilke generatorer</w:t>
            </w:r>
            <w:r w:rsidR="00DA406A">
              <w:t xml:space="preserve">, </w:t>
            </w:r>
            <w:r w:rsidRPr="004B14BD">
              <w:t xml:space="preserve">der har kørt. For hver generator skal det oplyses, hvilken belastning de har kørt med og i hvor lang tid. </w:t>
            </w:r>
          </w:p>
          <w:p w14:paraId="3A14E2C4" w14:textId="4BC03D89" w:rsidR="00A50FA4" w:rsidRPr="004B14BD" w:rsidRDefault="00A50FA4" w:rsidP="00A50FA4">
            <w:pPr>
              <w:pStyle w:val="Overskrift2"/>
            </w:pPr>
            <w:bookmarkStart w:id="7" w:name="_Toc120196500"/>
            <w:r w:rsidRPr="004B14BD">
              <w:t>Støj</w:t>
            </w:r>
            <w:bookmarkEnd w:id="7"/>
          </w:p>
          <w:p w14:paraId="41C1A252" w14:textId="77777777" w:rsidR="002C1A7E" w:rsidRPr="004B14BD" w:rsidRDefault="002C1A7E" w:rsidP="002C1A7E"/>
          <w:p w14:paraId="4E4C4B66" w14:textId="77777777" w:rsidR="00A50FA4" w:rsidRPr="004B14BD" w:rsidRDefault="00A50FA4" w:rsidP="00A50FA4">
            <w:pPr>
              <w:spacing w:line="260" w:lineRule="exact"/>
              <w:rPr>
                <w:color w:val="FF0000"/>
              </w:rPr>
            </w:pPr>
          </w:p>
          <w:tbl>
            <w:tblPr>
              <w:tblW w:w="5000" w:type="pct"/>
              <w:tblLook w:val="04A0" w:firstRow="1" w:lastRow="0" w:firstColumn="1" w:lastColumn="0" w:noHBand="0" w:noVBand="1"/>
            </w:tblPr>
            <w:tblGrid>
              <w:gridCol w:w="9256"/>
            </w:tblGrid>
            <w:tr w:rsidR="00A50FA4" w:rsidRPr="004B14BD" w14:paraId="6108886F" w14:textId="77777777" w:rsidTr="006D2E16">
              <w:tc>
                <w:tcPr>
                  <w:tcW w:w="4585" w:type="pct"/>
                </w:tcPr>
                <w:p w14:paraId="5FF56BDC" w14:textId="468BE8A1" w:rsidR="00A50FA4" w:rsidRPr="004B14BD" w:rsidRDefault="00A50FA4" w:rsidP="00862B16">
                  <w:pPr>
                    <w:pStyle w:val="Listeafsnit"/>
                    <w:numPr>
                      <w:ilvl w:val="0"/>
                      <w:numId w:val="14"/>
                    </w:numPr>
                    <w:rPr>
                      <w:rFonts w:cs="Verdana"/>
                      <w:szCs w:val="19"/>
                    </w:rPr>
                  </w:pPr>
                  <w:r w:rsidRPr="004B14BD">
                    <w:rPr>
                      <w:rFonts w:cs="Verdana"/>
                      <w:szCs w:val="19"/>
                    </w:rPr>
                    <w:t xml:space="preserve">Virksomhedens bidrag til støjbelastningen angivet som det ækvivalente, korrigerede støjniveau i dB(A) må uden for virksomhedens skel i intet punkt i de nedenfor anførte områder overstige </w:t>
                  </w:r>
                  <w:r w:rsidR="006B06C7" w:rsidRPr="004B14BD">
                    <w:rPr>
                      <w:rFonts w:cs="Verdana"/>
                      <w:szCs w:val="19"/>
                    </w:rPr>
                    <w:t>nedenstående</w:t>
                  </w:r>
                  <w:r w:rsidRPr="004B14BD">
                    <w:rPr>
                      <w:rFonts w:cs="Verdana"/>
                      <w:szCs w:val="19"/>
                    </w:rPr>
                    <w:t xml:space="preserve"> værdier</w:t>
                  </w:r>
                  <w:r w:rsidR="006B06C7" w:rsidRPr="004B14BD">
                    <w:rPr>
                      <w:rFonts w:cs="Verdana"/>
                      <w:szCs w:val="19"/>
                    </w:rPr>
                    <w:t xml:space="preserve">. Den </w:t>
                  </w:r>
                  <w:r w:rsidR="002F73A6" w:rsidRPr="004B14BD">
                    <w:rPr>
                      <w:rFonts w:cs="Verdana"/>
                      <w:szCs w:val="19"/>
                    </w:rPr>
                    <w:t>præcise</w:t>
                  </w:r>
                  <w:r w:rsidR="006B06C7" w:rsidRPr="004B14BD">
                    <w:rPr>
                      <w:rFonts w:cs="Verdana"/>
                      <w:szCs w:val="19"/>
                    </w:rPr>
                    <w:t xml:space="preserve"> afgrænsning af de forskellige </w:t>
                  </w:r>
                  <w:r w:rsidR="00483058" w:rsidRPr="004B14BD">
                    <w:rPr>
                      <w:rFonts w:cs="Verdana"/>
                      <w:szCs w:val="19"/>
                    </w:rPr>
                    <w:t xml:space="preserve">områder er vist </w:t>
                  </w:r>
                  <w:r w:rsidR="002F73A6" w:rsidRPr="004B14BD">
                    <w:rPr>
                      <w:rFonts w:cs="Verdana"/>
                      <w:szCs w:val="19"/>
                    </w:rPr>
                    <w:t xml:space="preserve">indtegnet </w:t>
                  </w:r>
                  <w:r w:rsidR="00483058" w:rsidRPr="004B14BD">
                    <w:rPr>
                      <w:rFonts w:cs="Verdana"/>
                      <w:szCs w:val="19"/>
                    </w:rPr>
                    <w:t xml:space="preserve">på kort i bilag </w:t>
                  </w:r>
                  <w:r w:rsidR="001B2E3D">
                    <w:rPr>
                      <w:rFonts w:cs="Verdana"/>
                      <w:szCs w:val="19"/>
                    </w:rPr>
                    <w:t>3</w:t>
                  </w:r>
                  <w:r w:rsidR="00DB2351">
                    <w:rPr>
                      <w:rFonts w:cs="Verdana"/>
                      <w:szCs w:val="19"/>
                    </w:rPr>
                    <w:t xml:space="preserve"> </w:t>
                  </w:r>
                  <w:r w:rsidR="00B16B5A">
                    <w:rPr>
                      <w:rFonts w:cs="Verdana"/>
                      <w:szCs w:val="19"/>
                    </w:rPr>
                    <w:t>”</w:t>
                  </w:r>
                  <w:r w:rsidR="00B16B5A" w:rsidRPr="00B16B5A">
                    <w:rPr>
                      <w:rFonts w:cs="Verdana"/>
                      <w:szCs w:val="19"/>
                    </w:rPr>
                    <w:t>Lokalplanområder rundt om virksomheden</w:t>
                  </w:r>
                  <w:r w:rsidR="00B16B5A">
                    <w:rPr>
                      <w:rFonts w:cs="Verdana"/>
                      <w:szCs w:val="19"/>
                    </w:rPr>
                    <w:t>”</w:t>
                  </w:r>
                  <w:r w:rsidRPr="004B14BD">
                    <w:rPr>
                      <w:rFonts w:cs="Verdana"/>
                      <w:szCs w:val="19"/>
                    </w:rPr>
                    <w:t>:</w:t>
                  </w:r>
                </w:p>
                <w:p w14:paraId="6537AEA9" w14:textId="77777777" w:rsidR="00A50FA4" w:rsidRPr="004B14BD" w:rsidRDefault="00A50FA4" w:rsidP="00A50FA4">
                  <w:pPr>
                    <w:rPr>
                      <w:rFonts w:cs="Verdana"/>
                      <w:szCs w:val="19"/>
                    </w:rPr>
                  </w:pPr>
                </w:p>
                <w:tbl>
                  <w:tblPr>
                    <w:tblStyle w:val="Tabel-Gitter"/>
                    <w:tblW w:w="5000" w:type="pct"/>
                    <w:tblLook w:val="04A0" w:firstRow="1" w:lastRow="0" w:firstColumn="1" w:lastColumn="0" w:noHBand="0" w:noVBand="1"/>
                  </w:tblPr>
                  <w:tblGrid>
                    <w:gridCol w:w="1168"/>
                    <w:gridCol w:w="1015"/>
                    <w:gridCol w:w="1420"/>
                    <w:gridCol w:w="1842"/>
                    <w:gridCol w:w="1905"/>
                    <w:gridCol w:w="1680"/>
                  </w:tblGrid>
                  <w:tr w:rsidR="00A50FA4" w:rsidRPr="004B14BD" w14:paraId="6CD39A21" w14:textId="77777777" w:rsidTr="00B426A1">
                    <w:tc>
                      <w:tcPr>
                        <w:tcW w:w="1209" w:type="pct"/>
                        <w:gridSpan w:val="2"/>
                        <w:tcBorders>
                          <w:top w:val="single" w:sz="4" w:space="0" w:color="auto"/>
                          <w:left w:val="single" w:sz="4" w:space="0" w:color="auto"/>
                          <w:bottom w:val="single" w:sz="4" w:space="0" w:color="auto"/>
                          <w:right w:val="single" w:sz="4" w:space="0" w:color="auto"/>
                        </w:tcBorders>
                        <w:hideMark/>
                      </w:tcPr>
                      <w:p w14:paraId="24347E23" w14:textId="449E1D2B" w:rsidR="00A50FA4" w:rsidRPr="004B14BD" w:rsidRDefault="00A50FA4" w:rsidP="00A50FA4">
                        <w:pPr>
                          <w:rPr>
                            <w:b/>
                            <w:bCs/>
                            <w:szCs w:val="19"/>
                          </w:rPr>
                        </w:pPr>
                        <w:r w:rsidRPr="004B14BD">
                          <w:rPr>
                            <w:b/>
                            <w:bCs/>
                            <w:szCs w:val="19"/>
                          </w:rPr>
                          <w:lastRenderedPageBreak/>
                          <w:t xml:space="preserve">Område (se </w:t>
                        </w:r>
                        <w:r w:rsidR="00B5104D" w:rsidRPr="004B14BD">
                          <w:rPr>
                            <w:b/>
                            <w:bCs/>
                            <w:szCs w:val="19"/>
                          </w:rPr>
                          <w:t xml:space="preserve">afgrænsning i </w:t>
                        </w:r>
                        <w:r w:rsidRPr="004B14BD">
                          <w:rPr>
                            <w:b/>
                            <w:bCs/>
                            <w:szCs w:val="19"/>
                          </w:rPr>
                          <w:t xml:space="preserve">bilag </w:t>
                        </w:r>
                        <w:r w:rsidR="001B2E3D">
                          <w:rPr>
                            <w:b/>
                            <w:bCs/>
                            <w:szCs w:val="19"/>
                          </w:rPr>
                          <w:t>3</w:t>
                        </w:r>
                        <w:r w:rsidRPr="004B14BD">
                          <w:rPr>
                            <w:b/>
                            <w:bCs/>
                            <w:szCs w:val="19"/>
                          </w:rPr>
                          <w:t>)</w:t>
                        </w:r>
                      </w:p>
                    </w:tc>
                    <w:tc>
                      <w:tcPr>
                        <w:tcW w:w="786" w:type="pct"/>
                        <w:tcBorders>
                          <w:top w:val="single" w:sz="4" w:space="0" w:color="auto"/>
                          <w:left w:val="single" w:sz="4" w:space="0" w:color="auto"/>
                          <w:bottom w:val="single" w:sz="4" w:space="0" w:color="auto"/>
                          <w:right w:val="single" w:sz="4" w:space="0" w:color="auto"/>
                        </w:tcBorders>
                        <w:hideMark/>
                      </w:tcPr>
                      <w:p w14:paraId="0CD7B80B" w14:textId="77777777" w:rsidR="00A50FA4" w:rsidRPr="004B14BD" w:rsidRDefault="00A50FA4" w:rsidP="00A50FA4">
                        <w:pPr>
                          <w:rPr>
                            <w:b/>
                            <w:bCs/>
                            <w:szCs w:val="19"/>
                          </w:rPr>
                        </w:pPr>
                        <w:r w:rsidRPr="004B14BD">
                          <w:rPr>
                            <w:b/>
                            <w:bCs/>
                            <w:szCs w:val="19"/>
                          </w:rPr>
                          <w:t xml:space="preserve">Erhvervsområde omfattet af lokalplan 2.19.11, 2.22 og 2.25 </w:t>
                        </w:r>
                      </w:p>
                      <w:p w14:paraId="33328491" w14:textId="174C2BAB" w:rsidR="00A50FA4" w:rsidRPr="004B14BD" w:rsidRDefault="00A50FA4" w:rsidP="00A50FA4">
                        <w:pPr>
                          <w:rPr>
                            <w:rFonts w:cs="Calibri"/>
                            <w:bCs/>
                            <w:szCs w:val="19"/>
                          </w:rPr>
                        </w:pPr>
                      </w:p>
                      <w:p w14:paraId="34147C27" w14:textId="77777777" w:rsidR="00A50FA4" w:rsidRPr="004B14BD" w:rsidRDefault="00A50FA4" w:rsidP="00A50FA4">
                        <w:pPr>
                          <w:rPr>
                            <w:rFonts w:cs="Calibri"/>
                            <w:b/>
                            <w:szCs w:val="19"/>
                          </w:rPr>
                        </w:pPr>
                      </w:p>
                      <w:p w14:paraId="79D754B8" w14:textId="77777777" w:rsidR="00A50FA4" w:rsidRPr="004B14BD" w:rsidRDefault="00A50FA4" w:rsidP="00A50FA4">
                        <w:pPr>
                          <w:rPr>
                            <w:rFonts w:cs="Calibri"/>
                            <w:b/>
                            <w:szCs w:val="19"/>
                          </w:rPr>
                        </w:pPr>
                      </w:p>
                      <w:p w14:paraId="54DA0E94" w14:textId="77777777" w:rsidR="00A50FA4" w:rsidRPr="004B14BD" w:rsidRDefault="00A50FA4" w:rsidP="00A50FA4">
                        <w:pPr>
                          <w:rPr>
                            <w:rFonts w:cs="Calibri"/>
                            <w:b/>
                            <w:szCs w:val="19"/>
                          </w:rPr>
                        </w:pPr>
                      </w:p>
                      <w:p w14:paraId="4C6E27CB" w14:textId="77777777" w:rsidR="00A50FA4" w:rsidRPr="004B14BD" w:rsidRDefault="00A50FA4" w:rsidP="00A50FA4">
                        <w:pPr>
                          <w:rPr>
                            <w:rFonts w:cs="Calibri"/>
                            <w:b/>
                            <w:szCs w:val="19"/>
                          </w:rPr>
                        </w:pPr>
                      </w:p>
                      <w:p w14:paraId="46C08334" w14:textId="77777777" w:rsidR="00A50FA4" w:rsidRPr="004B14BD" w:rsidRDefault="00A50FA4" w:rsidP="00A50FA4">
                        <w:pPr>
                          <w:rPr>
                            <w:rFonts w:cs="Calibri"/>
                            <w:b/>
                            <w:szCs w:val="19"/>
                          </w:rPr>
                        </w:pPr>
                      </w:p>
                      <w:p w14:paraId="66A429C7" w14:textId="77777777" w:rsidR="002F73A6" w:rsidRPr="004B14BD" w:rsidRDefault="002F73A6" w:rsidP="00A50FA4">
                        <w:pPr>
                          <w:jc w:val="center"/>
                          <w:rPr>
                            <w:rFonts w:cs="Calibri"/>
                            <w:b/>
                            <w:szCs w:val="19"/>
                          </w:rPr>
                        </w:pPr>
                      </w:p>
                      <w:p w14:paraId="0027FEFF" w14:textId="77777777" w:rsidR="00D557C9" w:rsidRPr="004B14BD" w:rsidRDefault="00D557C9" w:rsidP="00A50FA4">
                        <w:pPr>
                          <w:jc w:val="center"/>
                          <w:rPr>
                            <w:rFonts w:cs="Calibri"/>
                            <w:b/>
                            <w:szCs w:val="19"/>
                          </w:rPr>
                        </w:pPr>
                      </w:p>
                      <w:p w14:paraId="34410E50" w14:textId="77777777" w:rsidR="00D557C9" w:rsidRPr="004B14BD" w:rsidRDefault="00D557C9" w:rsidP="00A50FA4">
                        <w:pPr>
                          <w:jc w:val="center"/>
                          <w:rPr>
                            <w:rFonts w:cs="Calibri"/>
                            <w:b/>
                            <w:szCs w:val="19"/>
                          </w:rPr>
                        </w:pPr>
                      </w:p>
                      <w:p w14:paraId="6276416C" w14:textId="196E3702" w:rsidR="00A50FA4" w:rsidRPr="004B14BD" w:rsidRDefault="00A50FA4" w:rsidP="00A50FA4">
                        <w:pPr>
                          <w:jc w:val="center"/>
                          <w:rPr>
                            <w:color w:val="FF0000"/>
                            <w:szCs w:val="19"/>
                          </w:rPr>
                        </w:pPr>
                        <w:r w:rsidRPr="004B14BD">
                          <w:rPr>
                            <w:rFonts w:cs="Calibri"/>
                            <w:b/>
                            <w:szCs w:val="19"/>
                          </w:rPr>
                          <w:t>dB(A)</w:t>
                        </w:r>
                      </w:p>
                    </w:tc>
                    <w:tc>
                      <w:tcPr>
                        <w:tcW w:w="1020" w:type="pct"/>
                        <w:tcBorders>
                          <w:top w:val="single" w:sz="4" w:space="0" w:color="auto"/>
                          <w:left w:val="single" w:sz="4" w:space="0" w:color="auto"/>
                          <w:bottom w:val="single" w:sz="4" w:space="0" w:color="auto"/>
                          <w:right w:val="single" w:sz="4" w:space="0" w:color="auto"/>
                        </w:tcBorders>
                        <w:hideMark/>
                      </w:tcPr>
                      <w:p w14:paraId="6DB8BCC6" w14:textId="3454FF42" w:rsidR="00A50FA4" w:rsidRPr="004B14BD" w:rsidRDefault="00A50FA4" w:rsidP="00A50FA4">
                        <w:pPr>
                          <w:rPr>
                            <w:b/>
                            <w:bCs/>
                            <w:szCs w:val="19"/>
                          </w:rPr>
                        </w:pPr>
                        <w:r w:rsidRPr="004B14BD">
                          <w:rPr>
                            <w:b/>
                            <w:bCs/>
                            <w:szCs w:val="19"/>
                          </w:rPr>
                          <w:t xml:space="preserve">Etagebolig-område omfattet af lokalplan </w:t>
                        </w:r>
                        <w:r w:rsidR="00C51751" w:rsidRPr="004B14BD">
                          <w:rPr>
                            <w:b/>
                            <w:bCs/>
                            <w:szCs w:val="19"/>
                          </w:rPr>
                          <w:t>2.19.5</w:t>
                        </w:r>
                      </w:p>
                      <w:p w14:paraId="632EF163" w14:textId="77777777" w:rsidR="00A50FA4" w:rsidRPr="004B14BD" w:rsidRDefault="00A50FA4" w:rsidP="00A50FA4">
                        <w:pPr>
                          <w:rPr>
                            <w:rFonts w:cs="Calibri"/>
                            <w:b/>
                            <w:szCs w:val="19"/>
                          </w:rPr>
                        </w:pPr>
                      </w:p>
                      <w:p w14:paraId="1AEF4DBE" w14:textId="77777777" w:rsidR="00A50FA4" w:rsidRPr="004B14BD" w:rsidRDefault="00A50FA4" w:rsidP="00A50FA4">
                        <w:pPr>
                          <w:rPr>
                            <w:rFonts w:cs="Calibri"/>
                            <w:b/>
                            <w:szCs w:val="19"/>
                          </w:rPr>
                        </w:pPr>
                      </w:p>
                      <w:p w14:paraId="69861F47" w14:textId="77777777" w:rsidR="00A50FA4" w:rsidRPr="004B14BD" w:rsidRDefault="00A50FA4" w:rsidP="00A50FA4">
                        <w:pPr>
                          <w:rPr>
                            <w:rFonts w:cs="Calibri"/>
                            <w:b/>
                            <w:szCs w:val="19"/>
                          </w:rPr>
                        </w:pPr>
                      </w:p>
                      <w:p w14:paraId="596ADBE8" w14:textId="77777777" w:rsidR="00A50FA4" w:rsidRPr="004B14BD" w:rsidRDefault="00A50FA4" w:rsidP="00A50FA4">
                        <w:pPr>
                          <w:rPr>
                            <w:rFonts w:cs="Calibri"/>
                            <w:b/>
                            <w:szCs w:val="19"/>
                          </w:rPr>
                        </w:pPr>
                      </w:p>
                      <w:p w14:paraId="2FCB04F8" w14:textId="77777777" w:rsidR="006B06C7" w:rsidRPr="004B14BD" w:rsidRDefault="006B06C7" w:rsidP="00A50FA4">
                        <w:pPr>
                          <w:jc w:val="center"/>
                          <w:rPr>
                            <w:rFonts w:cs="Calibri"/>
                            <w:b/>
                            <w:szCs w:val="19"/>
                          </w:rPr>
                        </w:pPr>
                      </w:p>
                      <w:p w14:paraId="4DA657CE" w14:textId="77777777" w:rsidR="006B06C7" w:rsidRPr="004B14BD" w:rsidRDefault="006B06C7" w:rsidP="00A50FA4">
                        <w:pPr>
                          <w:jc w:val="center"/>
                          <w:rPr>
                            <w:rFonts w:cs="Calibri"/>
                            <w:b/>
                            <w:szCs w:val="19"/>
                          </w:rPr>
                        </w:pPr>
                      </w:p>
                      <w:p w14:paraId="56FBDBEC" w14:textId="77777777" w:rsidR="006B06C7" w:rsidRPr="004B14BD" w:rsidRDefault="006B06C7" w:rsidP="00A50FA4">
                        <w:pPr>
                          <w:jc w:val="center"/>
                          <w:rPr>
                            <w:rFonts w:cs="Calibri"/>
                            <w:b/>
                            <w:szCs w:val="19"/>
                          </w:rPr>
                        </w:pPr>
                      </w:p>
                      <w:p w14:paraId="2065D60B" w14:textId="77777777" w:rsidR="00D557C9" w:rsidRPr="004B14BD" w:rsidRDefault="00D557C9" w:rsidP="00A50FA4">
                        <w:pPr>
                          <w:jc w:val="center"/>
                          <w:rPr>
                            <w:rFonts w:cs="Calibri"/>
                            <w:b/>
                            <w:szCs w:val="19"/>
                          </w:rPr>
                        </w:pPr>
                      </w:p>
                      <w:p w14:paraId="5D248499" w14:textId="77777777" w:rsidR="00D557C9" w:rsidRPr="004B14BD" w:rsidRDefault="00D557C9" w:rsidP="00A50FA4">
                        <w:pPr>
                          <w:jc w:val="center"/>
                          <w:rPr>
                            <w:rFonts w:cs="Calibri"/>
                            <w:b/>
                            <w:szCs w:val="19"/>
                          </w:rPr>
                        </w:pPr>
                      </w:p>
                      <w:p w14:paraId="54BB007D" w14:textId="7DD12FD2" w:rsidR="00A50FA4" w:rsidRPr="004B14BD" w:rsidRDefault="00A50FA4" w:rsidP="00A50FA4">
                        <w:pPr>
                          <w:jc w:val="center"/>
                          <w:rPr>
                            <w:szCs w:val="19"/>
                          </w:rPr>
                        </w:pPr>
                        <w:r w:rsidRPr="004B14BD">
                          <w:rPr>
                            <w:rFonts w:cs="Calibri"/>
                            <w:b/>
                            <w:szCs w:val="19"/>
                          </w:rPr>
                          <w:t>dB(A)</w:t>
                        </w:r>
                      </w:p>
                      <w:p w14:paraId="250EB03A" w14:textId="77777777" w:rsidR="00A50FA4" w:rsidRPr="004B14BD" w:rsidRDefault="00A50FA4" w:rsidP="00A50FA4">
                        <w:pPr>
                          <w:rPr>
                            <w:color w:val="FF0000"/>
                            <w:szCs w:val="19"/>
                          </w:rPr>
                        </w:pPr>
                      </w:p>
                    </w:tc>
                    <w:tc>
                      <w:tcPr>
                        <w:tcW w:w="1055" w:type="pct"/>
                        <w:tcBorders>
                          <w:top w:val="single" w:sz="4" w:space="0" w:color="auto"/>
                          <w:left w:val="single" w:sz="4" w:space="0" w:color="auto"/>
                          <w:bottom w:val="single" w:sz="4" w:space="0" w:color="auto"/>
                          <w:right w:val="single" w:sz="4" w:space="0" w:color="auto"/>
                        </w:tcBorders>
                      </w:tcPr>
                      <w:p w14:paraId="3F8B5B5D" w14:textId="77777777" w:rsidR="00A50FA4" w:rsidRPr="004B14BD" w:rsidRDefault="00A50FA4" w:rsidP="00A50FA4">
                        <w:pPr>
                          <w:rPr>
                            <w:rFonts w:cs="Calibri"/>
                            <w:b/>
                            <w:bCs/>
                            <w:szCs w:val="19"/>
                          </w:rPr>
                        </w:pPr>
                        <w:r w:rsidRPr="004B14BD">
                          <w:rPr>
                            <w:rFonts w:cs="Calibri"/>
                            <w:b/>
                            <w:bCs/>
                            <w:szCs w:val="19"/>
                          </w:rPr>
                          <w:t>Rekreativt område omfattet af område 2 i lokalplan</w:t>
                        </w:r>
                      </w:p>
                      <w:p w14:paraId="5A20C3B0" w14:textId="77777777" w:rsidR="00223710" w:rsidRPr="004B14BD" w:rsidRDefault="00A50FA4" w:rsidP="00A50FA4">
                        <w:pPr>
                          <w:rPr>
                            <w:rFonts w:cs="Calibri"/>
                            <w:b/>
                            <w:bCs/>
                            <w:szCs w:val="19"/>
                          </w:rPr>
                        </w:pPr>
                        <w:r w:rsidRPr="004B14BD">
                          <w:rPr>
                            <w:rFonts w:cs="Calibri"/>
                            <w:b/>
                            <w:bCs/>
                            <w:szCs w:val="19"/>
                          </w:rPr>
                          <w:t>2.36</w:t>
                        </w:r>
                      </w:p>
                      <w:p w14:paraId="3AD87C3E" w14:textId="77777777" w:rsidR="00223710" w:rsidRPr="004B14BD" w:rsidRDefault="00223710" w:rsidP="00A50FA4">
                        <w:pPr>
                          <w:rPr>
                            <w:rFonts w:cs="Calibri"/>
                            <w:b/>
                            <w:bCs/>
                            <w:szCs w:val="19"/>
                          </w:rPr>
                        </w:pPr>
                      </w:p>
                      <w:p w14:paraId="603CE4C3" w14:textId="0C07DA42" w:rsidR="00A50FA4" w:rsidRPr="004B14BD" w:rsidRDefault="00223710" w:rsidP="00A50FA4">
                        <w:pPr>
                          <w:rPr>
                            <w:rFonts w:cs="Calibri"/>
                            <w:b/>
                            <w:bCs/>
                            <w:szCs w:val="19"/>
                          </w:rPr>
                        </w:pPr>
                        <w:r w:rsidRPr="004B14BD">
                          <w:rPr>
                            <w:rFonts w:cs="Calibri"/>
                            <w:b/>
                            <w:bCs/>
                            <w:szCs w:val="19"/>
                          </w:rPr>
                          <w:t xml:space="preserve">Institutioner, skoler og kontorer omfattet af lokalplan </w:t>
                        </w:r>
                        <w:r w:rsidR="006B06C7" w:rsidRPr="004B14BD">
                          <w:rPr>
                            <w:rFonts w:cs="Calibri"/>
                            <w:b/>
                            <w:bCs/>
                            <w:szCs w:val="19"/>
                          </w:rPr>
                          <w:t xml:space="preserve">2.07, </w:t>
                        </w:r>
                        <w:r w:rsidRPr="004B14BD">
                          <w:rPr>
                            <w:rFonts w:cs="Calibri"/>
                            <w:b/>
                            <w:bCs/>
                            <w:szCs w:val="19"/>
                          </w:rPr>
                          <w:t>2.07.4, 2.07.6</w:t>
                        </w:r>
                        <w:r w:rsidR="006B06C7" w:rsidRPr="004B14BD">
                          <w:rPr>
                            <w:rFonts w:cs="Calibri"/>
                            <w:b/>
                            <w:bCs/>
                            <w:szCs w:val="19"/>
                          </w:rPr>
                          <w:t>, 2.18.1.1, 2.19, 2.19.3, 2.19.8, 2.19.13 og 2.35</w:t>
                        </w:r>
                        <w:r w:rsidR="00A50FA4" w:rsidRPr="004B14BD">
                          <w:rPr>
                            <w:rFonts w:cs="Calibri"/>
                            <w:b/>
                            <w:bCs/>
                            <w:szCs w:val="19"/>
                          </w:rPr>
                          <w:t xml:space="preserve"> </w:t>
                        </w:r>
                      </w:p>
                      <w:p w14:paraId="5977C4C9" w14:textId="77777777" w:rsidR="00A50FA4" w:rsidRPr="004B14BD" w:rsidRDefault="00A50FA4" w:rsidP="00A50FA4">
                        <w:pPr>
                          <w:rPr>
                            <w:rFonts w:cs="Calibri"/>
                            <w:b/>
                            <w:bCs/>
                            <w:szCs w:val="19"/>
                          </w:rPr>
                        </w:pPr>
                      </w:p>
                      <w:p w14:paraId="75B2C012" w14:textId="77777777" w:rsidR="00A50FA4" w:rsidRPr="004B14BD" w:rsidRDefault="00A50FA4" w:rsidP="00A50FA4">
                        <w:pPr>
                          <w:jc w:val="center"/>
                          <w:rPr>
                            <w:b/>
                            <w:bCs/>
                            <w:color w:val="FF0000"/>
                            <w:szCs w:val="19"/>
                          </w:rPr>
                        </w:pPr>
                        <w:r w:rsidRPr="004B14BD">
                          <w:rPr>
                            <w:rFonts w:cs="Calibri"/>
                            <w:b/>
                            <w:bCs/>
                            <w:szCs w:val="19"/>
                          </w:rPr>
                          <w:t>dB(A)</w:t>
                        </w:r>
                      </w:p>
                    </w:tc>
                    <w:tc>
                      <w:tcPr>
                        <w:tcW w:w="930" w:type="pct"/>
                        <w:tcBorders>
                          <w:top w:val="single" w:sz="4" w:space="0" w:color="auto"/>
                          <w:left w:val="single" w:sz="4" w:space="0" w:color="auto"/>
                          <w:bottom w:val="single" w:sz="4" w:space="0" w:color="auto"/>
                          <w:right w:val="single" w:sz="4" w:space="0" w:color="auto"/>
                        </w:tcBorders>
                      </w:tcPr>
                      <w:p w14:paraId="657F6C72" w14:textId="77777777" w:rsidR="00A50FA4" w:rsidRPr="004B14BD" w:rsidRDefault="00A50FA4" w:rsidP="00A50FA4">
                        <w:pPr>
                          <w:rPr>
                            <w:rFonts w:cs="Calibri"/>
                            <w:b/>
                            <w:bCs/>
                            <w:szCs w:val="19"/>
                          </w:rPr>
                        </w:pPr>
                        <w:r w:rsidRPr="004B14BD">
                          <w:rPr>
                            <w:rFonts w:cs="Calibri"/>
                            <w:b/>
                            <w:bCs/>
                            <w:szCs w:val="19"/>
                          </w:rPr>
                          <w:t>Boligområder for åben og lav boligbebyggelse.</w:t>
                        </w:r>
                      </w:p>
                      <w:p w14:paraId="64703FA2" w14:textId="77777777" w:rsidR="00A50FA4" w:rsidRPr="004B14BD" w:rsidRDefault="00A50FA4" w:rsidP="00A50FA4">
                        <w:pPr>
                          <w:rPr>
                            <w:rFonts w:cs="Calibri"/>
                            <w:b/>
                            <w:bCs/>
                            <w:szCs w:val="19"/>
                          </w:rPr>
                        </w:pPr>
                      </w:p>
                      <w:p w14:paraId="41460B1C" w14:textId="51F36824" w:rsidR="00A50FA4" w:rsidRPr="004B14BD" w:rsidRDefault="00A50FA4" w:rsidP="00A50FA4">
                        <w:pPr>
                          <w:rPr>
                            <w:rFonts w:cs="Calibri"/>
                            <w:b/>
                            <w:bCs/>
                            <w:szCs w:val="19"/>
                          </w:rPr>
                        </w:pPr>
                        <w:r w:rsidRPr="004B14BD">
                          <w:rPr>
                            <w:rFonts w:cs="Calibri"/>
                            <w:b/>
                            <w:bCs/>
                            <w:szCs w:val="19"/>
                          </w:rPr>
                          <w:t xml:space="preserve">Lokalplan </w:t>
                        </w:r>
                        <w:r w:rsidR="0029591D" w:rsidRPr="004B14BD">
                          <w:rPr>
                            <w:rFonts w:cs="Calibri"/>
                            <w:b/>
                            <w:bCs/>
                            <w:szCs w:val="19"/>
                          </w:rPr>
                          <w:t xml:space="preserve">2.07, </w:t>
                        </w:r>
                        <w:r w:rsidRPr="004B14BD">
                          <w:rPr>
                            <w:rFonts w:cs="Calibri"/>
                            <w:b/>
                            <w:bCs/>
                            <w:szCs w:val="19"/>
                          </w:rPr>
                          <w:t xml:space="preserve">2.07.4, 2.07.5 2.07.6 og 2.07.7, 2.24, </w:t>
                        </w:r>
                        <w:r w:rsidR="00C51751" w:rsidRPr="004B14BD">
                          <w:rPr>
                            <w:rFonts w:cs="Calibri"/>
                            <w:b/>
                            <w:bCs/>
                            <w:szCs w:val="19"/>
                          </w:rPr>
                          <w:t xml:space="preserve">2.24.1, </w:t>
                        </w:r>
                        <w:r w:rsidRPr="004B14BD">
                          <w:rPr>
                            <w:rFonts w:cs="Calibri"/>
                            <w:b/>
                            <w:bCs/>
                            <w:szCs w:val="19"/>
                          </w:rPr>
                          <w:t xml:space="preserve">2.27 </w:t>
                        </w:r>
                      </w:p>
                      <w:p w14:paraId="3725022C" w14:textId="77777777" w:rsidR="00A50FA4" w:rsidRPr="004B14BD" w:rsidRDefault="00A50FA4" w:rsidP="00A50FA4">
                        <w:pPr>
                          <w:rPr>
                            <w:rFonts w:cs="Calibri"/>
                            <w:szCs w:val="19"/>
                          </w:rPr>
                        </w:pPr>
                      </w:p>
                      <w:p w14:paraId="78ACC7EA" w14:textId="77777777" w:rsidR="002F73A6" w:rsidRPr="004B14BD" w:rsidRDefault="002F73A6" w:rsidP="00A50FA4">
                        <w:pPr>
                          <w:jc w:val="center"/>
                          <w:rPr>
                            <w:rFonts w:cs="Calibri"/>
                            <w:b/>
                            <w:szCs w:val="19"/>
                          </w:rPr>
                        </w:pPr>
                      </w:p>
                      <w:p w14:paraId="5A38EABB" w14:textId="77777777" w:rsidR="00D557C9" w:rsidRPr="004B14BD" w:rsidRDefault="00D557C9" w:rsidP="00A50FA4">
                        <w:pPr>
                          <w:jc w:val="center"/>
                          <w:rPr>
                            <w:rFonts w:cs="Calibri"/>
                            <w:b/>
                            <w:szCs w:val="19"/>
                          </w:rPr>
                        </w:pPr>
                      </w:p>
                      <w:p w14:paraId="21D11306" w14:textId="5CFFBE6B" w:rsidR="00A50FA4" w:rsidRPr="004B14BD" w:rsidRDefault="00A50FA4" w:rsidP="00A50FA4">
                        <w:pPr>
                          <w:jc w:val="center"/>
                          <w:rPr>
                            <w:rFonts w:cs="Calibri"/>
                            <w:color w:val="FF0000"/>
                            <w:szCs w:val="19"/>
                          </w:rPr>
                        </w:pPr>
                        <w:r w:rsidRPr="004B14BD">
                          <w:rPr>
                            <w:rFonts w:cs="Calibri"/>
                            <w:b/>
                            <w:szCs w:val="19"/>
                          </w:rPr>
                          <w:t>dB(A)</w:t>
                        </w:r>
                      </w:p>
                    </w:tc>
                  </w:tr>
                  <w:tr w:rsidR="00A50FA4" w:rsidRPr="004B14BD" w14:paraId="7AF5DC32" w14:textId="77777777" w:rsidTr="00B426A1">
                    <w:tc>
                      <w:tcPr>
                        <w:tcW w:w="647" w:type="pct"/>
                        <w:tcBorders>
                          <w:top w:val="single" w:sz="4" w:space="0" w:color="auto"/>
                          <w:left w:val="single" w:sz="4" w:space="0" w:color="auto"/>
                          <w:bottom w:val="nil"/>
                          <w:right w:val="nil"/>
                        </w:tcBorders>
                        <w:hideMark/>
                      </w:tcPr>
                      <w:p w14:paraId="0CCCD2BC" w14:textId="77777777" w:rsidR="00A50FA4" w:rsidRPr="004B14BD" w:rsidRDefault="00A50FA4" w:rsidP="00A50FA4">
                        <w:pPr>
                          <w:rPr>
                            <w:b/>
                            <w:bCs/>
                            <w:szCs w:val="19"/>
                          </w:rPr>
                        </w:pPr>
                        <w:r w:rsidRPr="004B14BD">
                          <w:rPr>
                            <w:b/>
                            <w:bCs/>
                            <w:szCs w:val="19"/>
                          </w:rPr>
                          <w:t>Mandag - fredag</w:t>
                        </w:r>
                      </w:p>
                      <w:p w14:paraId="28BD3BC2" w14:textId="77777777" w:rsidR="00A50FA4" w:rsidRPr="004B14BD" w:rsidRDefault="00A50FA4" w:rsidP="00A50FA4">
                        <w:pPr>
                          <w:rPr>
                            <w:b/>
                            <w:bCs/>
                            <w:szCs w:val="19"/>
                          </w:rPr>
                        </w:pPr>
                      </w:p>
                    </w:tc>
                    <w:tc>
                      <w:tcPr>
                        <w:tcW w:w="562" w:type="pct"/>
                        <w:tcBorders>
                          <w:top w:val="single" w:sz="4" w:space="0" w:color="auto"/>
                          <w:left w:val="nil"/>
                          <w:bottom w:val="nil"/>
                          <w:right w:val="single" w:sz="4" w:space="0" w:color="auto"/>
                        </w:tcBorders>
                        <w:hideMark/>
                      </w:tcPr>
                      <w:p w14:paraId="7EAA438F" w14:textId="77777777" w:rsidR="00A50FA4" w:rsidRPr="004B14BD" w:rsidRDefault="00A50FA4" w:rsidP="00A50FA4">
                        <w:pPr>
                          <w:rPr>
                            <w:b/>
                            <w:bCs/>
                            <w:szCs w:val="19"/>
                          </w:rPr>
                        </w:pPr>
                        <w:r w:rsidRPr="004B14BD">
                          <w:rPr>
                            <w:b/>
                            <w:bCs/>
                            <w:szCs w:val="19"/>
                          </w:rPr>
                          <w:t>7 -18</w:t>
                        </w:r>
                      </w:p>
                      <w:p w14:paraId="64EECD18" w14:textId="77777777" w:rsidR="00A50FA4" w:rsidRPr="004B14BD" w:rsidRDefault="00A50FA4" w:rsidP="00A50FA4">
                        <w:pPr>
                          <w:rPr>
                            <w:b/>
                            <w:bCs/>
                            <w:szCs w:val="19"/>
                          </w:rPr>
                        </w:pPr>
                      </w:p>
                    </w:tc>
                    <w:tc>
                      <w:tcPr>
                        <w:tcW w:w="786" w:type="pct"/>
                        <w:vMerge w:val="restart"/>
                        <w:tcBorders>
                          <w:top w:val="single" w:sz="4" w:space="0" w:color="auto"/>
                          <w:left w:val="single" w:sz="4" w:space="0" w:color="auto"/>
                          <w:right w:val="single" w:sz="4" w:space="0" w:color="auto"/>
                        </w:tcBorders>
                        <w:vAlign w:val="center"/>
                        <w:hideMark/>
                      </w:tcPr>
                      <w:p w14:paraId="383EED35" w14:textId="77777777" w:rsidR="00A50FA4" w:rsidRPr="004B14BD" w:rsidRDefault="00A50FA4" w:rsidP="00A50FA4">
                        <w:pPr>
                          <w:jc w:val="center"/>
                          <w:rPr>
                            <w:szCs w:val="19"/>
                          </w:rPr>
                        </w:pPr>
                      </w:p>
                      <w:p w14:paraId="611EDBC6" w14:textId="77777777" w:rsidR="00A50FA4" w:rsidRPr="004B14BD" w:rsidRDefault="00A50FA4" w:rsidP="00A50FA4">
                        <w:pPr>
                          <w:jc w:val="center"/>
                          <w:rPr>
                            <w:szCs w:val="19"/>
                          </w:rPr>
                        </w:pPr>
                      </w:p>
                      <w:p w14:paraId="77E22CBE" w14:textId="77777777" w:rsidR="00A50FA4" w:rsidRPr="004B14BD" w:rsidRDefault="00A50FA4" w:rsidP="00A50FA4">
                        <w:pPr>
                          <w:jc w:val="center"/>
                          <w:rPr>
                            <w:szCs w:val="19"/>
                          </w:rPr>
                        </w:pPr>
                        <w:r w:rsidRPr="004B14BD">
                          <w:rPr>
                            <w:szCs w:val="19"/>
                          </w:rPr>
                          <w:t>60</w:t>
                        </w:r>
                      </w:p>
                    </w:tc>
                    <w:tc>
                      <w:tcPr>
                        <w:tcW w:w="1020" w:type="pct"/>
                        <w:vMerge w:val="restart"/>
                        <w:tcBorders>
                          <w:top w:val="single" w:sz="4" w:space="0" w:color="auto"/>
                          <w:left w:val="single" w:sz="4" w:space="0" w:color="auto"/>
                          <w:right w:val="single" w:sz="4" w:space="0" w:color="auto"/>
                        </w:tcBorders>
                        <w:vAlign w:val="center"/>
                        <w:hideMark/>
                      </w:tcPr>
                      <w:p w14:paraId="3ADB71DB" w14:textId="77777777" w:rsidR="00A50FA4" w:rsidRPr="004B14BD" w:rsidRDefault="00A50FA4" w:rsidP="00A50FA4">
                        <w:pPr>
                          <w:jc w:val="center"/>
                          <w:rPr>
                            <w:szCs w:val="19"/>
                          </w:rPr>
                        </w:pPr>
                      </w:p>
                      <w:p w14:paraId="0FABA9B7" w14:textId="77777777" w:rsidR="00A50FA4" w:rsidRPr="004B14BD" w:rsidRDefault="00A50FA4" w:rsidP="00A50FA4">
                        <w:pPr>
                          <w:jc w:val="center"/>
                          <w:rPr>
                            <w:szCs w:val="19"/>
                          </w:rPr>
                        </w:pPr>
                      </w:p>
                      <w:p w14:paraId="479A8C13" w14:textId="77777777" w:rsidR="00A50FA4" w:rsidRPr="004B14BD" w:rsidRDefault="00A50FA4" w:rsidP="00A50FA4">
                        <w:pPr>
                          <w:jc w:val="center"/>
                          <w:rPr>
                            <w:szCs w:val="19"/>
                          </w:rPr>
                        </w:pPr>
                        <w:r w:rsidRPr="004B14BD">
                          <w:rPr>
                            <w:szCs w:val="19"/>
                          </w:rPr>
                          <w:t>50</w:t>
                        </w:r>
                      </w:p>
                    </w:tc>
                    <w:tc>
                      <w:tcPr>
                        <w:tcW w:w="1055" w:type="pct"/>
                        <w:vMerge w:val="restart"/>
                        <w:tcBorders>
                          <w:top w:val="single" w:sz="4" w:space="0" w:color="auto"/>
                          <w:left w:val="single" w:sz="4" w:space="0" w:color="auto"/>
                          <w:right w:val="single" w:sz="4" w:space="0" w:color="auto"/>
                        </w:tcBorders>
                        <w:vAlign w:val="center"/>
                      </w:tcPr>
                      <w:p w14:paraId="0EFC9065" w14:textId="77777777" w:rsidR="00A50FA4" w:rsidRPr="004B14BD" w:rsidRDefault="00A50FA4" w:rsidP="00A50FA4">
                        <w:pPr>
                          <w:jc w:val="center"/>
                          <w:rPr>
                            <w:szCs w:val="19"/>
                          </w:rPr>
                        </w:pPr>
                      </w:p>
                      <w:p w14:paraId="0A3C1DDB" w14:textId="77777777" w:rsidR="00A50FA4" w:rsidRPr="004B14BD" w:rsidRDefault="00A50FA4" w:rsidP="00A50FA4">
                        <w:pPr>
                          <w:jc w:val="center"/>
                          <w:rPr>
                            <w:szCs w:val="19"/>
                          </w:rPr>
                        </w:pPr>
                      </w:p>
                      <w:p w14:paraId="3F51FFA6" w14:textId="77777777" w:rsidR="00A50FA4" w:rsidRPr="004B14BD" w:rsidRDefault="00A50FA4" w:rsidP="00A50FA4">
                        <w:pPr>
                          <w:jc w:val="center"/>
                          <w:rPr>
                            <w:szCs w:val="19"/>
                          </w:rPr>
                        </w:pPr>
                        <w:r w:rsidRPr="004B14BD">
                          <w:rPr>
                            <w:szCs w:val="19"/>
                          </w:rPr>
                          <w:t>50</w:t>
                        </w:r>
                      </w:p>
                    </w:tc>
                    <w:tc>
                      <w:tcPr>
                        <w:tcW w:w="930" w:type="pct"/>
                        <w:vMerge w:val="restart"/>
                        <w:tcBorders>
                          <w:top w:val="single" w:sz="4" w:space="0" w:color="auto"/>
                          <w:left w:val="single" w:sz="4" w:space="0" w:color="auto"/>
                          <w:right w:val="single" w:sz="4" w:space="0" w:color="auto"/>
                        </w:tcBorders>
                        <w:vAlign w:val="center"/>
                      </w:tcPr>
                      <w:p w14:paraId="47C959C6" w14:textId="77777777" w:rsidR="00A50FA4" w:rsidRPr="004B14BD" w:rsidRDefault="00A50FA4" w:rsidP="00A50FA4">
                        <w:pPr>
                          <w:jc w:val="center"/>
                          <w:rPr>
                            <w:szCs w:val="19"/>
                          </w:rPr>
                        </w:pPr>
                      </w:p>
                      <w:p w14:paraId="1285CBF0" w14:textId="77777777" w:rsidR="00A50FA4" w:rsidRPr="004B14BD" w:rsidRDefault="00A50FA4" w:rsidP="00A50FA4">
                        <w:pPr>
                          <w:jc w:val="center"/>
                          <w:rPr>
                            <w:szCs w:val="19"/>
                          </w:rPr>
                        </w:pPr>
                      </w:p>
                      <w:p w14:paraId="31ED62D9" w14:textId="77777777" w:rsidR="00A50FA4" w:rsidRPr="004B14BD" w:rsidRDefault="00A50FA4" w:rsidP="00A50FA4">
                        <w:pPr>
                          <w:jc w:val="center"/>
                          <w:rPr>
                            <w:szCs w:val="19"/>
                          </w:rPr>
                        </w:pPr>
                        <w:r w:rsidRPr="004B14BD">
                          <w:rPr>
                            <w:szCs w:val="19"/>
                          </w:rPr>
                          <w:t>45</w:t>
                        </w:r>
                      </w:p>
                    </w:tc>
                  </w:tr>
                  <w:tr w:rsidR="00A50FA4" w:rsidRPr="004B14BD" w14:paraId="609DADBB" w14:textId="77777777" w:rsidTr="00B426A1">
                    <w:trPr>
                      <w:trHeight w:val="602"/>
                    </w:trPr>
                    <w:tc>
                      <w:tcPr>
                        <w:tcW w:w="647" w:type="pct"/>
                        <w:tcBorders>
                          <w:top w:val="nil"/>
                          <w:left w:val="single" w:sz="4" w:space="0" w:color="auto"/>
                          <w:bottom w:val="single" w:sz="4" w:space="0" w:color="auto"/>
                          <w:right w:val="nil"/>
                        </w:tcBorders>
                        <w:hideMark/>
                      </w:tcPr>
                      <w:p w14:paraId="450D614D" w14:textId="77777777" w:rsidR="00A50FA4" w:rsidRPr="004B14BD" w:rsidRDefault="00A50FA4" w:rsidP="00A50FA4">
                        <w:pPr>
                          <w:rPr>
                            <w:b/>
                            <w:bCs/>
                            <w:szCs w:val="19"/>
                          </w:rPr>
                        </w:pPr>
                        <w:r w:rsidRPr="004B14BD">
                          <w:rPr>
                            <w:b/>
                            <w:bCs/>
                            <w:szCs w:val="19"/>
                          </w:rPr>
                          <w:t>Lørdag</w:t>
                        </w:r>
                      </w:p>
                    </w:tc>
                    <w:tc>
                      <w:tcPr>
                        <w:tcW w:w="562" w:type="pct"/>
                        <w:tcBorders>
                          <w:top w:val="nil"/>
                          <w:left w:val="nil"/>
                          <w:bottom w:val="single" w:sz="4" w:space="0" w:color="auto"/>
                          <w:right w:val="single" w:sz="4" w:space="0" w:color="auto"/>
                        </w:tcBorders>
                        <w:hideMark/>
                      </w:tcPr>
                      <w:p w14:paraId="2D5A999F" w14:textId="77777777" w:rsidR="00A50FA4" w:rsidRPr="004B14BD" w:rsidRDefault="00A50FA4" w:rsidP="00A50FA4">
                        <w:pPr>
                          <w:rPr>
                            <w:b/>
                            <w:bCs/>
                            <w:szCs w:val="19"/>
                          </w:rPr>
                        </w:pPr>
                        <w:r w:rsidRPr="004B14BD">
                          <w:rPr>
                            <w:b/>
                            <w:bCs/>
                            <w:szCs w:val="19"/>
                          </w:rPr>
                          <w:t>7-14</w:t>
                        </w:r>
                      </w:p>
                      <w:p w14:paraId="07C429A7" w14:textId="77777777" w:rsidR="00A50FA4" w:rsidRPr="004B14BD" w:rsidRDefault="00A50FA4" w:rsidP="00A50FA4">
                        <w:pPr>
                          <w:rPr>
                            <w:b/>
                            <w:bCs/>
                            <w:szCs w:val="19"/>
                          </w:rPr>
                        </w:pPr>
                      </w:p>
                    </w:tc>
                    <w:tc>
                      <w:tcPr>
                        <w:tcW w:w="786" w:type="pct"/>
                        <w:vMerge/>
                        <w:tcBorders>
                          <w:left w:val="single" w:sz="4" w:space="0" w:color="auto"/>
                          <w:bottom w:val="single" w:sz="4" w:space="0" w:color="auto"/>
                          <w:right w:val="single" w:sz="4" w:space="0" w:color="auto"/>
                        </w:tcBorders>
                        <w:vAlign w:val="center"/>
                        <w:hideMark/>
                      </w:tcPr>
                      <w:p w14:paraId="0B7EAAB0" w14:textId="77777777" w:rsidR="00A50FA4" w:rsidRPr="004B14BD" w:rsidRDefault="00A50FA4" w:rsidP="00A50FA4">
                        <w:pPr>
                          <w:jc w:val="center"/>
                          <w:rPr>
                            <w:szCs w:val="19"/>
                          </w:rPr>
                        </w:pPr>
                      </w:p>
                    </w:tc>
                    <w:tc>
                      <w:tcPr>
                        <w:tcW w:w="1020" w:type="pct"/>
                        <w:vMerge/>
                        <w:tcBorders>
                          <w:left w:val="single" w:sz="4" w:space="0" w:color="auto"/>
                          <w:bottom w:val="single" w:sz="4" w:space="0" w:color="auto"/>
                          <w:right w:val="single" w:sz="4" w:space="0" w:color="auto"/>
                        </w:tcBorders>
                        <w:vAlign w:val="center"/>
                        <w:hideMark/>
                      </w:tcPr>
                      <w:p w14:paraId="1566CC33" w14:textId="77777777" w:rsidR="00A50FA4" w:rsidRPr="004B14BD" w:rsidRDefault="00A50FA4" w:rsidP="00A50FA4">
                        <w:pPr>
                          <w:jc w:val="center"/>
                          <w:rPr>
                            <w:szCs w:val="19"/>
                          </w:rPr>
                        </w:pPr>
                      </w:p>
                    </w:tc>
                    <w:tc>
                      <w:tcPr>
                        <w:tcW w:w="1055" w:type="pct"/>
                        <w:vMerge/>
                        <w:tcBorders>
                          <w:left w:val="single" w:sz="4" w:space="0" w:color="auto"/>
                          <w:bottom w:val="single" w:sz="4" w:space="0" w:color="auto"/>
                          <w:right w:val="single" w:sz="4" w:space="0" w:color="auto"/>
                        </w:tcBorders>
                        <w:vAlign w:val="center"/>
                      </w:tcPr>
                      <w:p w14:paraId="23B48517" w14:textId="77777777" w:rsidR="00A50FA4" w:rsidRPr="004B14BD" w:rsidRDefault="00A50FA4" w:rsidP="00A50FA4">
                        <w:pPr>
                          <w:jc w:val="center"/>
                          <w:rPr>
                            <w:szCs w:val="19"/>
                          </w:rPr>
                        </w:pPr>
                      </w:p>
                    </w:tc>
                    <w:tc>
                      <w:tcPr>
                        <w:tcW w:w="930" w:type="pct"/>
                        <w:vMerge/>
                        <w:tcBorders>
                          <w:left w:val="single" w:sz="4" w:space="0" w:color="auto"/>
                          <w:bottom w:val="single" w:sz="4" w:space="0" w:color="auto"/>
                          <w:right w:val="single" w:sz="4" w:space="0" w:color="auto"/>
                        </w:tcBorders>
                        <w:vAlign w:val="center"/>
                      </w:tcPr>
                      <w:p w14:paraId="5F627E8C" w14:textId="77777777" w:rsidR="00A50FA4" w:rsidRPr="004B14BD" w:rsidRDefault="00A50FA4" w:rsidP="00A50FA4">
                        <w:pPr>
                          <w:jc w:val="center"/>
                          <w:rPr>
                            <w:szCs w:val="19"/>
                          </w:rPr>
                        </w:pPr>
                      </w:p>
                    </w:tc>
                  </w:tr>
                  <w:tr w:rsidR="00A50FA4" w:rsidRPr="004B14BD" w14:paraId="2A9AB03E" w14:textId="77777777" w:rsidTr="00B426A1">
                    <w:tc>
                      <w:tcPr>
                        <w:tcW w:w="647" w:type="pct"/>
                        <w:tcBorders>
                          <w:top w:val="single" w:sz="4" w:space="0" w:color="auto"/>
                          <w:left w:val="single" w:sz="4" w:space="0" w:color="auto"/>
                          <w:bottom w:val="nil"/>
                          <w:right w:val="nil"/>
                        </w:tcBorders>
                        <w:hideMark/>
                      </w:tcPr>
                      <w:p w14:paraId="1C1EB5DA" w14:textId="77777777" w:rsidR="00A50FA4" w:rsidRPr="004B14BD" w:rsidRDefault="00A50FA4" w:rsidP="00A50FA4">
                        <w:pPr>
                          <w:rPr>
                            <w:b/>
                            <w:bCs/>
                            <w:szCs w:val="19"/>
                          </w:rPr>
                        </w:pPr>
                        <w:r w:rsidRPr="004B14BD">
                          <w:rPr>
                            <w:b/>
                            <w:bCs/>
                            <w:szCs w:val="19"/>
                          </w:rPr>
                          <w:t>Mandag - fredag</w:t>
                        </w:r>
                      </w:p>
                      <w:p w14:paraId="61333AA5" w14:textId="77777777" w:rsidR="00A50FA4" w:rsidRPr="004B14BD" w:rsidRDefault="00A50FA4" w:rsidP="00A50FA4">
                        <w:pPr>
                          <w:rPr>
                            <w:b/>
                            <w:bCs/>
                            <w:szCs w:val="19"/>
                          </w:rPr>
                        </w:pPr>
                      </w:p>
                    </w:tc>
                    <w:tc>
                      <w:tcPr>
                        <w:tcW w:w="562" w:type="pct"/>
                        <w:tcBorders>
                          <w:top w:val="single" w:sz="4" w:space="0" w:color="auto"/>
                          <w:left w:val="nil"/>
                          <w:bottom w:val="nil"/>
                          <w:right w:val="single" w:sz="4" w:space="0" w:color="auto"/>
                        </w:tcBorders>
                        <w:hideMark/>
                      </w:tcPr>
                      <w:p w14:paraId="055DAC9A" w14:textId="77777777" w:rsidR="00A50FA4" w:rsidRPr="004B14BD" w:rsidRDefault="00A50FA4" w:rsidP="00A50FA4">
                        <w:pPr>
                          <w:rPr>
                            <w:b/>
                            <w:bCs/>
                            <w:szCs w:val="19"/>
                          </w:rPr>
                        </w:pPr>
                        <w:r w:rsidRPr="004B14BD">
                          <w:rPr>
                            <w:b/>
                            <w:bCs/>
                            <w:szCs w:val="19"/>
                          </w:rPr>
                          <w:t>18-22</w:t>
                        </w:r>
                      </w:p>
                      <w:p w14:paraId="75B34F8E" w14:textId="77777777" w:rsidR="00A50FA4" w:rsidRPr="004B14BD" w:rsidRDefault="00A50FA4" w:rsidP="00A50FA4">
                        <w:pPr>
                          <w:rPr>
                            <w:b/>
                            <w:bCs/>
                            <w:szCs w:val="19"/>
                          </w:rPr>
                        </w:pPr>
                      </w:p>
                    </w:tc>
                    <w:tc>
                      <w:tcPr>
                        <w:tcW w:w="786" w:type="pct"/>
                        <w:vMerge w:val="restart"/>
                        <w:tcBorders>
                          <w:top w:val="single" w:sz="4" w:space="0" w:color="auto"/>
                          <w:left w:val="single" w:sz="4" w:space="0" w:color="auto"/>
                          <w:right w:val="single" w:sz="4" w:space="0" w:color="auto"/>
                        </w:tcBorders>
                        <w:vAlign w:val="center"/>
                        <w:hideMark/>
                      </w:tcPr>
                      <w:p w14:paraId="7B0002F4" w14:textId="77777777" w:rsidR="00A50FA4" w:rsidRPr="004B14BD" w:rsidRDefault="00A50FA4" w:rsidP="00A50FA4">
                        <w:pPr>
                          <w:jc w:val="center"/>
                          <w:rPr>
                            <w:szCs w:val="19"/>
                          </w:rPr>
                        </w:pPr>
                      </w:p>
                      <w:p w14:paraId="4A7E3AF5" w14:textId="77777777" w:rsidR="00A50FA4" w:rsidRPr="004B14BD" w:rsidRDefault="00A50FA4" w:rsidP="00A50FA4">
                        <w:pPr>
                          <w:jc w:val="center"/>
                          <w:rPr>
                            <w:szCs w:val="19"/>
                          </w:rPr>
                        </w:pPr>
                      </w:p>
                      <w:p w14:paraId="67A8ADA1" w14:textId="77777777" w:rsidR="00A50FA4" w:rsidRPr="004B14BD" w:rsidRDefault="00A50FA4" w:rsidP="00A50FA4">
                        <w:pPr>
                          <w:jc w:val="center"/>
                          <w:rPr>
                            <w:szCs w:val="19"/>
                          </w:rPr>
                        </w:pPr>
                      </w:p>
                      <w:p w14:paraId="4D19F784" w14:textId="77777777" w:rsidR="00A50FA4" w:rsidRPr="004B14BD" w:rsidRDefault="00A50FA4" w:rsidP="00A50FA4">
                        <w:pPr>
                          <w:jc w:val="center"/>
                          <w:rPr>
                            <w:szCs w:val="19"/>
                          </w:rPr>
                        </w:pPr>
                      </w:p>
                      <w:p w14:paraId="783970B8" w14:textId="77777777" w:rsidR="00A50FA4" w:rsidRPr="004B14BD" w:rsidRDefault="00A50FA4" w:rsidP="00A50FA4">
                        <w:pPr>
                          <w:jc w:val="center"/>
                          <w:rPr>
                            <w:szCs w:val="19"/>
                          </w:rPr>
                        </w:pPr>
                        <w:r w:rsidRPr="004B14BD">
                          <w:rPr>
                            <w:szCs w:val="19"/>
                          </w:rPr>
                          <w:t>60</w:t>
                        </w:r>
                      </w:p>
                    </w:tc>
                    <w:tc>
                      <w:tcPr>
                        <w:tcW w:w="1020" w:type="pct"/>
                        <w:vMerge w:val="restart"/>
                        <w:tcBorders>
                          <w:top w:val="single" w:sz="4" w:space="0" w:color="auto"/>
                          <w:left w:val="single" w:sz="4" w:space="0" w:color="auto"/>
                          <w:right w:val="single" w:sz="4" w:space="0" w:color="auto"/>
                        </w:tcBorders>
                        <w:vAlign w:val="center"/>
                        <w:hideMark/>
                      </w:tcPr>
                      <w:p w14:paraId="4EA64704" w14:textId="77777777" w:rsidR="00A50FA4" w:rsidRPr="004B14BD" w:rsidRDefault="00A50FA4" w:rsidP="00A50FA4">
                        <w:pPr>
                          <w:jc w:val="center"/>
                          <w:rPr>
                            <w:szCs w:val="19"/>
                          </w:rPr>
                        </w:pPr>
                      </w:p>
                      <w:p w14:paraId="5BFF4E2D" w14:textId="77777777" w:rsidR="00A50FA4" w:rsidRPr="004B14BD" w:rsidRDefault="00A50FA4" w:rsidP="00A50FA4">
                        <w:pPr>
                          <w:jc w:val="center"/>
                          <w:rPr>
                            <w:szCs w:val="19"/>
                          </w:rPr>
                        </w:pPr>
                      </w:p>
                      <w:p w14:paraId="6C66F980" w14:textId="77777777" w:rsidR="00A50FA4" w:rsidRPr="004B14BD" w:rsidRDefault="00A50FA4" w:rsidP="00A50FA4">
                        <w:pPr>
                          <w:jc w:val="center"/>
                          <w:rPr>
                            <w:szCs w:val="19"/>
                          </w:rPr>
                        </w:pPr>
                      </w:p>
                      <w:p w14:paraId="457E8595" w14:textId="77777777" w:rsidR="00A50FA4" w:rsidRPr="004B14BD" w:rsidRDefault="00A50FA4" w:rsidP="00A50FA4">
                        <w:pPr>
                          <w:jc w:val="center"/>
                          <w:rPr>
                            <w:szCs w:val="19"/>
                          </w:rPr>
                        </w:pPr>
                      </w:p>
                      <w:p w14:paraId="21D77621" w14:textId="77777777" w:rsidR="00A50FA4" w:rsidRPr="004B14BD" w:rsidRDefault="00A50FA4" w:rsidP="00A50FA4">
                        <w:pPr>
                          <w:jc w:val="center"/>
                          <w:rPr>
                            <w:szCs w:val="19"/>
                          </w:rPr>
                        </w:pPr>
                        <w:r w:rsidRPr="004B14BD">
                          <w:rPr>
                            <w:szCs w:val="19"/>
                          </w:rPr>
                          <w:t>45</w:t>
                        </w:r>
                      </w:p>
                    </w:tc>
                    <w:tc>
                      <w:tcPr>
                        <w:tcW w:w="1055" w:type="pct"/>
                        <w:vMerge w:val="restart"/>
                        <w:tcBorders>
                          <w:top w:val="single" w:sz="4" w:space="0" w:color="auto"/>
                          <w:left w:val="single" w:sz="4" w:space="0" w:color="auto"/>
                          <w:right w:val="single" w:sz="4" w:space="0" w:color="auto"/>
                        </w:tcBorders>
                        <w:vAlign w:val="center"/>
                      </w:tcPr>
                      <w:p w14:paraId="61DB9106" w14:textId="77777777" w:rsidR="00A50FA4" w:rsidRPr="004B14BD" w:rsidRDefault="00A50FA4" w:rsidP="00A50FA4">
                        <w:pPr>
                          <w:jc w:val="center"/>
                          <w:rPr>
                            <w:szCs w:val="19"/>
                          </w:rPr>
                        </w:pPr>
                      </w:p>
                      <w:p w14:paraId="3F57867F" w14:textId="77777777" w:rsidR="00A50FA4" w:rsidRPr="004B14BD" w:rsidRDefault="00A50FA4" w:rsidP="00A50FA4">
                        <w:pPr>
                          <w:jc w:val="center"/>
                          <w:rPr>
                            <w:szCs w:val="19"/>
                          </w:rPr>
                        </w:pPr>
                      </w:p>
                      <w:p w14:paraId="1BCF7E85" w14:textId="77777777" w:rsidR="00A50FA4" w:rsidRPr="004B14BD" w:rsidRDefault="00A50FA4" w:rsidP="00A50FA4">
                        <w:pPr>
                          <w:jc w:val="center"/>
                          <w:rPr>
                            <w:szCs w:val="19"/>
                          </w:rPr>
                        </w:pPr>
                      </w:p>
                      <w:p w14:paraId="023579A1" w14:textId="77777777" w:rsidR="00A50FA4" w:rsidRPr="004B14BD" w:rsidRDefault="00A50FA4" w:rsidP="00A50FA4">
                        <w:pPr>
                          <w:jc w:val="center"/>
                          <w:rPr>
                            <w:szCs w:val="19"/>
                          </w:rPr>
                        </w:pPr>
                      </w:p>
                      <w:p w14:paraId="5887C9A3" w14:textId="77777777" w:rsidR="00A50FA4" w:rsidRPr="004B14BD" w:rsidRDefault="00A50FA4" w:rsidP="00A50FA4">
                        <w:pPr>
                          <w:jc w:val="center"/>
                          <w:rPr>
                            <w:szCs w:val="19"/>
                          </w:rPr>
                        </w:pPr>
                        <w:r w:rsidRPr="004B14BD">
                          <w:rPr>
                            <w:szCs w:val="19"/>
                          </w:rPr>
                          <w:t>50</w:t>
                        </w:r>
                      </w:p>
                    </w:tc>
                    <w:tc>
                      <w:tcPr>
                        <w:tcW w:w="930" w:type="pct"/>
                        <w:vMerge w:val="restart"/>
                        <w:tcBorders>
                          <w:top w:val="single" w:sz="4" w:space="0" w:color="auto"/>
                          <w:left w:val="single" w:sz="4" w:space="0" w:color="auto"/>
                          <w:right w:val="single" w:sz="4" w:space="0" w:color="auto"/>
                        </w:tcBorders>
                        <w:vAlign w:val="center"/>
                      </w:tcPr>
                      <w:p w14:paraId="6C4F5C3D" w14:textId="77777777" w:rsidR="00A50FA4" w:rsidRPr="004B14BD" w:rsidRDefault="00A50FA4" w:rsidP="00A50FA4">
                        <w:pPr>
                          <w:jc w:val="center"/>
                          <w:rPr>
                            <w:szCs w:val="19"/>
                          </w:rPr>
                        </w:pPr>
                      </w:p>
                      <w:p w14:paraId="3B9281D4" w14:textId="77777777" w:rsidR="00A50FA4" w:rsidRPr="004B14BD" w:rsidRDefault="00A50FA4" w:rsidP="00A50FA4">
                        <w:pPr>
                          <w:jc w:val="center"/>
                          <w:rPr>
                            <w:szCs w:val="19"/>
                          </w:rPr>
                        </w:pPr>
                      </w:p>
                      <w:p w14:paraId="7E8B6A9E" w14:textId="77777777" w:rsidR="00A50FA4" w:rsidRPr="004B14BD" w:rsidRDefault="00A50FA4" w:rsidP="00A50FA4">
                        <w:pPr>
                          <w:jc w:val="center"/>
                          <w:rPr>
                            <w:szCs w:val="19"/>
                          </w:rPr>
                        </w:pPr>
                      </w:p>
                      <w:p w14:paraId="45862FFA" w14:textId="77777777" w:rsidR="00A50FA4" w:rsidRPr="004B14BD" w:rsidRDefault="00A50FA4" w:rsidP="00A50FA4">
                        <w:pPr>
                          <w:jc w:val="center"/>
                          <w:rPr>
                            <w:szCs w:val="19"/>
                          </w:rPr>
                        </w:pPr>
                      </w:p>
                      <w:p w14:paraId="47EB57F8" w14:textId="77777777" w:rsidR="00A50FA4" w:rsidRPr="004B14BD" w:rsidRDefault="00A50FA4" w:rsidP="00A50FA4">
                        <w:pPr>
                          <w:jc w:val="center"/>
                          <w:rPr>
                            <w:szCs w:val="19"/>
                          </w:rPr>
                        </w:pPr>
                        <w:r w:rsidRPr="004B14BD">
                          <w:rPr>
                            <w:szCs w:val="19"/>
                          </w:rPr>
                          <w:t>40</w:t>
                        </w:r>
                      </w:p>
                    </w:tc>
                  </w:tr>
                  <w:tr w:rsidR="00A50FA4" w:rsidRPr="004B14BD" w14:paraId="63D65931" w14:textId="77777777" w:rsidTr="00B426A1">
                    <w:tc>
                      <w:tcPr>
                        <w:tcW w:w="647" w:type="pct"/>
                        <w:tcBorders>
                          <w:top w:val="nil"/>
                          <w:left w:val="single" w:sz="4" w:space="0" w:color="auto"/>
                          <w:bottom w:val="nil"/>
                          <w:right w:val="nil"/>
                        </w:tcBorders>
                        <w:hideMark/>
                      </w:tcPr>
                      <w:p w14:paraId="0B680AA0" w14:textId="77777777" w:rsidR="00A50FA4" w:rsidRPr="004B14BD" w:rsidRDefault="00A50FA4" w:rsidP="00A50FA4">
                        <w:pPr>
                          <w:rPr>
                            <w:b/>
                            <w:bCs/>
                            <w:szCs w:val="19"/>
                          </w:rPr>
                        </w:pPr>
                        <w:r w:rsidRPr="004B14BD">
                          <w:rPr>
                            <w:b/>
                            <w:bCs/>
                            <w:szCs w:val="19"/>
                          </w:rPr>
                          <w:t>Lørdag</w:t>
                        </w:r>
                      </w:p>
                      <w:p w14:paraId="316C5645" w14:textId="77777777" w:rsidR="00A50FA4" w:rsidRPr="004B14BD" w:rsidRDefault="00A50FA4" w:rsidP="00A50FA4">
                        <w:pPr>
                          <w:rPr>
                            <w:b/>
                            <w:bCs/>
                            <w:szCs w:val="19"/>
                          </w:rPr>
                        </w:pPr>
                      </w:p>
                    </w:tc>
                    <w:tc>
                      <w:tcPr>
                        <w:tcW w:w="562" w:type="pct"/>
                        <w:tcBorders>
                          <w:top w:val="nil"/>
                          <w:left w:val="nil"/>
                          <w:bottom w:val="nil"/>
                          <w:right w:val="single" w:sz="4" w:space="0" w:color="auto"/>
                        </w:tcBorders>
                        <w:hideMark/>
                      </w:tcPr>
                      <w:p w14:paraId="24366D1C" w14:textId="77777777" w:rsidR="00A50FA4" w:rsidRPr="004B14BD" w:rsidRDefault="00A50FA4" w:rsidP="00A50FA4">
                        <w:pPr>
                          <w:rPr>
                            <w:b/>
                            <w:bCs/>
                            <w:szCs w:val="19"/>
                          </w:rPr>
                        </w:pPr>
                        <w:r w:rsidRPr="004B14BD">
                          <w:rPr>
                            <w:b/>
                            <w:bCs/>
                            <w:szCs w:val="19"/>
                          </w:rPr>
                          <w:t>14-22</w:t>
                        </w:r>
                      </w:p>
                      <w:p w14:paraId="57048F0E" w14:textId="77777777" w:rsidR="00A50FA4" w:rsidRPr="004B14BD" w:rsidRDefault="00A50FA4" w:rsidP="00A50FA4">
                        <w:pPr>
                          <w:rPr>
                            <w:b/>
                            <w:bCs/>
                            <w:szCs w:val="19"/>
                          </w:rPr>
                        </w:pPr>
                      </w:p>
                    </w:tc>
                    <w:tc>
                      <w:tcPr>
                        <w:tcW w:w="786" w:type="pct"/>
                        <w:vMerge/>
                        <w:tcBorders>
                          <w:left w:val="single" w:sz="4" w:space="0" w:color="auto"/>
                          <w:right w:val="single" w:sz="4" w:space="0" w:color="auto"/>
                        </w:tcBorders>
                        <w:vAlign w:val="center"/>
                        <w:hideMark/>
                      </w:tcPr>
                      <w:p w14:paraId="64F0FBA7" w14:textId="77777777" w:rsidR="00A50FA4" w:rsidRPr="004B14BD" w:rsidRDefault="00A50FA4" w:rsidP="00A50FA4">
                        <w:pPr>
                          <w:jc w:val="center"/>
                          <w:rPr>
                            <w:szCs w:val="19"/>
                          </w:rPr>
                        </w:pPr>
                      </w:p>
                    </w:tc>
                    <w:tc>
                      <w:tcPr>
                        <w:tcW w:w="1020" w:type="pct"/>
                        <w:vMerge/>
                        <w:tcBorders>
                          <w:left w:val="single" w:sz="4" w:space="0" w:color="auto"/>
                          <w:right w:val="single" w:sz="4" w:space="0" w:color="auto"/>
                        </w:tcBorders>
                        <w:vAlign w:val="center"/>
                        <w:hideMark/>
                      </w:tcPr>
                      <w:p w14:paraId="0BF32145" w14:textId="77777777" w:rsidR="00A50FA4" w:rsidRPr="004B14BD" w:rsidRDefault="00A50FA4" w:rsidP="00A50FA4">
                        <w:pPr>
                          <w:jc w:val="center"/>
                          <w:rPr>
                            <w:szCs w:val="19"/>
                          </w:rPr>
                        </w:pPr>
                      </w:p>
                    </w:tc>
                    <w:tc>
                      <w:tcPr>
                        <w:tcW w:w="1055" w:type="pct"/>
                        <w:vMerge/>
                        <w:tcBorders>
                          <w:left w:val="single" w:sz="4" w:space="0" w:color="auto"/>
                          <w:right w:val="single" w:sz="4" w:space="0" w:color="auto"/>
                        </w:tcBorders>
                        <w:vAlign w:val="center"/>
                      </w:tcPr>
                      <w:p w14:paraId="09500140" w14:textId="77777777" w:rsidR="00A50FA4" w:rsidRPr="004B14BD" w:rsidRDefault="00A50FA4" w:rsidP="00A50FA4">
                        <w:pPr>
                          <w:jc w:val="center"/>
                          <w:rPr>
                            <w:szCs w:val="19"/>
                          </w:rPr>
                        </w:pPr>
                      </w:p>
                    </w:tc>
                    <w:tc>
                      <w:tcPr>
                        <w:tcW w:w="930" w:type="pct"/>
                        <w:vMerge/>
                        <w:tcBorders>
                          <w:left w:val="single" w:sz="4" w:space="0" w:color="auto"/>
                          <w:right w:val="single" w:sz="4" w:space="0" w:color="auto"/>
                        </w:tcBorders>
                        <w:vAlign w:val="center"/>
                      </w:tcPr>
                      <w:p w14:paraId="5D4CBC08" w14:textId="77777777" w:rsidR="00A50FA4" w:rsidRPr="004B14BD" w:rsidRDefault="00A50FA4" w:rsidP="00A50FA4">
                        <w:pPr>
                          <w:jc w:val="center"/>
                          <w:rPr>
                            <w:szCs w:val="19"/>
                          </w:rPr>
                        </w:pPr>
                      </w:p>
                    </w:tc>
                  </w:tr>
                  <w:tr w:rsidR="00A50FA4" w:rsidRPr="004B14BD" w14:paraId="30DC1E46" w14:textId="77777777" w:rsidTr="00B426A1">
                    <w:tc>
                      <w:tcPr>
                        <w:tcW w:w="647" w:type="pct"/>
                        <w:tcBorders>
                          <w:top w:val="nil"/>
                          <w:left w:val="single" w:sz="4" w:space="0" w:color="auto"/>
                          <w:bottom w:val="single" w:sz="4" w:space="0" w:color="auto"/>
                          <w:right w:val="nil"/>
                        </w:tcBorders>
                        <w:hideMark/>
                      </w:tcPr>
                      <w:p w14:paraId="3128A849" w14:textId="77777777" w:rsidR="00A50FA4" w:rsidRPr="004B14BD" w:rsidRDefault="00A50FA4" w:rsidP="00A50FA4">
                        <w:pPr>
                          <w:rPr>
                            <w:b/>
                            <w:bCs/>
                            <w:szCs w:val="19"/>
                          </w:rPr>
                        </w:pPr>
                        <w:r w:rsidRPr="004B14BD">
                          <w:rPr>
                            <w:b/>
                            <w:bCs/>
                            <w:szCs w:val="19"/>
                          </w:rPr>
                          <w:t>Søn- og helligdage</w:t>
                        </w:r>
                      </w:p>
                      <w:p w14:paraId="7FCCB92E" w14:textId="77777777" w:rsidR="00A50FA4" w:rsidRPr="004B14BD" w:rsidRDefault="00A50FA4" w:rsidP="00A50FA4">
                        <w:pPr>
                          <w:rPr>
                            <w:b/>
                            <w:bCs/>
                            <w:szCs w:val="19"/>
                          </w:rPr>
                        </w:pPr>
                      </w:p>
                    </w:tc>
                    <w:tc>
                      <w:tcPr>
                        <w:tcW w:w="562" w:type="pct"/>
                        <w:tcBorders>
                          <w:top w:val="nil"/>
                          <w:left w:val="nil"/>
                          <w:bottom w:val="single" w:sz="4" w:space="0" w:color="auto"/>
                          <w:right w:val="single" w:sz="4" w:space="0" w:color="auto"/>
                        </w:tcBorders>
                        <w:hideMark/>
                      </w:tcPr>
                      <w:p w14:paraId="6BE9108B" w14:textId="77777777" w:rsidR="00A50FA4" w:rsidRPr="004B14BD" w:rsidRDefault="00A50FA4" w:rsidP="00A50FA4">
                        <w:pPr>
                          <w:rPr>
                            <w:b/>
                            <w:bCs/>
                            <w:szCs w:val="19"/>
                          </w:rPr>
                        </w:pPr>
                        <w:r w:rsidRPr="004B14BD">
                          <w:rPr>
                            <w:b/>
                            <w:bCs/>
                            <w:szCs w:val="19"/>
                          </w:rPr>
                          <w:t>07-22</w:t>
                        </w:r>
                      </w:p>
                    </w:tc>
                    <w:tc>
                      <w:tcPr>
                        <w:tcW w:w="786" w:type="pct"/>
                        <w:vMerge/>
                        <w:tcBorders>
                          <w:left w:val="single" w:sz="4" w:space="0" w:color="auto"/>
                          <w:bottom w:val="single" w:sz="4" w:space="0" w:color="auto"/>
                          <w:right w:val="single" w:sz="4" w:space="0" w:color="auto"/>
                        </w:tcBorders>
                        <w:vAlign w:val="center"/>
                        <w:hideMark/>
                      </w:tcPr>
                      <w:p w14:paraId="672CA7FE" w14:textId="77777777" w:rsidR="00A50FA4" w:rsidRPr="004B14BD" w:rsidRDefault="00A50FA4" w:rsidP="00A50FA4">
                        <w:pPr>
                          <w:jc w:val="center"/>
                          <w:rPr>
                            <w:szCs w:val="19"/>
                          </w:rPr>
                        </w:pPr>
                      </w:p>
                    </w:tc>
                    <w:tc>
                      <w:tcPr>
                        <w:tcW w:w="1020" w:type="pct"/>
                        <w:vMerge/>
                        <w:tcBorders>
                          <w:left w:val="single" w:sz="4" w:space="0" w:color="auto"/>
                          <w:bottom w:val="single" w:sz="4" w:space="0" w:color="auto"/>
                          <w:right w:val="single" w:sz="4" w:space="0" w:color="auto"/>
                        </w:tcBorders>
                        <w:vAlign w:val="center"/>
                        <w:hideMark/>
                      </w:tcPr>
                      <w:p w14:paraId="3735B316" w14:textId="77777777" w:rsidR="00A50FA4" w:rsidRPr="004B14BD" w:rsidRDefault="00A50FA4" w:rsidP="00A50FA4">
                        <w:pPr>
                          <w:jc w:val="center"/>
                          <w:rPr>
                            <w:szCs w:val="19"/>
                          </w:rPr>
                        </w:pPr>
                      </w:p>
                    </w:tc>
                    <w:tc>
                      <w:tcPr>
                        <w:tcW w:w="1055" w:type="pct"/>
                        <w:vMerge/>
                        <w:tcBorders>
                          <w:left w:val="single" w:sz="4" w:space="0" w:color="auto"/>
                          <w:bottom w:val="single" w:sz="4" w:space="0" w:color="auto"/>
                          <w:right w:val="single" w:sz="4" w:space="0" w:color="auto"/>
                        </w:tcBorders>
                        <w:vAlign w:val="center"/>
                      </w:tcPr>
                      <w:p w14:paraId="2224177B" w14:textId="77777777" w:rsidR="00A50FA4" w:rsidRPr="004B14BD" w:rsidRDefault="00A50FA4" w:rsidP="00A50FA4">
                        <w:pPr>
                          <w:jc w:val="center"/>
                          <w:rPr>
                            <w:szCs w:val="19"/>
                          </w:rPr>
                        </w:pPr>
                      </w:p>
                    </w:tc>
                    <w:tc>
                      <w:tcPr>
                        <w:tcW w:w="930" w:type="pct"/>
                        <w:vMerge/>
                        <w:tcBorders>
                          <w:left w:val="single" w:sz="4" w:space="0" w:color="auto"/>
                          <w:bottom w:val="single" w:sz="4" w:space="0" w:color="auto"/>
                          <w:right w:val="single" w:sz="4" w:space="0" w:color="auto"/>
                        </w:tcBorders>
                        <w:vAlign w:val="center"/>
                      </w:tcPr>
                      <w:p w14:paraId="5DA57DE8" w14:textId="77777777" w:rsidR="00A50FA4" w:rsidRPr="004B14BD" w:rsidRDefault="00A50FA4" w:rsidP="00A50FA4">
                        <w:pPr>
                          <w:jc w:val="center"/>
                          <w:rPr>
                            <w:szCs w:val="19"/>
                          </w:rPr>
                        </w:pPr>
                      </w:p>
                    </w:tc>
                  </w:tr>
                  <w:tr w:rsidR="00A50FA4" w:rsidRPr="004B14BD" w14:paraId="629B0D30" w14:textId="77777777" w:rsidTr="00B426A1">
                    <w:tc>
                      <w:tcPr>
                        <w:tcW w:w="647" w:type="pct"/>
                        <w:tcBorders>
                          <w:top w:val="single" w:sz="4" w:space="0" w:color="auto"/>
                          <w:left w:val="single" w:sz="4" w:space="0" w:color="auto"/>
                          <w:bottom w:val="single" w:sz="4" w:space="0" w:color="auto"/>
                          <w:right w:val="nil"/>
                        </w:tcBorders>
                        <w:hideMark/>
                      </w:tcPr>
                      <w:p w14:paraId="078239FA" w14:textId="77777777" w:rsidR="00A50FA4" w:rsidRPr="004B14BD" w:rsidRDefault="00A50FA4" w:rsidP="00A50FA4">
                        <w:pPr>
                          <w:rPr>
                            <w:b/>
                            <w:bCs/>
                            <w:szCs w:val="19"/>
                          </w:rPr>
                        </w:pPr>
                        <w:r w:rsidRPr="004B14BD">
                          <w:rPr>
                            <w:b/>
                            <w:bCs/>
                            <w:szCs w:val="19"/>
                          </w:rPr>
                          <w:t>Alle dage</w:t>
                        </w:r>
                      </w:p>
                    </w:tc>
                    <w:tc>
                      <w:tcPr>
                        <w:tcW w:w="562" w:type="pct"/>
                        <w:tcBorders>
                          <w:top w:val="single" w:sz="4" w:space="0" w:color="auto"/>
                          <w:left w:val="nil"/>
                          <w:bottom w:val="single" w:sz="4" w:space="0" w:color="auto"/>
                          <w:right w:val="single" w:sz="4" w:space="0" w:color="auto"/>
                        </w:tcBorders>
                        <w:hideMark/>
                      </w:tcPr>
                      <w:p w14:paraId="29F6D76E" w14:textId="77777777" w:rsidR="00A50FA4" w:rsidRPr="004B14BD" w:rsidRDefault="00A50FA4" w:rsidP="00A50FA4">
                        <w:pPr>
                          <w:rPr>
                            <w:b/>
                            <w:bCs/>
                            <w:szCs w:val="19"/>
                          </w:rPr>
                        </w:pPr>
                        <w:r w:rsidRPr="004B14BD">
                          <w:rPr>
                            <w:b/>
                            <w:bCs/>
                            <w:szCs w:val="19"/>
                          </w:rPr>
                          <w:t>22-7</w:t>
                        </w:r>
                      </w:p>
                    </w:tc>
                    <w:tc>
                      <w:tcPr>
                        <w:tcW w:w="786" w:type="pct"/>
                        <w:tcBorders>
                          <w:top w:val="single" w:sz="4" w:space="0" w:color="auto"/>
                          <w:left w:val="single" w:sz="4" w:space="0" w:color="auto"/>
                          <w:bottom w:val="single" w:sz="4" w:space="0" w:color="auto"/>
                          <w:right w:val="single" w:sz="4" w:space="0" w:color="auto"/>
                        </w:tcBorders>
                        <w:vAlign w:val="center"/>
                        <w:hideMark/>
                      </w:tcPr>
                      <w:p w14:paraId="6D9BF66D" w14:textId="77777777" w:rsidR="006A3FD0" w:rsidRPr="004B14BD" w:rsidRDefault="006A3FD0" w:rsidP="00A50FA4">
                        <w:pPr>
                          <w:jc w:val="center"/>
                          <w:rPr>
                            <w:szCs w:val="19"/>
                          </w:rPr>
                        </w:pPr>
                      </w:p>
                      <w:p w14:paraId="0C8C5C58" w14:textId="77777777" w:rsidR="00A50FA4" w:rsidRPr="004B14BD" w:rsidRDefault="00A50FA4" w:rsidP="00A50FA4">
                        <w:pPr>
                          <w:jc w:val="center"/>
                          <w:rPr>
                            <w:szCs w:val="19"/>
                          </w:rPr>
                        </w:pPr>
                        <w:r w:rsidRPr="004B14BD">
                          <w:rPr>
                            <w:szCs w:val="19"/>
                          </w:rPr>
                          <w:t>60</w:t>
                        </w:r>
                      </w:p>
                      <w:p w14:paraId="7DB365DB" w14:textId="1349AD5C" w:rsidR="006A3FD0" w:rsidRPr="004B14BD" w:rsidRDefault="006A3FD0" w:rsidP="00A50FA4">
                        <w:pPr>
                          <w:jc w:val="center"/>
                          <w:rPr>
                            <w:szCs w:val="19"/>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66578D06" w14:textId="77777777" w:rsidR="00A50FA4" w:rsidRPr="004B14BD" w:rsidRDefault="00A50FA4" w:rsidP="00A50FA4">
                        <w:pPr>
                          <w:jc w:val="center"/>
                          <w:rPr>
                            <w:szCs w:val="19"/>
                          </w:rPr>
                        </w:pPr>
                        <w:r w:rsidRPr="004B14BD">
                          <w:rPr>
                            <w:szCs w:val="19"/>
                          </w:rPr>
                          <w:t>40</w:t>
                        </w:r>
                      </w:p>
                    </w:tc>
                    <w:tc>
                      <w:tcPr>
                        <w:tcW w:w="1055" w:type="pct"/>
                        <w:tcBorders>
                          <w:top w:val="single" w:sz="4" w:space="0" w:color="auto"/>
                          <w:left w:val="single" w:sz="4" w:space="0" w:color="auto"/>
                          <w:bottom w:val="single" w:sz="4" w:space="0" w:color="auto"/>
                          <w:right w:val="single" w:sz="4" w:space="0" w:color="auto"/>
                        </w:tcBorders>
                        <w:vAlign w:val="center"/>
                      </w:tcPr>
                      <w:p w14:paraId="47CA12CB" w14:textId="77777777" w:rsidR="00A50FA4" w:rsidRPr="004B14BD" w:rsidRDefault="00A50FA4" w:rsidP="00A50FA4">
                        <w:pPr>
                          <w:jc w:val="center"/>
                          <w:rPr>
                            <w:szCs w:val="19"/>
                          </w:rPr>
                        </w:pPr>
                        <w:r w:rsidRPr="004B14BD">
                          <w:rPr>
                            <w:szCs w:val="19"/>
                          </w:rPr>
                          <w:t>50</w:t>
                        </w:r>
                      </w:p>
                    </w:tc>
                    <w:tc>
                      <w:tcPr>
                        <w:tcW w:w="930" w:type="pct"/>
                        <w:tcBorders>
                          <w:top w:val="single" w:sz="4" w:space="0" w:color="auto"/>
                          <w:left w:val="single" w:sz="4" w:space="0" w:color="auto"/>
                          <w:bottom w:val="single" w:sz="4" w:space="0" w:color="auto"/>
                          <w:right w:val="single" w:sz="4" w:space="0" w:color="auto"/>
                        </w:tcBorders>
                        <w:vAlign w:val="center"/>
                      </w:tcPr>
                      <w:p w14:paraId="2E3FDA00" w14:textId="77777777" w:rsidR="00A50FA4" w:rsidRPr="004B14BD" w:rsidRDefault="00A50FA4" w:rsidP="00A50FA4">
                        <w:pPr>
                          <w:jc w:val="center"/>
                          <w:rPr>
                            <w:szCs w:val="19"/>
                          </w:rPr>
                        </w:pPr>
                        <w:r w:rsidRPr="004B14BD">
                          <w:rPr>
                            <w:szCs w:val="19"/>
                          </w:rPr>
                          <w:t>35</w:t>
                        </w:r>
                      </w:p>
                    </w:tc>
                  </w:tr>
                  <w:tr w:rsidR="00A50FA4" w:rsidRPr="004B14BD" w14:paraId="6F800B64" w14:textId="77777777" w:rsidTr="00B426A1">
                    <w:tc>
                      <w:tcPr>
                        <w:tcW w:w="1209" w:type="pct"/>
                        <w:gridSpan w:val="2"/>
                        <w:tcBorders>
                          <w:top w:val="single" w:sz="4" w:space="0" w:color="auto"/>
                          <w:left w:val="single" w:sz="4" w:space="0" w:color="auto"/>
                          <w:bottom w:val="single" w:sz="4" w:space="0" w:color="auto"/>
                          <w:right w:val="single" w:sz="4" w:space="0" w:color="auto"/>
                        </w:tcBorders>
                        <w:hideMark/>
                      </w:tcPr>
                      <w:p w14:paraId="7155C672" w14:textId="77777777" w:rsidR="00A50FA4" w:rsidRPr="004B14BD" w:rsidRDefault="00A50FA4" w:rsidP="00A50FA4">
                        <w:pPr>
                          <w:rPr>
                            <w:b/>
                            <w:bCs/>
                            <w:szCs w:val="19"/>
                          </w:rPr>
                        </w:pPr>
                        <w:r w:rsidRPr="004B14BD">
                          <w:rPr>
                            <w:b/>
                            <w:bCs/>
                            <w:szCs w:val="19"/>
                          </w:rPr>
                          <w:t>Maksimalværdien af støjniveauet om natten</w:t>
                        </w:r>
                      </w:p>
                    </w:tc>
                    <w:tc>
                      <w:tcPr>
                        <w:tcW w:w="786" w:type="pct"/>
                        <w:tcBorders>
                          <w:top w:val="single" w:sz="4" w:space="0" w:color="auto"/>
                          <w:left w:val="single" w:sz="4" w:space="0" w:color="auto"/>
                          <w:bottom w:val="single" w:sz="4" w:space="0" w:color="auto"/>
                          <w:right w:val="single" w:sz="4" w:space="0" w:color="auto"/>
                        </w:tcBorders>
                        <w:vAlign w:val="center"/>
                        <w:hideMark/>
                      </w:tcPr>
                      <w:p w14:paraId="02AB05B8" w14:textId="77777777" w:rsidR="00A50FA4" w:rsidRPr="004B14BD" w:rsidRDefault="00A50FA4" w:rsidP="00A50FA4">
                        <w:pPr>
                          <w:jc w:val="center"/>
                          <w:rPr>
                            <w:szCs w:val="19"/>
                          </w:rPr>
                        </w:pPr>
                        <w:r w:rsidRPr="004B14BD">
                          <w:rPr>
                            <w:szCs w:val="19"/>
                          </w:rPr>
                          <w:t>-</w:t>
                        </w:r>
                      </w:p>
                    </w:tc>
                    <w:tc>
                      <w:tcPr>
                        <w:tcW w:w="1020" w:type="pct"/>
                        <w:tcBorders>
                          <w:top w:val="single" w:sz="4" w:space="0" w:color="auto"/>
                          <w:left w:val="single" w:sz="4" w:space="0" w:color="auto"/>
                          <w:bottom w:val="single" w:sz="4" w:space="0" w:color="auto"/>
                          <w:right w:val="single" w:sz="4" w:space="0" w:color="auto"/>
                        </w:tcBorders>
                        <w:vAlign w:val="center"/>
                        <w:hideMark/>
                      </w:tcPr>
                      <w:p w14:paraId="76071285" w14:textId="77777777" w:rsidR="00A50FA4" w:rsidRPr="004B14BD" w:rsidRDefault="00A50FA4" w:rsidP="00A50FA4">
                        <w:pPr>
                          <w:jc w:val="center"/>
                          <w:rPr>
                            <w:szCs w:val="19"/>
                          </w:rPr>
                        </w:pPr>
                        <w:r w:rsidRPr="004B14BD">
                          <w:rPr>
                            <w:szCs w:val="19"/>
                          </w:rPr>
                          <w:t>55</w:t>
                        </w:r>
                      </w:p>
                    </w:tc>
                    <w:tc>
                      <w:tcPr>
                        <w:tcW w:w="1055" w:type="pct"/>
                        <w:tcBorders>
                          <w:top w:val="single" w:sz="4" w:space="0" w:color="auto"/>
                          <w:left w:val="single" w:sz="4" w:space="0" w:color="auto"/>
                          <w:bottom w:val="single" w:sz="4" w:space="0" w:color="auto"/>
                          <w:right w:val="single" w:sz="4" w:space="0" w:color="auto"/>
                        </w:tcBorders>
                        <w:vAlign w:val="center"/>
                      </w:tcPr>
                      <w:p w14:paraId="085E7EBE" w14:textId="77777777" w:rsidR="00A50FA4" w:rsidRPr="004B14BD" w:rsidRDefault="00A50FA4" w:rsidP="00A50FA4">
                        <w:pPr>
                          <w:jc w:val="center"/>
                          <w:rPr>
                            <w:szCs w:val="19"/>
                          </w:rPr>
                        </w:pPr>
                        <w:r w:rsidRPr="004B14BD">
                          <w:rPr>
                            <w:szCs w:val="19"/>
                          </w:rPr>
                          <w:t>-</w:t>
                        </w:r>
                      </w:p>
                    </w:tc>
                    <w:tc>
                      <w:tcPr>
                        <w:tcW w:w="930" w:type="pct"/>
                        <w:tcBorders>
                          <w:top w:val="single" w:sz="4" w:space="0" w:color="auto"/>
                          <w:left w:val="single" w:sz="4" w:space="0" w:color="auto"/>
                          <w:bottom w:val="single" w:sz="4" w:space="0" w:color="auto"/>
                          <w:right w:val="single" w:sz="4" w:space="0" w:color="auto"/>
                        </w:tcBorders>
                        <w:vAlign w:val="center"/>
                      </w:tcPr>
                      <w:p w14:paraId="2C310455" w14:textId="77777777" w:rsidR="00A50FA4" w:rsidRPr="004B14BD" w:rsidRDefault="00A50FA4" w:rsidP="00A50FA4">
                        <w:pPr>
                          <w:jc w:val="center"/>
                          <w:rPr>
                            <w:szCs w:val="19"/>
                          </w:rPr>
                        </w:pPr>
                        <w:r w:rsidRPr="004B14BD">
                          <w:rPr>
                            <w:szCs w:val="19"/>
                          </w:rPr>
                          <w:t>50</w:t>
                        </w:r>
                      </w:p>
                    </w:tc>
                  </w:tr>
                </w:tbl>
                <w:p w14:paraId="1E41E55B" w14:textId="4B6247B8" w:rsidR="00A50FA4" w:rsidRPr="004B14BD" w:rsidRDefault="00A50FA4" w:rsidP="00A50FA4">
                  <w:pPr>
                    <w:rPr>
                      <w:rFonts w:cs="Verdana"/>
                      <w:sz w:val="16"/>
                      <w:szCs w:val="16"/>
                    </w:rPr>
                  </w:pPr>
                  <w:r w:rsidRPr="004B14BD">
                    <w:rPr>
                      <w:rFonts w:cs="Verdana"/>
                      <w:sz w:val="16"/>
                      <w:szCs w:val="16"/>
                    </w:rPr>
                    <w:t xml:space="preserve">Grænseværdierne er angivet som det A-vægtede ækvivalente korrigerede støjniveau. Grænseværdierne skal overholdes inden for følgende </w:t>
                  </w:r>
                  <w:r w:rsidR="0057342A">
                    <w:rPr>
                      <w:rFonts w:cs="Verdana"/>
                      <w:sz w:val="16"/>
                      <w:szCs w:val="16"/>
                    </w:rPr>
                    <w:t>referenceperioder</w:t>
                  </w:r>
                  <w:r w:rsidRPr="004B14BD">
                    <w:rPr>
                      <w:rFonts w:cs="Verdana"/>
                      <w:sz w:val="16"/>
                      <w:szCs w:val="16"/>
                    </w:rPr>
                    <w:t>: om dagen 8 timer, om aftenen 1 time og om natten ½ time. Maksimalværdien er dog en øjebliksværdi og måles med tidsvægtning FAST.</w:t>
                  </w:r>
                  <w:r w:rsidR="009A5B5F">
                    <w:rPr>
                      <w:rFonts w:cs="Verdana"/>
                      <w:sz w:val="16"/>
                      <w:szCs w:val="16"/>
                    </w:rPr>
                    <w:t xml:space="preserve"> </w:t>
                  </w:r>
                  <w:bookmarkStart w:id="8" w:name="_Hlk120866517"/>
                  <w:r w:rsidR="009A5B5F" w:rsidRPr="00A4763A">
                    <w:rPr>
                      <w:rFonts w:cs="Verdana"/>
                      <w:sz w:val="16"/>
                      <w:szCs w:val="16"/>
                    </w:rPr>
                    <w:t xml:space="preserve">Grænseværdierne gælder, når anlægget udfører test og vedligeholdelsesdrift </w:t>
                  </w:r>
                  <w:r w:rsidR="009A5B5F" w:rsidRPr="00A4763A">
                    <w:rPr>
                      <w:sz w:val="16"/>
                      <w:szCs w:val="16"/>
                    </w:rPr>
                    <w:t>(maksimal normaldrift</w:t>
                  </w:r>
                  <w:r w:rsidR="009A5B5F" w:rsidRPr="00A4763A">
                    <w:rPr>
                      <w:rStyle w:val="Fodnotehenvisning"/>
                      <w:sz w:val="16"/>
                      <w:szCs w:val="16"/>
                    </w:rPr>
                    <w:footnoteReference w:id="7"/>
                  </w:r>
                  <w:r w:rsidR="009A5B5F" w:rsidRPr="00A4763A">
                    <w:rPr>
                      <w:sz w:val="16"/>
                      <w:szCs w:val="16"/>
                    </w:rPr>
                    <w:t>).</w:t>
                  </w:r>
                  <w:bookmarkEnd w:id="8"/>
                </w:p>
              </w:tc>
            </w:tr>
          </w:tbl>
          <w:p w14:paraId="1F66E2E4" w14:textId="6CE7C5CF" w:rsidR="00A50FA4" w:rsidRPr="004B14BD" w:rsidRDefault="00A50FA4" w:rsidP="00A50FA4">
            <w:pPr>
              <w:pStyle w:val="Overskrift2"/>
            </w:pPr>
            <w:bookmarkStart w:id="10" w:name="_Toc120196501"/>
            <w:r w:rsidRPr="004B14BD">
              <w:lastRenderedPageBreak/>
              <w:t>Lavfrekvent støj</w:t>
            </w:r>
            <w:r w:rsidR="00C45BF3" w:rsidRPr="004B14BD">
              <w:t xml:space="preserve"> og infralyd</w:t>
            </w:r>
            <w:bookmarkEnd w:id="10"/>
          </w:p>
          <w:p w14:paraId="491B1321" w14:textId="77777777" w:rsidR="00A50FA4" w:rsidRPr="004B14BD" w:rsidRDefault="00A50FA4" w:rsidP="00A50FA4"/>
          <w:p w14:paraId="2EB9ABB6" w14:textId="77777777" w:rsidR="00A50FA4" w:rsidRPr="004B14BD" w:rsidRDefault="00A50FA4" w:rsidP="00862B16">
            <w:pPr>
              <w:pStyle w:val="Listeafsnit"/>
              <w:numPr>
                <w:ilvl w:val="0"/>
                <w:numId w:val="14"/>
              </w:numPr>
            </w:pPr>
            <w:r w:rsidRPr="004B14BD">
              <w:t>Virksomhedens bidrag til lavfrekvent støj og infralyd målt indendørs i bygninger uden for eget areal må ikke overskride følgende værdier:</w:t>
            </w:r>
          </w:p>
          <w:p w14:paraId="23FD2CFA" w14:textId="77777777" w:rsidR="00A50FA4" w:rsidRPr="004B14BD" w:rsidRDefault="00A50FA4" w:rsidP="00A50FA4"/>
          <w:tbl>
            <w:tblPr>
              <w:tblStyle w:val="Tabel-Gitter"/>
              <w:tblW w:w="5000" w:type="pct"/>
              <w:tblLook w:val="04A0" w:firstRow="1" w:lastRow="0" w:firstColumn="1" w:lastColumn="0" w:noHBand="0" w:noVBand="1"/>
            </w:tblPr>
            <w:tblGrid>
              <w:gridCol w:w="2311"/>
              <w:gridCol w:w="2311"/>
              <w:gridCol w:w="2312"/>
              <w:gridCol w:w="2312"/>
            </w:tblGrid>
            <w:tr w:rsidR="00A50FA4" w:rsidRPr="004B14BD" w14:paraId="00BF5F2A" w14:textId="77777777" w:rsidTr="008B0159">
              <w:tc>
                <w:tcPr>
                  <w:tcW w:w="2499" w:type="pct"/>
                  <w:gridSpan w:val="2"/>
                </w:tcPr>
                <w:p w14:paraId="42B32DB7" w14:textId="77777777" w:rsidR="00A50FA4" w:rsidRPr="004B14BD" w:rsidRDefault="00A50FA4" w:rsidP="00A50FA4"/>
              </w:tc>
              <w:tc>
                <w:tcPr>
                  <w:tcW w:w="1250" w:type="pct"/>
                </w:tcPr>
                <w:p w14:paraId="6EED967A" w14:textId="77777777" w:rsidR="00A50FA4" w:rsidRPr="004B14BD" w:rsidRDefault="00A50FA4" w:rsidP="00A50FA4">
                  <w:pPr>
                    <w:rPr>
                      <w:b/>
                      <w:bCs/>
                    </w:rPr>
                  </w:pPr>
                  <w:r w:rsidRPr="004B14BD">
                    <w:rPr>
                      <w:b/>
                      <w:bCs/>
                    </w:rPr>
                    <w:t>A-vægtet lydtryksniveau (10-160 Hz), dB</w:t>
                  </w:r>
                </w:p>
              </w:tc>
              <w:tc>
                <w:tcPr>
                  <w:tcW w:w="1250" w:type="pct"/>
                </w:tcPr>
                <w:p w14:paraId="2BB2ADB9" w14:textId="77777777" w:rsidR="00A50FA4" w:rsidRPr="004B14BD" w:rsidRDefault="00A50FA4" w:rsidP="00A50FA4">
                  <w:pPr>
                    <w:rPr>
                      <w:b/>
                      <w:bCs/>
                    </w:rPr>
                  </w:pPr>
                  <w:r w:rsidRPr="004B14BD">
                    <w:rPr>
                      <w:b/>
                      <w:bCs/>
                    </w:rPr>
                    <w:t>G-vægtet infralydniveau dB</w:t>
                  </w:r>
                </w:p>
              </w:tc>
            </w:tr>
            <w:tr w:rsidR="00A50FA4" w:rsidRPr="004B14BD" w14:paraId="5DA99058" w14:textId="77777777" w:rsidTr="008B0159">
              <w:tc>
                <w:tcPr>
                  <w:tcW w:w="1250" w:type="pct"/>
                  <w:vMerge w:val="restart"/>
                </w:tcPr>
                <w:p w14:paraId="48B27046" w14:textId="77777777" w:rsidR="00A50FA4" w:rsidRPr="004B14BD" w:rsidRDefault="00A50FA4" w:rsidP="00A50FA4">
                  <w:pPr>
                    <w:rPr>
                      <w:b/>
                      <w:bCs/>
                    </w:rPr>
                  </w:pPr>
                  <w:r w:rsidRPr="004B14BD">
                    <w:rPr>
                      <w:b/>
                      <w:bCs/>
                    </w:rPr>
                    <w:t xml:space="preserve">Beboelsesrum, </w:t>
                  </w:r>
                </w:p>
                <w:p w14:paraId="008A191B" w14:textId="77777777" w:rsidR="00A50FA4" w:rsidRPr="004B14BD" w:rsidRDefault="00A50FA4" w:rsidP="00A50FA4">
                  <w:pPr>
                    <w:rPr>
                      <w:b/>
                      <w:bCs/>
                    </w:rPr>
                  </w:pPr>
                  <w:r w:rsidRPr="004B14BD">
                    <w:rPr>
                      <w:b/>
                      <w:bCs/>
                    </w:rPr>
                    <w:lastRenderedPageBreak/>
                    <w:t>herunder børneinstitutioner og lignende</w:t>
                  </w:r>
                </w:p>
              </w:tc>
              <w:tc>
                <w:tcPr>
                  <w:tcW w:w="1250" w:type="pct"/>
                </w:tcPr>
                <w:p w14:paraId="4CF1E06C" w14:textId="77777777" w:rsidR="00A50FA4" w:rsidRPr="004B14BD" w:rsidRDefault="00A50FA4" w:rsidP="00A50FA4"/>
                <w:p w14:paraId="763B713D" w14:textId="77777777" w:rsidR="00A50FA4" w:rsidRPr="004B14BD" w:rsidRDefault="00A50FA4" w:rsidP="00A50FA4">
                  <w:r w:rsidRPr="004B14BD">
                    <w:lastRenderedPageBreak/>
                    <w:t>Aften/nat: kl. 18-7</w:t>
                  </w:r>
                </w:p>
              </w:tc>
              <w:tc>
                <w:tcPr>
                  <w:tcW w:w="1250" w:type="pct"/>
                </w:tcPr>
                <w:p w14:paraId="61742CF1" w14:textId="77777777" w:rsidR="00A50FA4" w:rsidRPr="004B14BD" w:rsidRDefault="00A50FA4" w:rsidP="00A50FA4">
                  <w:r w:rsidRPr="004B14BD">
                    <w:lastRenderedPageBreak/>
                    <w:t>20</w:t>
                  </w:r>
                </w:p>
              </w:tc>
              <w:tc>
                <w:tcPr>
                  <w:tcW w:w="1250" w:type="pct"/>
                </w:tcPr>
                <w:p w14:paraId="40ECF616" w14:textId="77777777" w:rsidR="00A50FA4" w:rsidRPr="004B14BD" w:rsidRDefault="00A50FA4" w:rsidP="00A50FA4">
                  <w:r w:rsidRPr="004B14BD">
                    <w:t>85</w:t>
                  </w:r>
                </w:p>
              </w:tc>
            </w:tr>
            <w:tr w:rsidR="00A50FA4" w:rsidRPr="004B14BD" w14:paraId="7EF6BBE1" w14:textId="77777777" w:rsidTr="008B0159">
              <w:tc>
                <w:tcPr>
                  <w:tcW w:w="1250" w:type="pct"/>
                  <w:vMerge/>
                </w:tcPr>
                <w:p w14:paraId="4D135E74" w14:textId="77777777" w:rsidR="00A50FA4" w:rsidRPr="004B14BD" w:rsidRDefault="00A50FA4" w:rsidP="00A50FA4">
                  <w:pPr>
                    <w:rPr>
                      <w:b/>
                      <w:bCs/>
                    </w:rPr>
                  </w:pPr>
                </w:p>
              </w:tc>
              <w:tc>
                <w:tcPr>
                  <w:tcW w:w="1250" w:type="pct"/>
                </w:tcPr>
                <w:p w14:paraId="7B1B63D9" w14:textId="77777777" w:rsidR="00A50FA4" w:rsidRPr="004B14BD" w:rsidRDefault="00A50FA4" w:rsidP="00A50FA4"/>
                <w:p w14:paraId="64D2889F" w14:textId="77777777" w:rsidR="00A50FA4" w:rsidRPr="004B14BD" w:rsidRDefault="00A50FA4" w:rsidP="00A50FA4">
                  <w:r w:rsidRPr="004B14BD">
                    <w:t>Dag: Kl. 7-18</w:t>
                  </w:r>
                </w:p>
              </w:tc>
              <w:tc>
                <w:tcPr>
                  <w:tcW w:w="1250" w:type="pct"/>
                </w:tcPr>
                <w:p w14:paraId="7BD02149" w14:textId="77777777" w:rsidR="00A50FA4" w:rsidRPr="004B14BD" w:rsidRDefault="00A50FA4" w:rsidP="00A50FA4">
                  <w:r w:rsidRPr="004B14BD">
                    <w:t>25</w:t>
                  </w:r>
                </w:p>
              </w:tc>
              <w:tc>
                <w:tcPr>
                  <w:tcW w:w="1250" w:type="pct"/>
                </w:tcPr>
                <w:p w14:paraId="7A99F270" w14:textId="77777777" w:rsidR="00A50FA4" w:rsidRPr="004B14BD" w:rsidRDefault="00A50FA4" w:rsidP="00A50FA4">
                  <w:r w:rsidRPr="004B14BD">
                    <w:t>85</w:t>
                  </w:r>
                </w:p>
              </w:tc>
            </w:tr>
            <w:tr w:rsidR="00A50FA4" w:rsidRPr="004B14BD" w14:paraId="2478ED53" w14:textId="77777777" w:rsidTr="008B0159">
              <w:tc>
                <w:tcPr>
                  <w:tcW w:w="1250" w:type="pct"/>
                </w:tcPr>
                <w:p w14:paraId="5A92970E" w14:textId="77777777" w:rsidR="00A50FA4" w:rsidRPr="004B14BD" w:rsidRDefault="00A50FA4" w:rsidP="00A50FA4">
                  <w:pPr>
                    <w:rPr>
                      <w:b/>
                      <w:bCs/>
                    </w:rPr>
                  </w:pPr>
                  <w:r w:rsidRPr="004B14BD">
                    <w:rPr>
                      <w:b/>
                      <w:bCs/>
                    </w:rPr>
                    <w:t>Kontorer, undervisningslokaler o. lign.</w:t>
                  </w:r>
                </w:p>
                <w:p w14:paraId="44B9D8B7" w14:textId="77777777" w:rsidR="00A50FA4" w:rsidRPr="004B14BD" w:rsidRDefault="00A50FA4" w:rsidP="00A50FA4">
                  <w:pPr>
                    <w:rPr>
                      <w:b/>
                      <w:bCs/>
                    </w:rPr>
                  </w:pPr>
                  <w:r w:rsidRPr="004B14BD">
                    <w:rPr>
                      <w:b/>
                      <w:bCs/>
                    </w:rPr>
                    <w:t>støjfølsomme rum</w:t>
                  </w:r>
                </w:p>
              </w:tc>
              <w:tc>
                <w:tcPr>
                  <w:tcW w:w="1250" w:type="pct"/>
                </w:tcPr>
                <w:p w14:paraId="28BBBC26" w14:textId="77777777" w:rsidR="00A50FA4" w:rsidRPr="004B14BD" w:rsidRDefault="00A50FA4" w:rsidP="00A50FA4"/>
              </w:tc>
              <w:tc>
                <w:tcPr>
                  <w:tcW w:w="1250" w:type="pct"/>
                </w:tcPr>
                <w:p w14:paraId="452DC536" w14:textId="77777777" w:rsidR="00A50FA4" w:rsidRPr="004B14BD" w:rsidRDefault="00A50FA4" w:rsidP="00A50FA4">
                  <w:r w:rsidRPr="004B14BD">
                    <w:t>30</w:t>
                  </w:r>
                </w:p>
              </w:tc>
              <w:tc>
                <w:tcPr>
                  <w:tcW w:w="1250" w:type="pct"/>
                </w:tcPr>
                <w:p w14:paraId="07F3866E" w14:textId="77777777" w:rsidR="00A50FA4" w:rsidRPr="004B14BD" w:rsidRDefault="00A50FA4" w:rsidP="00A50FA4">
                  <w:r w:rsidRPr="004B14BD">
                    <w:t>85</w:t>
                  </w:r>
                </w:p>
              </w:tc>
            </w:tr>
            <w:tr w:rsidR="00A50FA4" w:rsidRPr="004B14BD" w14:paraId="4AAE9DEF" w14:textId="77777777" w:rsidTr="008B0159">
              <w:tc>
                <w:tcPr>
                  <w:tcW w:w="1250" w:type="pct"/>
                </w:tcPr>
                <w:p w14:paraId="4E3547F1" w14:textId="77777777" w:rsidR="00A50FA4" w:rsidRPr="004B14BD" w:rsidRDefault="00A50FA4" w:rsidP="00A50FA4">
                  <w:pPr>
                    <w:rPr>
                      <w:b/>
                      <w:bCs/>
                    </w:rPr>
                  </w:pPr>
                  <w:r w:rsidRPr="004B14BD">
                    <w:rPr>
                      <w:b/>
                      <w:bCs/>
                    </w:rPr>
                    <w:t>Øvrige rum i virksomheder</w:t>
                  </w:r>
                </w:p>
              </w:tc>
              <w:tc>
                <w:tcPr>
                  <w:tcW w:w="1250" w:type="pct"/>
                </w:tcPr>
                <w:p w14:paraId="6D15CAA1" w14:textId="77777777" w:rsidR="00A50FA4" w:rsidRPr="004B14BD" w:rsidRDefault="00A50FA4" w:rsidP="00A50FA4"/>
              </w:tc>
              <w:tc>
                <w:tcPr>
                  <w:tcW w:w="1250" w:type="pct"/>
                </w:tcPr>
                <w:p w14:paraId="780B79C5" w14:textId="77777777" w:rsidR="00A50FA4" w:rsidRPr="004B14BD" w:rsidRDefault="00A50FA4" w:rsidP="00A50FA4">
                  <w:r w:rsidRPr="004B14BD">
                    <w:t>35</w:t>
                  </w:r>
                </w:p>
              </w:tc>
              <w:tc>
                <w:tcPr>
                  <w:tcW w:w="1250" w:type="pct"/>
                </w:tcPr>
                <w:p w14:paraId="6B4B815C" w14:textId="77777777" w:rsidR="00A50FA4" w:rsidRPr="004B14BD" w:rsidRDefault="00A50FA4" w:rsidP="00A50FA4">
                  <w:r w:rsidRPr="004B14BD">
                    <w:t>90</w:t>
                  </w:r>
                </w:p>
              </w:tc>
            </w:tr>
          </w:tbl>
          <w:p w14:paraId="2382E5B6" w14:textId="4224A021" w:rsidR="001F61C6" w:rsidRDefault="00A50FA4" w:rsidP="001F61C6">
            <w:pPr>
              <w:rPr>
                <w:sz w:val="16"/>
                <w:szCs w:val="16"/>
              </w:rPr>
            </w:pPr>
            <w:r w:rsidRPr="004B14BD">
              <w:rPr>
                <w:sz w:val="16"/>
                <w:szCs w:val="16"/>
              </w:rPr>
              <w:t>Grænseværdierne er angivet i dB (re. 20 µPa). Støjgrænserne gælder for det ækvivalente, konstante niveau over et måletidsrum på 10 minutter, hvor støjen er kraftigst.</w:t>
            </w:r>
            <w:r w:rsidR="001F61C6" w:rsidRPr="00A4763A">
              <w:rPr>
                <w:rFonts w:cs="Verdana"/>
                <w:sz w:val="16"/>
                <w:szCs w:val="16"/>
              </w:rPr>
              <w:t xml:space="preserve"> Grænseværdierne gælder, når anlægget udfører test og vedligeholdelsesdrift </w:t>
            </w:r>
            <w:r w:rsidR="001F61C6" w:rsidRPr="00A4763A">
              <w:rPr>
                <w:sz w:val="16"/>
                <w:szCs w:val="16"/>
              </w:rPr>
              <w:t>(maksimal normaldrift</w:t>
            </w:r>
            <w:r w:rsidR="001F61C6" w:rsidRPr="00A4763A">
              <w:rPr>
                <w:rStyle w:val="Fodnotehenvisning"/>
                <w:sz w:val="16"/>
                <w:szCs w:val="16"/>
              </w:rPr>
              <w:footnoteReference w:id="8"/>
            </w:r>
            <w:r w:rsidR="001F61C6" w:rsidRPr="00A4763A">
              <w:rPr>
                <w:sz w:val="16"/>
                <w:szCs w:val="16"/>
              </w:rPr>
              <w:t>).</w:t>
            </w:r>
          </w:p>
          <w:p w14:paraId="6374650D" w14:textId="594D5D8E" w:rsidR="00A50FA4" w:rsidRPr="004B14BD" w:rsidRDefault="00A50FA4" w:rsidP="00A50FA4">
            <w:pPr>
              <w:pStyle w:val="Overskrift2"/>
            </w:pPr>
            <w:bookmarkStart w:id="11" w:name="_Toc120196502"/>
            <w:r w:rsidRPr="004B14BD">
              <w:t>Vibrationer</w:t>
            </w:r>
            <w:bookmarkEnd w:id="11"/>
          </w:p>
          <w:p w14:paraId="03558F19" w14:textId="77777777" w:rsidR="00A50FA4" w:rsidRPr="004B14BD" w:rsidRDefault="00A50FA4" w:rsidP="00A50FA4"/>
          <w:p w14:paraId="045F70BA" w14:textId="77777777" w:rsidR="00A50FA4" w:rsidRPr="004B14BD" w:rsidRDefault="00A50FA4" w:rsidP="00862B16">
            <w:pPr>
              <w:pStyle w:val="Listeafsnit"/>
              <w:numPr>
                <w:ilvl w:val="0"/>
                <w:numId w:val="14"/>
              </w:numPr>
            </w:pPr>
            <w:r w:rsidRPr="004B14BD">
              <w:t>Virksomhedens vibrationsbidrag i bygninger uden for virksomhedens eget areal må ikke overstige følgende værdier:</w:t>
            </w:r>
          </w:p>
          <w:p w14:paraId="5C743D5A" w14:textId="77777777" w:rsidR="00A50FA4" w:rsidRPr="004B14BD" w:rsidRDefault="00A50FA4" w:rsidP="00A50FA4">
            <w:pPr>
              <w:rPr>
                <w:rFonts w:cs="Verdana"/>
                <w:b/>
                <w:color w:val="FF0000"/>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010"/>
            </w:tblGrid>
            <w:tr w:rsidR="00A50FA4" w:rsidRPr="004B14BD" w14:paraId="71FBCF52" w14:textId="77777777" w:rsidTr="006D2E16">
              <w:tc>
                <w:tcPr>
                  <w:tcW w:w="3372" w:type="pct"/>
                  <w:shd w:val="clear" w:color="auto" w:fill="auto"/>
                </w:tcPr>
                <w:p w14:paraId="72627EDB" w14:textId="77777777" w:rsidR="00A50FA4" w:rsidRPr="004B14BD" w:rsidRDefault="00A50FA4" w:rsidP="00A50FA4">
                  <w:pPr>
                    <w:rPr>
                      <w:b/>
                      <w:bCs/>
                    </w:rPr>
                  </w:pPr>
                  <w:r w:rsidRPr="004B14BD">
                    <w:rPr>
                      <w:b/>
                      <w:bCs/>
                    </w:rPr>
                    <w:t>Anvendelse</w:t>
                  </w:r>
                </w:p>
              </w:tc>
              <w:tc>
                <w:tcPr>
                  <w:tcW w:w="1628" w:type="pct"/>
                  <w:shd w:val="clear" w:color="auto" w:fill="auto"/>
                </w:tcPr>
                <w:p w14:paraId="47A99D9B" w14:textId="14EDCC4F" w:rsidR="00A50FA4" w:rsidRPr="004B14BD" w:rsidRDefault="00882D1E" w:rsidP="00A50FA4">
                  <w:pPr>
                    <w:jc w:val="center"/>
                    <w:rPr>
                      <w:b/>
                      <w:bCs/>
                    </w:rPr>
                  </w:pPr>
                  <w:r w:rsidRPr="004B14BD">
                    <w:rPr>
                      <w:b/>
                      <w:bCs/>
                    </w:rPr>
                    <w:t>Hele døgnet</w:t>
                  </w:r>
                </w:p>
                <w:p w14:paraId="51101B80" w14:textId="77777777" w:rsidR="00A50FA4" w:rsidRPr="004B14BD" w:rsidRDefault="00A50FA4" w:rsidP="00A50FA4">
                  <w:pPr>
                    <w:jc w:val="center"/>
                    <w:rPr>
                      <w:b/>
                      <w:bCs/>
                    </w:rPr>
                  </w:pPr>
                  <w:r w:rsidRPr="004B14BD">
                    <w:rPr>
                      <w:b/>
                      <w:bCs/>
                    </w:rPr>
                    <w:t>dB</w:t>
                  </w:r>
                </w:p>
              </w:tc>
            </w:tr>
            <w:tr w:rsidR="00A50FA4" w:rsidRPr="004B14BD" w14:paraId="0026C27A" w14:textId="77777777" w:rsidTr="006D2E16">
              <w:tc>
                <w:tcPr>
                  <w:tcW w:w="3372" w:type="pct"/>
                  <w:shd w:val="clear" w:color="auto" w:fill="auto"/>
                </w:tcPr>
                <w:p w14:paraId="644D641D" w14:textId="77777777" w:rsidR="00A50FA4" w:rsidRPr="004B14BD" w:rsidRDefault="00A50FA4" w:rsidP="00A50FA4">
                  <w:pPr>
                    <w:rPr>
                      <w:b/>
                      <w:bCs/>
                    </w:rPr>
                  </w:pPr>
                  <w:r w:rsidRPr="004B14BD">
                    <w:t>Boliger, institutioner</w:t>
                  </w:r>
                </w:p>
              </w:tc>
              <w:tc>
                <w:tcPr>
                  <w:tcW w:w="1628" w:type="pct"/>
                  <w:shd w:val="clear" w:color="auto" w:fill="auto"/>
                </w:tcPr>
                <w:p w14:paraId="080698F6" w14:textId="77777777" w:rsidR="00A50FA4" w:rsidRPr="004B14BD" w:rsidRDefault="00A50FA4" w:rsidP="00A50FA4">
                  <w:pPr>
                    <w:ind w:left="360"/>
                    <w:jc w:val="center"/>
                  </w:pPr>
                  <w:r w:rsidRPr="004B14BD">
                    <w:t>75</w:t>
                  </w:r>
                </w:p>
              </w:tc>
            </w:tr>
            <w:tr w:rsidR="00A50FA4" w:rsidRPr="004B14BD" w14:paraId="358954F9" w14:textId="77777777" w:rsidTr="006D2E16">
              <w:tc>
                <w:tcPr>
                  <w:tcW w:w="3372" w:type="pct"/>
                  <w:shd w:val="clear" w:color="auto" w:fill="auto"/>
                </w:tcPr>
                <w:p w14:paraId="69FF8322" w14:textId="77777777" w:rsidR="00A50FA4" w:rsidRPr="004B14BD" w:rsidRDefault="00A50FA4" w:rsidP="00A50FA4">
                  <w:r w:rsidRPr="004B14BD">
                    <w:t>Kontorer, undervisningslokaler, og andre lignende støjfølsomme rum</w:t>
                  </w:r>
                </w:p>
              </w:tc>
              <w:tc>
                <w:tcPr>
                  <w:tcW w:w="1628" w:type="pct"/>
                  <w:shd w:val="clear" w:color="auto" w:fill="auto"/>
                </w:tcPr>
                <w:p w14:paraId="0A568DC4" w14:textId="77777777" w:rsidR="00A50FA4" w:rsidRPr="004B14BD" w:rsidRDefault="00A50FA4" w:rsidP="00A50FA4">
                  <w:pPr>
                    <w:ind w:left="360"/>
                    <w:jc w:val="center"/>
                  </w:pPr>
                  <w:r w:rsidRPr="004B14BD">
                    <w:t>80</w:t>
                  </w:r>
                </w:p>
              </w:tc>
            </w:tr>
            <w:tr w:rsidR="00A50FA4" w:rsidRPr="004B14BD" w14:paraId="465C7F37" w14:textId="77777777" w:rsidTr="006D2E16">
              <w:tc>
                <w:tcPr>
                  <w:tcW w:w="3372" w:type="pct"/>
                  <w:shd w:val="clear" w:color="auto" w:fill="auto"/>
                </w:tcPr>
                <w:p w14:paraId="708D93D8" w14:textId="77777777" w:rsidR="00A50FA4" w:rsidRPr="004B14BD" w:rsidRDefault="00A50FA4" w:rsidP="00A50FA4">
                  <w:r w:rsidRPr="004B14BD">
                    <w:t>Øvrige rum i virksomheder</w:t>
                  </w:r>
                </w:p>
              </w:tc>
              <w:tc>
                <w:tcPr>
                  <w:tcW w:w="1628" w:type="pct"/>
                  <w:shd w:val="clear" w:color="auto" w:fill="auto"/>
                </w:tcPr>
                <w:p w14:paraId="026DB8F0" w14:textId="77777777" w:rsidR="00A50FA4" w:rsidRPr="004B14BD" w:rsidRDefault="00A50FA4" w:rsidP="00A50FA4">
                  <w:pPr>
                    <w:ind w:left="360"/>
                    <w:jc w:val="center"/>
                  </w:pPr>
                  <w:r w:rsidRPr="004B14BD">
                    <w:t>85</w:t>
                  </w:r>
                </w:p>
              </w:tc>
            </w:tr>
          </w:tbl>
          <w:p w14:paraId="0E760C8C" w14:textId="67C79A6D" w:rsidR="00AB2275" w:rsidRDefault="00A50FA4" w:rsidP="00AB2275">
            <w:pPr>
              <w:rPr>
                <w:sz w:val="16"/>
                <w:szCs w:val="16"/>
              </w:rPr>
            </w:pPr>
            <w:r w:rsidRPr="004B14BD">
              <w:rPr>
                <w:sz w:val="16"/>
                <w:szCs w:val="16"/>
              </w:rPr>
              <w:t>Bidraget måles som det maksimale KB-vægtede accelerationsniveau i dB re. 10-6 m/s</w:t>
            </w:r>
            <w:r w:rsidRPr="004B14BD">
              <w:rPr>
                <w:sz w:val="16"/>
                <w:szCs w:val="16"/>
                <w:vertAlign w:val="superscript"/>
              </w:rPr>
              <w:t>2</w:t>
            </w:r>
            <w:r w:rsidRPr="004B14BD">
              <w:rPr>
                <w:sz w:val="16"/>
                <w:szCs w:val="16"/>
              </w:rPr>
              <w:t xml:space="preserve"> med integrationstid på 2 sek. Vibrationsbidraget måles i det mest belastede punkt i bygningen. Grænseværdierne anses for overholdt, hvis bidraget målt i terræn eller bygningsfundament er 15 dB lavere end tabellens værdier.</w:t>
            </w:r>
            <w:r w:rsidR="00AB2275" w:rsidRPr="00A4763A">
              <w:rPr>
                <w:rFonts w:cs="Verdana"/>
                <w:sz w:val="16"/>
                <w:szCs w:val="16"/>
              </w:rPr>
              <w:t xml:space="preserve"> Grænseværdierne gælder, når anlægget udfører test og vedligeholdelsesdrift </w:t>
            </w:r>
            <w:r w:rsidR="00AB2275" w:rsidRPr="00A4763A">
              <w:rPr>
                <w:sz w:val="16"/>
                <w:szCs w:val="16"/>
              </w:rPr>
              <w:t>(maksimal normaldrift</w:t>
            </w:r>
            <w:r w:rsidR="00AB2275" w:rsidRPr="00A4763A">
              <w:rPr>
                <w:rStyle w:val="Fodnotehenvisning"/>
                <w:sz w:val="16"/>
                <w:szCs w:val="16"/>
              </w:rPr>
              <w:footnoteReference w:id="9"/>
            </w:r>
            <w:r w:rsidR="00AB2275" w:rsidRPr="00A4763A">
              <w:rPr>
                <w:sz w:val="16"/>
                <w:szCs w:val="16"/>
              </w:rPr>
              <w:t>).</w:t>
            </w:r>
          </w:p>
          <w:p w14:paraId="5CA5ECF0" w14:textId="61CC0BAF" w:rsidR="00A50FA4" w:rsidRPr="004B14BD" w:rsidRDefault="00A50FA4" w:rsidP="000036B7">
            <w:pPr>
              <w:rPr>
                <w:sz w:val="16"/>
                <w:szCs w:val="16"/>
              </w:rPr>
            </w:pPr>
          </w:p>
          <w:p w14:paraId="2B66D408" w14:textId="6206CB3C" w:rsidR="00E07BE5" w:rsidRPr="004B14BD" w:rsidRDefault="00E911A3" w:rsidP="001F653A">
            <w:pPr>
              <w:pStyle w:val="Overskrift2"/>
            </w:pPr>
            <w:bookmarkStart w:id="12" w:name="_Toc120196503"/>
            <w:r w:rsidRPr="004B14BD">
              <w:t>Luftforurening</w:t>
            </w:r>
            <w:bookmarkEnd w:id="12"/>
          </w:p>
          <w:p w14:paraId="4BA595A6" w14:textId="77777777" w:rsidR="00297A24" w:rsidRPr="004B14BD" w:rsidRDefault="00297A24" w:rsidP="00297A24">
            <w:pPr>
              <w:pStyle w:val="Listeafsnit"/>
              <w:rPr>
                <w:color w:val="FF0000"/>
              </w:rPr>
            </w:pPr>
          </w:p>
          <w:p w14:paraId="396BBB73" w14:textId="54A443A3" w:rsidR="00B46CE8" w:rsidRPr="00194B2B" w:rsidRDefault="00297A24" w:rsidP="00FB113C">
            <w:pPr>
              <w:pStyle w:val="Listeafsnit"/>
              <w:numPr>
                <w:ilvl w:val="0"/>
                <w:numId w:val="14"/>
              </w:numPr>
            </w:pPr>
            <w:r w:rsidRPr="004B14BD">
              <w:t>Virksomheden skal overholde</w:t>
            </w:r>
            <w:r w:rsidR="001A1866" w:rsidRPr="004B14BD">
              <w:t xml:space="preserve"> de</w:t>
            </w:r>
            <w:r w:rsidRPr="004B14BD">
              <w:t xml:space="preserve"> emissionsgrænseværdier for NOx og CO </w:t>
            </w:r>
            <w:r w:rsidR="00943DCB" w:rsidRPr="004B14BD">
              <w:t xml:space="preserve">under repræsentative driftsforhold </w:t>
            </w:r>
            <w:r w:rsidR="00951C0A" w:rsidRPr="004B14BD">
              <w:t xml:space="preserve">i test- og vedligeholdelsesdrift </w:t>
            </w:r>
            <w:r w:rsidR="00943DCB" w:rsidRPr="004B14BD">
              <w:t>(maksimal normaldrift</w:t>
            </w:r>
            <w:r w:rsidR="00FD1C2F">
              <w:rPr>
                <w:rStyle w:val="Fodnotehenvisning"/>
              </w:rPr>
              <w:footnoteReference w:id="10"/>
            </w:r>
            <w:r w:rsidR="00943DCB" w:rsidRPr="004B14BD">
              <w:t>)</w:t>
            </w:r>
            <w:r w:rsidRPr="004B14BD">
              <w:t xml:space="preserve">, som ved en OML-beregning kan eftervises at overholde </w:t>
            </w:r>
            <w:r w:rsidR="005906B2" w:rsidRPr="004B14BD">
              <w:t>B-værdi</w:t>
            </w:r>
            <w:r w:rsidRPr="004B14BD">
              <w:t xml:space="preserve">erne i vilkår </w:t>
            </w:r>
            <w:r w:rsidR="006C6A8A">
              <w:t>19.</w:t>
            </w:r>
            <w:r w:rsidRPr="004B14BD">
              <w:t xml:space="preserve"> NO</w:t>
            </w:r>
            <w:r w:rsidRPr="00194B2B">
              <w:rPr>
                <w:vertAlign w:val="subscript"/>
              </w:rPr>
              <w:t>2</w:t>
            </w:r>
            <w:r w:rsidRPr="004B14BD">
              <w:t xml:space="preserve"> indholdet i den målte NOx koncentration skal beregnes som </w:t>
            </w:r>
            <w:r w:rsidR="00331611" w:rsidRPr="004B14BD">
              <w:t>20</w:t>
            </w:r>
            <w:r w:rsidRPr="004B14BD">
              <w:t xml:space="preserve"> %.</w:t>
            </w:r>
            <w:r w:rsidR="00F73C51">
              <w:t xml:space="preserve"> </w:t>
            </w:r>
          </w:p>
          <w:p w14:paraId="3CC3AB9E" w14:textId="77777777" w:rsidR="00194B2B" w:rsidRPr="00C15F92" w:rsidRDefault="00194B2B" w:rsidP="00194B2B">
            <w:pPr>
              <w:pStyle w:val="Listeafsnit"/>
            </w:pPr>
          </w:p>
          <w:p w14:paraId="64139780" w14:textId="77777777" w:rsidR="00B46CE8" w:rsidRPr="004B14BD" w:rsidRDefault="00B46CE8" w:rsidP="00B46CE8">
            <w:pPr>
              <w:pStyle w:val="Listeafsnit"/>
            </w:pPr>
            <w:r w:rsidRPr="004B14BD">
              <w:t xml:space="preserve">Emissionsgrænseværdierne gælder for hvert enkelt luftafkast for sig. </w:t>
            </w:r>
          </w:p>
          <w:p w14:paraId="7ABD23B5" w14:textId="450FDA1A" w:rsidR="00C15F92" w:rsidRDefault="00C15F92" w:rsidP="00C15F92">
            <w:pPr>
              <w:pStyle w:val="Listeafsnit"/>
            </w:pPr>
          </w:p>
          <w:p w14:paraId="0C2F0153" w14:textId="4E756F57" w:rsidR="00C15F92" w:rsidRPr="004B14BD" w:rsidRDefault="00C15F92" w:rsidP="00C15F92">
            <w:pPr>
              <w:pStyle w:val="Listeafsnit"/>
            </w:pPr>
            <w:r>
              <w:t>Emissionsgrænseværdierne fundet ved præstat</w:t>
            </w:r>
            <w:r w:rsidR="006B7276">
              <w:t xml:space="preserve">ionskontrol, som danner grundlag for overholdelse af B-værdierne skal fremsendes til </w:t>
            </w:r>
            <w:r w:rsidR="00EC6499">
              <w:t>kommunen</w:t>
            </w:r>
            <w:r w:rsidR="006B7276">
              <w:t xml:space="preserve"> efter måling.</w:t>
            </w:r>
          </w:p>
          <w:p w14:paraId="5485F729" w14:textId="77777777" w:rsidR="00F35F80" w:rsidRPr="004B14BD" w:rsidRDefault="00F35F80" w:rsidP="006F5C0A">
            <w:pPr>
              <w:rPr>
                <w:color w:val="FF0000"/>
              </w:rPr>
            </w:pPr>
          </w:p>
          <w:p w14:paraId="35C1A630" w14:textId="50267FA1" w:rsidR="00F35F80" w:rsidRPr="004B14BD" w:rsidRDefault="00F35F80" w:rsidP="00862B16">
            <w:pPr>
              <w:pStyle w:val="Listeafsnit"/>
              <w:numPr>
                <w:ilvl w:val="0"/>
                <w:numId w:val="14"/>
              </w:numPr>
            </w:pPr>
            <w:r w:rsidRPr="004B14BD">
              <w:t>Virksomhedens bidrag til luftforureningen i omgivelserne må ved testkørsel</w:t>
            </w:r>
            <w:r w:rsidR="00CA51E8" w:rsidRPr="004B14BD">
              <w:t>, hvor 1 generator er i drift,</w:t>
            </w:r>
            <w:r w:rsidRPr="004B14BD">
              <w:t xml:space="preserve"> ikke overskride følgende </w:t>
            </w:r>
            <w:r w:rsidR="005906B2" w:rsidRPr="004B14BD">
              <w:t>B-værdi</w:t>
            </w:r>
            <w:r w:rsidRPr="004B14BD">
              <w:t>er (immission), der gælder for virksomhedens samlede bidrag til omgivelserne udenfor virksomhedens grund:</w:t>
            </w:r>
          </w:p>
          <w:p w14:paraId="611156A7" w14:textId="77777777" w:rsidR="00F35F80" w:rsidRPr="004B14BD" w:rsidRDefault="00F35F80" w:rsidP="00F35F80">
            <w:pPr>
              <w:rPr>
                <w:highlight w:val="yellow"/>
              </w:rPr>
            </w:pPr>
          </w:p>
          <w:tbl>
            <w:tblPr>
              <w:tblW w:w="877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38"/>
              <w:gridCol w:w="6240"/>
            </w:tblGrid>
            <w:tr w:rsidR="00CA51E8" w:rsidRPr="004B14BD" w14:paraId="3F597B0A" w14:textId="77777777" w:rsidTr="008B525A">
              <w:tc>
                <w:tcPr>
                  <w:tcW w:w="2538" w:type="dxa"/>
                  <w:shd w:val="clear" w:color="auto" w:fill="auto"/>
                </w:tcPr>
                <w:p w14:paraId="71362EFD" w14:textId="77777777" w:rsidR="00F35F80" w:rsidRPr="004B14BD" w:rsidRDefault="00F35F80" w:rsidP="00F35F80">
                  <w:pPr>
                    <w:rPr>
                      <w:b/>
                      <w:bCs/>
                      <w:highlight w:val="yellow"/>
                    </w:rPr>
                  </w:pPr>
                  <w:r w:rsidRPr="004B14BD">
                    <w:rPr>
                      <w:b/>
                      <w:bCs/>
                    </w:rPr>
                    <w:t>Stof</w:t>
                  </w:r>
                </w:p>
              </w:tc>
              <w:tc>
                <w:tcPr>
                  <w:tcW w:w="6240" w:type="dxa"/>
                  <w:shd w:val="clear" w:color="auto" w:fill="auto"/>
                </w:tcPr>
                <w:p w14:paraId="46B59672" w14:textId="20B718F8" w:rsidR="00F35F80" w:rsidRPr="004B14BD" w:rsidRDefault="005906B2" w:rsidP="00F35F80">
                  <w:pPr>
                    <w:rPr>
                      <w:b/>
                      <w:bCs/>
                      <w:highlight w:val="yellow"/>
                      <w:vertAlign w:val="superscript"/>
                    </w:rPr>
                  </w:pPr>
                  <w:r w:rsidRPr="004B14BD">
                    <w:rPr>
                      <w:b/>
                      <w:bCs/>
                    </w:rPr>
                    <w:t>B-værdi</w:t>
                  </w:r>
                  <w:r w:rsidR="00F35F80" w:rsidRPr="004B14BD">
                    <w:rPr>
                      <w:b/>
                      <w:bCs/>
                    </w:rPr>
                    <w:t>er (mg/m</w:t>
                  </w:r>
                  <w:r w:rsidR="00F35F80" w:rsidRPr="004B14BD">
                    <w:rPr>
                      <w:b/>
                      <w:bCs/>
                      <w:vertAlign w:val="superscript"/>
                    </w:rPr>
                    <w:t>3</w:t>
                  </w:r>
                  <w:r w:rsidR="00F35F80" w:rsidRPr="004B14BD">
                    <w:rPr>
                      <w:b/>
                      <w:bCs/>
                    </w:rPr>
                    <w:t>)</w:t>
                  </w:r>
                </w:p>
              </w:tc>
            </w:tr>
            <w:tr w:rsidR="00CA51E8" w:rsidRPr="004B14BD" w14:paraId="67B3CB2D" w14:textId="77777777" w:rsidTr="008B525A">
              <w:trPr>
                <w:trHeight w:val="315"/>
              </w:trPr>
              <w:tc>
                <w:tcPr>
                  <w:tcW w:w="2538" w:type="dxa"/>
                  <w:shd w:val="clear" w:color="auto" w:fill="auto"/>
                </w:tcPr>
                <w:p w14:paraId="66D2107D" w14:textId="77777777" w:rsidR="00F35F80" w:rsidRPr="004B14BD" w:rsidRDefault="00F35F80" w:rsidP="00F35F80">
                  <w:pPr>
                    <w:rPr>
                      <w:vertAlign w:val="subscript"/>
                    </w:rPr>
                  </w:pPr>
                  <w:r w:rsidRPr="004B14BD">
                    <w:t>NO</w:t>
                  </w:r>
                  <w:r w:rsidRPr="004B14BD">
                    <w:rPr>
                      <w:vertAlign w:val="subscript"/>
                    </w:rPr>
                    <w:t>2</w:t>
                  </w:r>
                </w:p>
              </w:tc>
              <w:tc>
                <w:tcPr>
                  <w:tcW w:w="6240" w:type="dxa"/>
                  <w:shd w:val="clear" w:color="auto" w:fill="auto"/>
                </w:tcPr>
                <w:p w14:paraId="23CF6DCB" w14:textId="77777777" w:rsidR="00F35F80" w:rsidRPr="004B14BD" w:rsidRDefault="00F35F80" w:rsidP="00F35F80">
                  <w:r w:rsidRPr="004B14BD">
                    <w:t>0,125</w:t>
                  </w:r>
                </w:p>
              </w:tc>
            </w:tr>
            <w:tr w:rsidR="00CA51E8" w:rsidRPr="004B14BD" w14:paraId="0A02A02B" w14:textId="77777777" w:rsidTr="008B525A">
              <w:trPr>
                <w:trHeight w:val="315"/>
              </w:trPr>
              <w:tc>
                <w:tcPr>
                  <w:tcW w:w="2538" w:type="dxa"/>
                  <w:shd w:val="clear" w:color="auto" w:fill="auto"/>
                </w:tcPr>
                <w:p w14:paraId="778673A8" w14:textId="77777777" w:rsidR="00F35F80" w:rsidRPr="004B14BD" w:rsidRDefault="00F35F80" w:rsidP="00F35F80">
                  <w:r w:rsidRPr="004B14BD">
                    <w:lastRenderedPageBreak/>
                    <w:t>CO</w:t>
                  </w:r>
                </w:p>
              </w:tc>
              <w:tc>
                <w:tcPr>
                  <w:tcW w:w="6240" w:type="dxa"/>
                  <w:shd w:val="clear" w:color="auto" w:fill="auto"/>
                </w:tcPr>
                <w:p w14:paraId="7C0FECF6" w14:textId="77777777" w:rsidR="00F35F80" w:rsidRPr="004B14BD" w:rsidRDefault="00F35F80" w:rsidP="00F35F80">
                  <w:r w:rsidRPr="004B14BD">
                    <w:t>1</w:t>
                  </w:r>
                </w:p>
              </w:tc>
            </w:tr>
          </w:tbl>
          <w:p w14:paraId="4E13C5A4" w14:textId="77777777" w:rsidR="00F35F80" w:rsidRPr="004B14BD" w:rsidRDefault="00F35F80" w:rsidP="00F35F80">
            <w:pPr>
              <w:spacing w:line="260" w:lineRule="exact"/>
              <w:ind w:left="318"/>
              <w:rPr>
                <w:sz w:val="16"/>
                <w:szCs w:val="16"/>
              </w:rPr>
            </w:pPr>
            <w:r w:rsidRPr="004B14BD">
              <w:rPr>
                <w:sz w:val="16"/>
                <w:szCs w:val="16"/>
              </w:rPr>
              <w:t xml:space="preserve">Immissionen regnes som timemiddelværdi og må ikke overskrides i mere end 1% af tiden. </w:t>
            </w:r>
          </w:p>
          <w:p w14:paraId="6792102C" w14:textId="77777777" w:rsidR="00F35F80" w:rsidRPr="004B14BD" w:rsidRDefault="00F35F80" w:rsidP="00F35F80">
            <w:pPr>
              <w:ind w:left="360"/>
              <w:rPr>
                <w:vertAlign w:val="superscript"/>
              </w:rPr>
            </w:pPr>
          </w:p>
          <w:p w14:paraId="698361E4" w14:textId="4D2B43CB" w:rsidR="00F35F80" w:rsidRPr="004B14BD" w:rsidRDefault="00F35F80" w:rsidP="00E24A94">
            <w:pPr>
              <w:pStyle w:val="Listeafsnit"/>
            </w:pPr>
            <w:r w:rsidRPr="004B14BD">
              <w:t>Ved nødstrømsdrift skal den sundhedsbaserede grænseværdi for NO</w:t>
            </w:r>
            <w:r w:rsidRPr="004B14BD">
              <w:rPr>
                <w:vertAlign w:val="subscript"/>
              </w:rPr>
              <w:t>2</w:t>
            </w:r>
            <w:r w:rsidRPr="004B14BD">
              <w:t xml:space="preserve"> på 941 µg/m³ (inkluderet baggrundskoncentrationen) overholdes. </w:t>
            </w:r>
          </w:p>
          <w:p w14:paraId="2EA20BBF" w14:textId="77777777" w:rsidR="00F35F80" w:rsidRPr="004B14BD" w:rsidRDefault="00F35F80" w:rsidP="00F35F80">
            <w:pPr>
              <w:spacing w:line="260" w:lineRule="exact"/>
              <w:ind w:left="360"/>
              <w:rPr>
                <w:color w:val="FF0000"/>
              </w:rPr>
            </w:pPr>
          </w:p>
          <w:p w14:paraId="43DE95AF" w14:textId="06CB6932" w:rsidR="004F1896" w:rsidRPr="004B14BD" w:rsidRDefault="001938AF" w:rsidP="008611D6">
            <w:pPr>
              <w:pStyle w:val="Listeafsnit"/>
              <w:numPr>
                <w:ilvl w:val="0"/>
                <w:numId w:val="14"/>
              </w:numPr>
              <w:spacing w:line="260" w:lineRule="exact"/>
            </w:pPr>
            <w:bookmarkStart w:id="13" w:name="_Hlk114748268"/>
            <w:r>
              <w:t>Højde af a</w:t>
            </w:r>
            <w:r w:rsidR="00FF761D" w:rsidRPr="004B14BD">
              <w:t>fkast fra nødstrømsgeneratorer</w:t>
            </w:r>
            <w:r w:rsidR="004A64C6" w:rsidRPr="004B14BD">
              <w:t xml:space="preserve"> skal være </w:t>
            </w:r>
            <w:r w:rsidR="008969BF" w:rsidRPr="004B14BD">
              <w:t xml:space="preserve">mindst </w:t>
            </w:r>
            <w:r w:rsidR="004A64C6" w:rsidRPr="004B14BD">
              <w:t>21</w:t>
            </w:r>
            <w:r w:rsidR="00A73858" w:rsidRPr="004B14BD">
              <w:t xml:space="preserve"> </w:t>
            </w:r>
            <w:r w:rsidR="004A64C6" w:rsidRPr="004B14BD">
              <w:t>m</w:t>
            </w:r>
            <w:r w:rsidR="00A73858" w:rsidRPr="004B14BD">
              <w:t xml:space="preserve"> for datacenter</w:t>
            </w:r>
            <w:r w:rsidR="00647FCA" w:rsidRPr="004B14BD">
              <w:t xml:space="preserve"> (colo)</w:t>
            </w:r>
            <w:r w:rsidR="00A73858" w:rsidRPr="004B14BD">
              <w:t xml:space="preserve"> generatorer og 16 m for administrationsgenerator</w:t>
            </w:r>
            <w:r w:rsidR="004A64C6" w:rsidRPr="004B14BD">
              <w:t>.</w:t>
            </w:r>
          </w:p>
          <w:p w14:paraId="589818FC" w14:textId="666065DD" w:rsidR="00E76971" w:rsidRPr="004B14BD" w:rsidRDefault="00E76971" w:rsidP="00E76971">
            <w:pPr>
              <w:pStyle w:val="Overskrift2"/>
            </w:pPr>
            <w:bookmarkStart w:id="14" w:name="_Toc120196504"/>
            <w:bookmarkEnd w:id="13"/>
            <w:r w:rsidRPr="004B14BD">
              <w:t>Lugt</w:t>
            </w:r>
            <w:bookmarkEnd w:id="14"/>
          </w:p>
          <w:p w14:paraId="4536F809" w14:textId="77777777" w:rsidR="00E76971" w:rsidRPr="004B14BD" w:rsidRDefault="00E76971" w:rsidP="00E76971">
            <w:pPr>
              <w:pStyle w:val="Listeafsnit"/>
            </w:pPr>
          </w:p>
          <w:p w14:paraId="0709315C" w14:textId="067BC964" w:rsidR="00E76971" w:rsidRPr="004B14BD" w:rsidRDefault="00B85235" w:rsidP="00862B16">
            <w:pPr>
              <w:pStyle w:val="Listeafsnit"/>
              <w:numPr>
                <w:ilvl w:val="0"/>
                <w:numId w:val="14"/>
              </w:numPr>
              <w:spacing w:line="260" w:lineRule="exact"/>
            </w:pPr>
            <w:r w:rsidRPr="004B14BD">
              <w:t xml:space="preserve">Driften må ikke give anledning til lugtgener uden for </w:t>
            </w:r>
            <w:r w:rsidR="00C20F36" w:rsidRPr="004B14BD">
              <w:t xml:space="preserve">virksomhedens </w:t>
            </w:r>
            <w:r w:rsidRPr="004B14BD">
              <w:t>eget areal. Virksomhedens bidrag til lugtstofkoncentrationen må ikke overstige følgende lugt</w:t>
            </w:r>
            <w:r w:rsidR="00507026" w:rsidRPr="004B14BD">
              <w:t>bidrag</w:t>
            </w:r>
            <w:r w:rsidRPr="004B14BD">
              <w:t xml:space="preserve">: </w:t>
            </w:r>
          </w:p>
          <w:p w14:paraId="16F9B183" w14:textId="631033F9" w:rsidR="00E76971" w:rsidRPr="004B14BD" w:rsidRDefault="00E76971" w:rsidP="00E76971">
            <w:pPr>
              <w:spacing w:line="260" w:lineRule="exact"/>
              <w:ind w:left="360"/>
            </w:pPr>
          </w:p>
          <w:tbl>
            <w:tblPr>
              <w:tblStyle w:val="Tabel-Gitter"/>
              <w:tblW w:w="0" w:type="auto"/>
              <w:tblInd w:w="360" w:type="dxa"/>
              <w:tblLook w:val="04A0" w:firstRow="1" w:lastRow="0" w:firstColumn="1" w:lastColumn="0" w:noHBand="0" w:noVBand="1"/>
            </w:tblPr>
            <w:tblGrid>
              <w:gridCol w:w="4423"/>
              <w:gridCol w:w="4423"/>
            </w:tblGrid>
            <w:tr w:rsidR="00FC5F51" w:rsidRPr="004B14BD" w14:paraId="0DDEEDF4" w14:textId="77777777" w:rsidTr="00E76971">
              <w:tc>
                <w:tcPr>
                  <w:tcW w:w="4423" w:type="dxa"/>
                </w:tcPr>
                <w:p w14:paraId="4E45003B" w14:textId="68B250CE" w:rsidR="00E76971" w:rsidRPr="004B14BD" w:rsidRDefault="00E76971" w:rsidP="00E76971">
                  <w:pPr>
                    <w:spacing w:line="260" w:lineRule="exact"/>
                    <w:rPr>
                      <w:b/>
                    </w:rPr>
                  </w:pPr>
                  <w:r w:rsidRPr="004B14BD">
                    <w:rPr>
                      <w:b/>
                    </w:rPr>
                    <w:t xml:space="preserve">Område </w:t>
                  </w:r>
                </w:p>
              </w:tc>
              <w:tc>
                <w:tcPr>
                  <w:tcW w:w="4423" w:type="dxa"/>
                </w:tcPr>
                <w:p w14:paraId="4826A6EF" w14:textId="4A36250E" w:rsidR="00E76971" w:rsidRPr="004B14BD" w:rsidRDefault="00E76971" w:rsidP="00E76971">
                  <w:pPr>
                    <w:spacing w:line="260" w:lineRule="exact"/>
                    <w:rPr>
                      <w:b/>
                      <w:bCs/>
                    </w:rPr>
                  </w:pPr>
                  <w:r w:rsidRPr="004B14BD">
                    <w:rPr>
                      <w:b/>
                      <w:bCs/>
                    </w:rPr>
                    <w:t>Lugt</w:t>
                  </w:r>
                  <w:r w:rsidR="00507026" w:rsidRPr="004B14BD">
                    <w:rPr>
                      <w:b/>
                      <w:bCs/>
                    </w:rPr>
                    <w:t>bidrag</w:t>
                  </w:r>
                  <w:r w:rsidRPr="004B14BD">
                    <w:rPr>
                      <w:b/>
                      <w:bCs/>
                    </w:rPr>
                    <w:t>, LE/m</w:t>
                  </w:r>
                  <w:r w:rsidRPr="004B14BD">
                    <w:rPr>
                      <w:b/>
                      <w:bCs/>
                      <w:vertAlign w:val="superscript"/>
                    </w:rPr>
                    <w:t>3</w:t>
                  </w:r>
                </w:p>
              </w:tc>
            </w:tr>
            <w:tr w:rsidR="00FC5F51" w:rsidRPr="004B14BD" w14:paraId="624A19EC" w14:textId="77777777" w:rsidTr="00E76971">
              <w:tc>
                <w:tcPr>
                  <w:tcW w:w="4423" w:type="dxa"/>
                </w:tcPr>
                <w:p w14:paraId="3C5B55EC" w14:textId="365ADF20" w:rsidR="00E76971" w:rsidRPr="004B14BD" w:rsidRDefault="00FA1335" w:rsidP="00E76971">
                  <w:pPr>
                    <w:spacing w:line="260" w:lineRule="exact"/>
                  </w:pPr>
                  <w:r w:rsidRPr="004B14BD">
                    <w:t>Erhvervsområder</w:t>
                  </w:r>
                  <w:r w:rsidR="00F14F5A" w:rsidRPr="004B14BD">
                    <w:t xml:space="preserve"> og kontorer</w:t>
                  </w:r>
                </w:p>
              </w:tc>
              <w:tc>
                <w:tcPr>
                  <w:tcW w:w="4423" w:type="dxa"/>
                </w:tcPr>
                <w:p w14:paraId="16FC25FD" w14:textId="0252108A" w:rsidR="00E76971" w:rsidRPr="004B14BD" w:rsidRDefault="00E76971" w:rsidP="00E76971">
                  <w:pPr>
                    <w:spacing w:line="260" w:lineRule="exact"/>
                  </w:pPr>
                  <w:r w:rsidRPr="004B14BD">
                    <w:t>10</w:t>
                  </w:r>
                </w:p>
              </w:tc>
            </w:tr>
            <w:tr w:rsidR="00FC5F51" w:rsidRPr="004B14BD" w14:paraId="185E1AC3" w14:textId="77777777" w:rsidTr="00E76971">
              <w:tc>
                <w:tcPr>
                  <w:tcW w:w="4423" w:type="dxa"/>
                </w:tcPr>
                <w:p w14:paraId="4FD169B8" w14:textId="70193F1D" w:rsidR="00E76971" w:rsidRPr="004B14BD" w:rsidRDefault="00FA1335" w:rsidP="00E76971">
                  <w:pPr>
                    <w:spacing w:line="260" w:lineRule="exact"/>
                  </w:pPr>
                  <w:r w:rsidRPr="004B14BD">
                    <w:t>Ved boliger og institutioner</w:t>
                  </w:r>
                </w:p>
              </w:tc>
              <w:tc>
                <w:tcPr>
                  <w:tcW w:w="4423" w:type="dxa"/>
                </w:tcPr>
                <w:p w14:paraId="2FD1A2C5" w14:textId="2151271F" w:rsidR="00E76971" w:rsidRPr="004B14BD" w:rsidRDefault="00E76971" w:rsidP="00E76971">
                  <w:pPr>
                    <w:spacing w:line="260" w:lineRule="exact"/>
                  </w:pPr>
                  <w:r w:rsidRPr="004B14BD">
                    <w:t>5</w:t>
                  </w:r>
                </w:p>
              </w:tc>
            </w:tr>
          </w:tbl>
          <w:p w14:paraId="5C11E18C" w14:textId="3AB02E1B" w:rsidR="00A45C5B" w:rsidRPr="004B14BD" w:rsidRDefault="00B85235" w:rsidP="00AB1098">
            <w:pPr>
              <w:spacing w:line="260" w:lineRule="exact"/>
              <w:ind w:left="318"/>
              <w:rPr>
                <w:sz w:val="16"/>
                <w:szCs w:val="16"/>
              </w:rPr>
            </w:pPr>
            <w:r w:rsidRPr="004B14BD">
              <w:rPr>
                <w:sz w:val="16"/>
                <w:szCs w:val="16"/>
              </w:rPr>
              <w:t>Immissionen skal midles over 1 minut.</w:t>
            </w:r>
          </w:p>
        </w:tc>
      </w:tr>
      <w:tr w:rsidR="000B6712" w:rsidRPr="004B14BD" w14:paraId="7E48D7E3" w14:textId="77777777" w:rsidTr="00E05A89">
        <w:tc>
          <w:tcPr>
            <w:tcW w:w="5000" w:type="pct"/>
            <w:gridSpan w:val="2"/>
          </w:tcPr>
          <w:p w14:paraId="316B011D" w14:textId="6B75E78E" w:rsidR="00DA69E1" w:rsidRPr="004B14BD" w:rsidRDefault="00DA69E1" w:rsidP="00DA69E1">
            <w:pPr>
              <w:pStyle w:val="Overskrift2"/>
            </w:pPr>
            <w:bookmarkStart w:id="15" w:name="_Toc120196505"/>
            <w:bookmarkStart w:id="16" w:name="_Toc103852222"/>
            <w:r w:rsidRPr="004B14BD">
              <w:lastRenderedPageBreak/>
              <w:t>Beskyttelse af jord, grundvand og overfladevand</w:t>
            </w:r>
            <w:bookmarkEnd w:id="15"/>
            <w:r w:rsidRPr="004B14BD">
              <w:t xml:space="preserve"> </w:t>
            </w:r>
            <w:bookmarkEnd w:id="16"/>
          </w:p>
          <w:p w14:paraId="25411891" w14:textId="77777777" w:rsidR="00CE419D" w:rsidRPr="004B14BD" w:rsidRDefault="00CE419D" w:rsidP="00CE419D"/>
          <w:p w14:paraId="2A4B60D4" w14:textId="2EC7675F" w:rsidR="00517053" w:rsidRPr="004B14BD" w:rsidRDefault="0078537F" w:rsidP="00862B16">
            <w:pPr>
              <w:pStyle w:val="Listeafsnit"/>
              <w:numPr>
                <w:ilvl w:val="0"/>
                <w:numId w:val="14"/>
              </w:numPr>
              <w:rPr>
                <w:szCs w:val="19"/>
              </w:rPr>
            </w:pPr>
            <w:r w:rsidRPr="004B14BD">
              <w:rPr>
                <w:szCs w:val="19"/>
              </w:rPr>
              <w:t xml:space="preserve">Tætte belægninger skal være i god vedligeholdelsesstand. </w:t>
            </w:r>
            <w:r w:rsidR="00517053" w:rsidRPr="004B14BD">
              <w:rPr>
                <w:szCs w:val="19"/>
              </w:rPr>
              <w:t xml:space="preserve">Samlinger mellem asfalt (Strongphalt) </w:t>
            </w:r>
            <w:r w:rsidR="009A3E80">
              <w:rPr>
                <w:szCs w:val="19"/>
              </w:rPr>
              <w:t xml:space="preserve">og </w:t>
            </w:r>
            <w:r w:rsidR="00517053" w:rsidRPr="004B14BD">
              <w:rPr>
                <w:szCs w:val="19"/>
              </w:rPr>
              <w:t xml:space="preserve">kantsten </w:t>
            </w:r>
            <w:r w:rsidR="00E65059" w:rsidRPr="004B14BD">
              <w:rPr>
                <w:szCs w:val="19"/>
              </w:rPr>
              <w:t>langs veje</w:t>
            </w:r>
            <w:r w:rsidR="00517053" w:rsidRPr="004B14BD">
              <w:rPr>
                <w:szCs w:val="19"/>
              </w:rPr>
              <w:t xml:space="preserve"> </w:t>
            </w:r>
            <w:r w:rsidR="0040592A" w:rsidRPr="004B14BD">
              <w:rPr>
                <w:szCs w:val="19"/>
              </w:rPr>
              <w:t>samt</w:t>
            </w:r>
            <w:r w:rsidR="00517053" w:rsidRPr="004B14BD">
              <w:rPr>
                <w:szCs w:val="19"/>
              </w:rPr>
              <w:t xml:space="preserve"> samlinger mellem </w:t>
            </w:r>
            <w:r w:rsidR="009A3E80">
              <w:rPr>
                <w:szCs w:val="19"/>
              </w:rPr>
              <w:t>kantsten</w:t>
            </w:r>
            <w:r w:rsidR="00517053" w:rsidRPr="004B14BD">
              <w:rPr>
                <w:szCs w:val="19"/>
              </w:rPr>
              <w:t xml:space="preserve"> og betonoverflader i de områder, hvor der er mulighed for spild, skal være i god vedligeholdels</w:t>
            </w:r>
            <w:r w:rsidR="0040592A" w:rsidRPr="004B14BD">
              <w:rPr>
                <w:szCs w:val="19"/>
              </w:rPr>
              <w:t>es</w:t>
            </w:r>
            <w:r w:rsidR="00517053" w:rsidRPr="004B14BD">
              <w:rPr>
                <w:szCs w:val="19"/>
              </w:rPr>
              <w:t>stand.</w:t>
            </w:r>
          </w:p>
          <w:p w14:paraId="39D95A77" w14:textId="77777777" w:rsidR="009A3E80" w:rsidRPr="004B14BD" w:rsidRDefault="009A3E80" w:rsidP="009A3E80"/>
          <w:p w14:paraId="140DD378" w14:textId="082AD0D7" w:rsidR="0078537F" w:rsidRPr="004B14BD" w:rsidRDefault="0078537F" w:rsidP="001910C4">
            <w:pPr>
              <w:pStyle w:val="Listeafsnit"/>
              <w:rPr>
                <w:szCs w:val="19"/>
              </w:rPr>
            </w:pPr>
            <w:r w:rsidRPr="004B14BD">
              <w:rPr>
                <w:szCs w:val="19"/>
              </w:rPr>
              <w:t>Utætheder skal udbedres så hurtigt som muligt efter</w:t>
            </w:r>
            <w:r w:rsidR="00E65059" w:rsidRPr="004B14BD">
              <w:rPr>
                <w:szCs w:val="19"/>
              </w:rPr>
              <w:t>,</w:t>
            </w:r>
            <w:r w:rsidRPr="004B14BD">
              <w:rPr>
                <w:szCs w:val="19"/>
              </w:rPr>
              <w:t xml:space="preserve"> at de er konstateret.</w:t>
            </w:r>
          </w:p>
          <w:p w14:paraId="6B34A779" w14:textId="77777777" w:rsidR="0078537F" w:rsidRPr="004B14BD" w:rsidRDefault="0078537F" w:rsidP="0078537F">
            <w:pPr>
              <w:pStyle w:val="Listeafsnit"/>
            </w:pPr>
          </w:p>
          <w:p w14:paraId="35472346" w14:textId="03B95B7A" w:rsidR="00CF014A" w:rsidRPr="004B14BD" w:rsidRDefault="00CF014A" w:rsidP="00862B16">
            <w:pPr>
              <w:pStyle w:val="Listeafsnit"/>
              <w:numPr>
                <w:ilvl w:val="0"/>
                <w:numId w:val="14"/>
              </w:numPr>
            </w:pPr>
            <w:r w:rsidRPr="004B14BD">
              <w:rPr>
                <w:szCs w:val="19"/>
              </w:rPr>
              <w:t xml:space="preserve">Virksomheden skal hvert 10. år lade udføre tæthedskontrol af det samlede regnvands-afløbssystem fra generatorgårde og rendestensbrønde i veje til og med olieudskillere.  Tæthedsprøvningen skal udføres i overensstemmelse med normen for tæthed af afløbssystemer, DS 455, eller tilsvarende norm. </w:t>
            </w:r>
            <w:r w:rsidR="00B50F6F">
              <w:rPr>
                <w:szCs w:val="19"/>
              </w:rPr>
              <w:t>P</w:t>
            </w:r>
            <w:r w:rsidRPr="004B14BD">
              <w:rPr>
                <w:szCs w:val="19"/>
              </w:rPr>
              <w:t xml:space="preserve">røvningsperioden </w:t>
            </w:r>
            <w:r w:rsidR="00B50F6F">
              <w:rPr>
                <w:szCs w:val="19"/>
              </w:rPr>
              <w:t xml:space="preserve">skal </w:t>
            </w:r>
            <w:r w:rsidRPr="004B14BD">
              <w:rPr>
                <w:szCs w:val="19"/>
              </w:rPr>
              <w:t>være på mindst en time. Hvis der konstateres lækage, skal afløbssystemet udbedres, så det ved en ny tæthedsprøvning og inden ibrugtagning konstateres tæt.</w:t>
            </w:r>
          </w:p>
          <w:p w14:paraId="51F9DAC8" w14:textId="794B05EA" w:rsidR="00CF014A" w:rsidRPr="004B14BD" w:rsidRDefault="00CF014A" w:rsidP="00CF014A">
            <w:pPr>
              <w:pStyle w:val="Listeafsnit"/>
            </w:pPr>
          </w:p>
          <w:p w14:paraId="4E2EEB5A" w14:textId="5AAE3BDA" w:rsidR="00CF014A" w:rsidRPr="004B14BD" w:rsidRDefault="00977315" w:rsidP="00CF014A">
            <w:pPr>
              <w:pStyle w:val="Listeafsnit"/>
            </w:pPr>
            <w:r w:rsidRPr="004B14BD">
              <w:t>(</w:t>
            </w:r>
            <w:r w:rsidR="00CF014A" w:rsidRPr="004B14BD">
              <w:t>Første kontrol udføres</w:t>
            </w:r>
            <w:r w:rsidR="00C90613" w:rsidRPr="004B14BD">
              <w:t xml:space="preserve"> i overensstemmelse med vilkår i </w:t>
            </w:r>
            <w:r w:rsidR="00CF014A" w:rsidRPr="004B14BD">
              <w:t>tilslutningstilladelse af 18. november 2022.</w:t>
            </w:r>
            <w:r w:rsidRPr="004B14BD">
              <w:t>)</w:t>
            </w:r>
          </w:p>
          <w:p w14:paraId="4E1997DF" w14:textId="77777777" w:rsidR="00CF014A" w:rsidRPr="004B14BD" w:rsidRDefault="00CF014A" w:rsidP="00CF014A">
            <w:pPr>
              <w:pStyle w:val="Listeafsnit"/>
            </w:pPr>
          </w:p>
          <w:p w14:paraId="71167898" w14:textId="479D9B4B" w:rsidR="00DA69E1" w:rsidRPr="004B14BD" w:rsidRDefault="005D2FC6" w:rsidP="00862B16">
            <w:pPr>
              <w:pStyle w:val="Listeafsnit"/>
              <w:numPr>
                <w:ilvl w:val="0"/>
                <w:numId w:val="14"/>
              </w:numPr>
            </w:pPr>
            <w:r>
              <w:t>S</w:t>
            </w:r>
            <w:r w:rsidR="00EF18D5" w:rsidRPr="004B14BD">
              <w:t>pildolie</w:t>
            </w:r>
            <w:r w:rsidR="00DA69E1" w:rsidRPr="004B14BD">
              <w:t xml:space="preserve">, </w:t>
            </w:r>
            <w:r>
              <w:t xml:space="preserve">øvrigt farligt affald, </w:t>
            </w:r>
            <w:r w:rsidR="00DA69E1" w:rsidRPr="004B14BD">
              <w:t>kemikalier og hjælpestoffer skal opbevares i egnede og tætte beholdere, der skal være mærket med indhold.</w:t>
            </w:r>
          </w:p>
          <w:p w14:paraId="061D4EDE" w14:textId="77777777" w:rsidR="00DA69E1" w:rsidRPr="004B14BD" w:rsidRDefault="00DA69E1" w:rsidP="00DA69E1">
            <w:pPr>
              <w:pStyle w:val="Listeafsnit"/>
              <w:ind w:left="360"/>
            </w:pPr>
          </w:p>
          <w:p w14:paraId="2D6740A3" w14:textId="204695A7" w:rsidR="00DA69E1" w:rsidRPr="004B14BD" w:rsidRDefault="00DA69E1" w:rsidP="00862B16">
            <w:pPr>
              <w:pStyle w:val="Listeafsnit"/>
              <w:numPr>
                <w:ilvl w:val="0"/>
                <w:numId w:val="14"/>
              </w:numPr>
            </w:pPr>
            <w:r w:rsidRPr="004B14BD">
              <w:t>De i ovenstående vilkår nævnte beholdere skal placeres under tag og beskyttet mod vejrlig på en oplagsplads med tæt belægning uden afløb. Oplagspladsen skal være indrettet således, at spild kan holdes inden for et afgrænset område og uden mulighed for afledning til jord, grundvand, overfladevand og kloak. Området skal kunne rumme indholdet af den største beholder el.lign., der opbevares på det.</w:t>
            </w:r>
          </w:p>
          <w:p w14:paraId="30B201E6" w14:textId="77777777" w:rsidR="0017581D" w:rsidRPr="004B14BD" w:rsidRDefault="0017581D" w:rsidP="0017581D">
            <w:pPr>
              <w:pStyle w:val="Listeafsnit"/>
            </w:pPr>
          </w:p>
          <w:p w14:paraId="6914C9AE" w14:textId="4EBEC827" w:rsidR="005B6BFF" w:rsidRPr="004B14BD" w:rsidRDefault="004B2236" w:rsidP="005B6BFF">
            <w:pPr>
              <w:pStyle w:val="Listeafsnit"/>
              <w:numPr>
                <w:ilvl w:val="0"/>
                <w:numId w:val="14"/>
              </w:numPr>
            </w:pPr>
            <w:r w:rsidRPr="004B14BD">
              <w:t>O</w:t>
            </w:r>
            <w:r w:rsidR="00AB667A" w:rsidRPr="004B14BD">
              <w:t>mråder med nødstrømsgeneratorer</w:t>
            </w:r>
            <w:r w:rsidR="00A10E38" w:rsidRPr="004B14BD">
              <w:t xml:space="preserve">, </w:t>
            </w:r>
            <w:r w:rsidRPr="004B14BD">
              <w:t>dieseltanke</w:t>
            </w:r>
            <w:r w:rsidR="00A10E38" w:rsidRPr="004B14BD">
              <w:t xml:space="preserve"> og påfyldningsområder</w:t>
            </w:r>
            <w:r w:rsidRPr="004B14BD">
              <w:t xml:space="preserve"> </w:t>
            </w:r>
            <w:r w:rsidR="0017581D" w:rsidRPr="004B14BD">
              <w:t xml:space="preserve">skal </w:t>
            </w:r>
            <w:r w:rsidR="00B674FD" w:rsidRPr="004B14BD">
              <w:t xml:space="preserve">udføres </w:t>
            </w:r>
            <w:r w:rsidR="0017581D" w:rsidRPr="004B14BD">
              <w:t>med tæt belægning.</w:t>
            </w:r>
            <w:r w:rsidR="00B93438" w:rsidRPr="004B14BD">
              <w:t xml:space="preserve"> Overfladevand fra disse arealer</w:t>
            </w:r>
            <w:r w:rsidR="00651DF5" w:rsidRPr="004B14BD">
              <w:t xml:space="preserve"> </w:t>
            </w:r>
            <w:r w:rsidR="00B93438" w:rsidRPr="004B14BD">
              <w:t xml:space="preserve">skal afledes via </w:t>
            </w:r>
            <w:r w:rsidR="00474362" w:rsidRPr="004B14BD">
              <w:t xml:space="preserve">kontrolleret afledning til </w:t>
            </w:r>
            <w:r w:rsidR="00B93438" w:rsidRPr="004B14BD">
              <w:t>sandfang, olieudskiller og bassiner</w:t>
            </w:r>
            <w:r w:rsidR="00B03FF9" w:rsidRPr="004B14BD">
              <w:t xml:space="preserve">, jf. tilslutningstilladelse </w:t>
            </w:r>
            <w:r w:rsidR="003434A9" w:rsidRPr="004B14BD">
              <w:t>af</w:t>
            </w:r>
            <w:r w:rsidR="00B03FF9" w:rsidRPr="004B14BD">
              <w:t xml:space="preserve"> </w:t>
            </w:r>
            <w:r w:rsidR="00667304" w:rsidRPr="004B14BD">
              <w:t>18</w:t>
            </w:r>
            <w:r w:rsidR="00B03FF9" w:rsidRPr="004B14BD">
              <w:t>.</w:t>
            </w:r>
            <w:r w:rsidR="00667304" w:rsidRPr="004B14BD">
              <w:t xml:space="preserve"> november 2022.</w:t>
            </w:r>
          </w:p>
          <w:p w14:paraId="1C2083F4" w14:textId="77777777" w:rsidR="00E66134" w:rsidRPr="004B14BD" w:rsidRDefault="00E66134" w:rsidP="00E66134"/>
          <w:p w14:paraId="6D278A93" w14:textId="52FFEBBA" w:rsidR="00DA69E1" w:rsidRPr="004B14BD" w:rsidRDefault="007E088F" w:rsidP="00862B16">
            <w:pPr>
              <w:pStyle w:val="Listeafsnit"/>
              <w:numPr>
                <w:ilvl w:val="0"/>
                <w:numId w:val="14"/>
              </w:numPr>
            </w:pPr>
            <w:r w:rsidRPr="004B14BD">
              <w:lastRenderedPageBreak/>
              <w:t>Distributionstransformere skal placeres på tæt belægning. Oplagspladsen skal være indrettet således, at spild kan holdes inden for et afgrænset område og uden mulighed for afledning til jord, grundvand, overfladevand og kloak. Området skal kunne rumme indholdet af</w:t>
            </w:r>
            <w:r w:rsidR="001F2D79" w:rsidRPr="004B14BD">
              <w:t xml:space="preserve"> transformerolie</w:t>
            </w:r>
            <w:r w:rsidR="00E66134" w:rsidRPr="004B14BD">
              <w:t xml:space="preserve"> i den enkelte transformer</w:t>
            </w:r>
            <w:r w:rsidRPr="004B14BD">
              <w:t>.</w:t>
            </w:r>
          </w:p>
          <w:p w14:paraId="705F7DD0" w14:textId="77777777" w:rsidR="00644D10" w:rsidRPr="004B14BD" w:rsidRDefault="00644D10" w:rsidP="001637F0"/>
          <w:p w14:paraId="7A3AACE5" w14:textId="2E19D413" w:rsidR="00E66134" w:rsidRPr="004B14BD" w:rsidRDefault="00644D10" w:rsidP="00862B16">
            <w:pPr>
              <w:pStyle w:val="Listeafsnit"/>
              <w:numPr>
                <w:ilvl w:val="0"/>
                <w:numId w:val="14"/>
              </w:numPr>
            </w:pPr>
            <w:r w:rsidRPr="004B14BD">
              <w:t xml:space="preserve">Brændstoftanke skal være </w:t>
            </w:r>
            <w:r w:rsidR="00E66134" w:rsidRPr="004B14BD">
              <w:t xml:space="preserve">overjordiske, </w:t>
            </w:r>
            <w:r w:rsidR="00437B20" w:rsidRPr="004B14BD">
              <w:t xml:space="preserve">dobbeltvæggede og </w:t>
            </w:r>
            <w:r w:rsidRPr="004B14BD">
              <w:t xml:space="preserve">forsynet med alarm til overvågning af </w:t>
            </w:r>
            <w:r w:rsidR="00EC181F" w:rsidRPr="004B14BD">
              <w:t>lækage</w:t>
            </w:r>
            <w:r w:rsidRPr="004B14BD">
              <w:t>, overfyldning og trykfald. Alarme</w:t>
            </w:r>
            <w:r w:rsidR="00307E85" w:rsidRPr="004B14BD">
              <w:t>r</w:t>
            </w:r>
            <w:r w:rsidRPr="004B14BD">
              <w:t xml:space="preserve"> skal tilsluttes virksomhedens SRO-anlæg. </w:t>
            </w:r>
          </w:p>
          <w:p w14:paraId="3807BEB5" w14:textId="77777777" w:rsidR="00E66134" w:rsidRPr="004B14BD" w:rsidRDefault="00E66134" w:rsidP="00E66134">
            <w:pPr>
              <w:pStyle w:val="Listeafsnit"/>
            </w:pPr>
          </w:p>
          <w:p w14:paraId="35198629" w14:textId="1BF3BBEA" w:rsidR="00204475" w:rsidRPr="004B14BD" w:rsidRDefault="00204475" w:rsidP="00862B16">
            <w:pPr>
              <w:pStyle w:val="Listeafsnit"/>
              <w:numPr>
                <w:ilvl w:val="0"/>
                <w:numId w:val="14"/>
              </w:numPr>
            </w:pPr>
            <w:r w:rsidRPr="004B14BD">
              <w:t xml:space="preserve">Alle rør til dieselolie skal etableres </w:t>
            </w:r>
            <w:r w:rsidR="0086187C" w:rsidRPr="004B14BD">
              <w:t>indenfor konturen af den tætte belægning i generatorgårde. Rørene skal være hævet over jorden</w:t>
            </w:r>
            <w:r w:rsidRPr="004B14BD">
              <w:t>, så der er umiddelbar mulighed for visuel inspektion. Rørene skal være dobbeltvæggede med lækageovervågning og tilsluttet virksomhedens SRO-anlæg.</w:t>
            </w:r>
            <w:r w:rsidR="00543206" w:rsidRPr="004B14BD">
              <w:t xml:space="preserve"> Dog må rør fra dieseltank til generator være enkeltvægget.</w:t>
            </w:r>
            <w:r w:rsidRPr="004B14BD">
              <w:t xml:space="preserve"> Rør fra dieseltank til generator skal være lodret</w:t>
            </w:r>
            <w:r w:rsidR="00543206" w:rsidRPr="004B14BD">
              <w:t xml:space="preserve"> og må udelukkende være væskefyldt ved drift af generator</w:t>
            </w:r>
            <w:r w:rsidRPr="004B14BD">
              <w:t>.</w:t>
            </w:r>
          </w:p>
          <w:p w14:paraId="2F3CA4F1" w14:textId="77777777" w:rsidR="00204475" w:rsidRPr="004B14BD" w:rsidRDefault="00204475" w:rsidP="00204475"/>
          <w:p w14:paraId="4490876B" w14:textId="5262BDFC" w:rsidR="00204475" w:rsidRPr="004B14BD" w:rsidRDefault="00204475" w:rsidP="00862B16">
            <w:pPr>
              <w:pStyle w:val="Listeafsnit"/>
              <w:numPr>
                <w:ilvl w:val="0"/>
                <w:numId w:val="14"/>
              </w:numPr>
            </w:pPr>
            <w:r w:rsidRPr="004B14BD">
              <w:t xml:space="preserve">Hver </w:t>
            </w:r>
            <w:r w:rsidR="002905D6" w:rsidRPr="004B14BD">
              <w:t>generatorcontainer</w:t>
            </w:r>
            <w:r w:rsidRPr="004B14BD">
              <w:t xml:space="preserve"> skal kunne tilbageholde indholdet af smøreolie, kølemiddel og dieselolie påfyldt den enkelte generator.</w:t>
            </w:r>
          </w:p>
          <w:p w14:paraId="0142E630" w14:textId="77777777" w:rsidR="00204475" w:rsidRPr="004B14BD" w:rsidRDefault="00204475" w:rsidP="00204475"/>
          <w:p w14:paraId="38A3B966" w14:textId="74A459C2" w:rsidR="00EC459B" w:rsidRPr="004B14BD" w:rsidRDefault="007D6999" w:rsidP="00862B16">
            <w:pPr>
              <w:pStyle w:val="Listeafsnit"/>
              <w:numPr>
                <w:ilvl w:val="0"/>
                <w:numId w:val="14"/>
              </w:numPr>
            </w:pPr>
            <w:r w:rsidRPr="004B14BD">
              <w:t xml:space="preserve">Påfyldning af dieselolie </w:t>
            </w:r>
            <w:r w:rsidR="00AA61CC" w:rsidRPr="004B14BD">
              <w:t xml:space="preserve">fra tankvogn </w:t>
            </w:r>
            <w:r w:rsidRPr="004B14BD">
              <w:t xml:space="preserve">til </w:t>
            </w:r>
            <w:r w:rsidR="00170978" w:rsidRPr="004B14BD">
              <w:t>tanke</w:t>
            </w:r>
            <w:r w:rsidRPr="004B14BD">
              <w:t xml:space="preserve"> i generatorgård skal ske </w:t>
            </w:r>
            <w:r w:rsidR="0053053E" w:rsidRPr="004B14BD">
              <w:t xml:space="preserve">via </w:t>
            </w:r>
            <w:r w:rsidR="00AA61CC" w:rsidRPr="004B14BD">
              <w:t xml:space="preserve">fast tilkobling til </w:t>
            </w:r>
            <w:r w:rsidR="00F053A8" w:rsidRPr="004B14BD">
              <w:t>påfyldningskabinetter</w:t>
            </w:r>
            <w:r w:rsidR="00590D9C" w:rsidRPr="004B14BD">
              <w:t>, som beskrevet i ansøgning</w:t>
            </w:r>
            <w:r w:rsidR="004F294C" w:rsidRPr="004B14BD">
              <w:t xml:space="preserve"> om miljøgodkendelse</w:t>
            </w:r>
            <w:r w:rsidR="00F053A8" w:rsidRPr="004B14BD">
              <w:t>.</w:t>
            </w:r>
            <w:r w:rsidR="00AA61CC" w:rsidRPr="004B14BD">
              <w:t xml:space="preserve"> </w:t>
            </w:r>
            <w:r w:rsidR="00AA0504" w:rsidRPr="004B14BD">
              <w:t>Påfyldning af tanke skal ske overvåget</w:t>
            </w:r>
            <w:r w:rsidRPr="004B14BD">
              <w:t>.</w:t>
            </w:r>
            <w:r w:rsidR="00AA0504" w:rsidRPr="004B14BD">
              <w:t xml:space="preserve"> Der skal være monteret kontraventil</w:t>
            </w:r>
            <w:r w:rsidR="007E094F" w:rsidRPr="004B14BD">
              <w:t>,</w:t>
            </w:r>
            <w:r w:rsidR="00AA0504" w:rsidRPr="004B14BD">
              <w:t xml:space="preserve"> som hindrer tilbageløb fra dieseltanken.</w:t>
            </w:r>
            <w:r w:rsidRPr="004B14BD">
              <w:t xml:space="preserve"> </w:t>
            </w:r>
            <w:r w:rsidR="00350727" w:rsidRPr="004B14BD">
              <w:t>Dieselt</w:t>
            </w:r>
            <w:r w:rsidRPr="004B14BD">
              <w:t>anken har elektronisk overfyldningssikring</w:t>
            </w:r>
            <w:r w:rsidR="00350727" w:rsidRPr="004B14BD">
              <w:t>,</w:t>
            </w:r>
            <w:r w:rsidRPr="004B14BD">
              <w:t xml:space="preserve"> og transportøren skal sikre, at tankvognens eventuelle stik er korrekt påmonteret det stationære stik ved den aktuelle påfyldningsstuds, før påfyldning begyndes.</w:t>
            </w:r>
            <w:r w:rsidR="00D50B91" w:rsidRPr="004B14BD">
              <w:t xml:space="preserve"> Påfyldningskabinettet skal være indrettet med drypbakke</w:t>
            </w:r>
            <w:r w:rsidR="001F106C" w:rsidRPr="004B14BD">
              <w:t xml:space="preserve"> til opsamling af eventuelt spild</w:t>
            </w:r>
            <w:r w:rsidR="00D50B91" w:rsidRPr="004B14BD">
              <w:t xml:space="preserve">. </w:t>
            </w:r>
            <w:r w:rsidR="008C3DB2" w:rsidRPr="004B14BD">
              <w:t>Drypbakken skal kunne tilbageholde al diesel i den del af påfyldningsrøret, hvor væske kan strømme bagud mod kabinettet.</w:t>
            </w:r>
            <w:r w:rsidRPr="004B14BD">
              <w:t xml:space="preserve"> </w:t>
            </w:r>
          </w:p>
          <w:p w14:paraId="69AB9FD9" w14:textId="77777777" w:rsidR="00E4306E" w:rsidRPr="004B14BD" w:rsidRDefault="00E4306E" w:rsidP="00E4306E">
            <w:pPr>
              <w:pStyle w:val="Listeafsnit"/>
            </w:pPr>
          </w:p>
          <w:p w14:paraId="05D6D395" w14:textId="77777777" w:rsidR="000B6712" w:rsidRPr="004B14BD" w:rsidRDefault="00115721" w:rsidP="00544034">
            <w:pPr>
              <w:pStyle w:val="Listeafsnit"/>
              <w:numPr>
                <w:ilvl w:val="0"/>
                <w:numId w:val="14"/>
              </w:numPr>
            </w:pPr>
            <w:r w:rsidRPr="004B14BD">
              <w:t xml:space="preserve">Påfyldning af smøreolie, kølemiddel og tømning af spildolie på generatorer </w:t>
            </w:r>
            <w:r w:rsidR="004D5B26" w:rsidRPr="004B14BD">
              <w:t>skal ske overvåge</w:t>
            </w:r>
            <w:r w:rsidRPr="004B14BD">
              <w:t>t</w:t>
            </w:r>
            <w:r w:rsidR="00CF2B3D" w:rsidRPr="004B14BD">
              <w:t xml:space="preserve">. </w:t>
            </w:r>
          </w:p>
          <w:p w14:paraId="1D7FB2E1" w14:textId="77777777" w:rsidR="00143D35" w:rsidRPr="004B14BD" w:rsidRDefault="00143D35" w:rsidP="00143D35">
            <w:pPr>
              <w:pStyle w:val="Listeafsnit"/>
            </w:pPr>
          </w:p>
          <w:p w14:paraId="25EB72D1" w14:textId="77777777" w:rsidR="00143D35" w:rsidRPr="004B14BD" w:rsidRDefault="00143D35" w:rsidP="00143D35">
            <w:pPr>
              <w:pStyle w:val="Listeafsnit"/>
              <w:numPr>
                <w:ilvl w:val="0"/>
                <w:numId w:val="14"/>
              </w:numPr>
              <w:rPr>
                <w:color w:val="FF0000"/>
              </w:rPr>
            </w:pPr>
            <w:r w:rsidRPr="004B14BD">
              <w:t>Spild af olie eller kemikalier skal straks opsamles sammen med eventuelt forurenet jord og opbevares og bortskaffes som farligt affald. Der skal til enhver tid forefindes opsugningsmateriale på virksomheden.</w:t>
            </w:r>
          </w:p>
          <w:p w14:paraId="548097DA" w14:textId="77777777" w:rsidR="0035230C" w:rsidRPr="004B14BD" w:rsidRDefault="0035230C" w:rsidP="0035230C">
            <w:pPr>
              <w:pStyle w:val="Listeafsnit"/>
              <w:rPr>
                <w:color w:val="FF0000"/>
              </w:rPr>
            </w:pPr>
          </w:p>
          <w:p w14:paraId="5E511E7E" w14:textId="79B89E4D" w:rsidR="0035230C" w:rsidRPr="004B14BD" w:rsidRDefault="0035230C" w:rsidP="0035230C">
            <w:pPr>
              <w:pStyle w:val="Listeafsnit"/>
            </w:pPr>
            <w:r w:rsidRPr="004B14BD">
              <w:t>Ved større spild af olie eller kemikalier</w:t>
            </w:r>
            <w:r w:rsidR="00436860">
              <w:t>,</w:t>
            </w:r>
            <w:r w:rsidRPr="004B14BD">
              <w:t xml:space="preserve"> som virksomheden ikke kan håndtere, skal der gives alarm på telefonnummer 112. </w:t>
            </w:r>
          </w:p>
          <w:p w14:paraId="690BAC06" w14:textId="77777777" w:rsidR="0035230C" w:rsidRPr="004B14BD" w:rsidRDefault="0035230C" w:rsidP="0035230C">
            <w:pPr>
              <w:pStyle w:val="Listeafsnit"/>
            </w:pPr>
          </w:p>
          <w:p w14:paraId="54A081FC" w14:textId="644E5B3D" w:rsidR="00F224AF" w:rsidRPr="004B14BD" w:rsidRDefault="0035230C" w:rsidP="0035230C">
            <w:pPr>
              <w:pStyle w:val="Listeafsnit"/>
            </w:pPr>
            <w:r w:rsidRPr="004B14BD">
              <w:t>Kommunen skal altid underrettes hurtigst muligt ved spild af olie eller kemikalier.</w:t>
            </w:r>
          </w:p>
          <w:p w14:paraId="2D0F1338" w14:textId="77777777" w:rsidR="0035230C" w:rsidRPr="004B14BD" w:rsidRDefault="0035230C" w:rsidP="0035230C">
            <w:pPr>
              <w:pStyle w:val="Listeafsnit"/>
              <w:rPr>
                <w:color w:val="FF0000"/>
              </w:rPr>
            </w:pPr>
          </w:p>
          <w:p w14:paraId="11FBA72B" w14:textId="3FDAB990" w:rsidR="0035230C" w:rsidRPr="004B14BD" w:rsidRDefault="00F224AF" w:rsidP="00972894">
            <w:pPr>
              <w:pStyle w:val="Listeafsnit"/>
              <w:numPr>
                <w:ilvl w:val="0"/>
                <w:numId w:val="14"/>
              </w:numPr>
              <w:rPr>
                <w:color w:val="FF0000"/>
              </w:rPr>
            </w:pPr>
            <w:r w:rsidRPr="004B14BD">
              <w:t>I tilfælde af spild til kloaksystemet skal olieudskillere/kloakbrønde tømmes, hvis spildet er ledt hertil.</w:t>
            </w:r>
            <w:r w:rsidR="0035230C" w:rsidRPr="004B14BD">
              <w:rPr>
                <w:color w:val="FF0000"/>
              </w:rPr>
              <w:t xml:space="preserve"> </w:t>
            </w:r>
          </w:p>
        </w:tc>
      </w:tr>
      <w:tr w:rsidR="000B6712" w:rsidRPr="004B14BD" w14:paraId="4B442F0D" w14:textId="77777777" w:rsidTr="00E05A89">
        <w:tc>
          <w:tcPr>
            <w:tcW w:w="5000" w:type="pct"/>
            <w:gridSpan w:val="2"/>
          </w:tcPr>
          <w:p w14:paraId="60015E29" w14:textId="186F0739" w:rsidR="000B6712" w:rsidRPr="004B14BD" w:rsidRDefault="000B6712" w:rsidP="004B0440">
            <w:pPr>
              <w:pStyle w:val="Overskrift2"/>
            </w:pPr>
            <w:bookmarkStart w:id="17" w:name="_Toc120196506"/>
            <w:r w:rsidRPr="004B14BD">
              <w:lastRenderedPageBreak/>
              <w:t>Egenkontrol</w:t>
            </w:r>
            <w:bookmarkEnd w:id="17"/>
          </w:p>
          <w:p w14:paraId="7674D000" w14:textId="0EA56F4D" w:rsidR="008221CB" w:rsidRPr="004B14BD" w:rsidRDefault="008221CB" w:rsidP="000057A2">
            <w:pPr>
              <w:contextualSpacing/>
              <w:rPr>
                <w:b/>
                <w:sz w:val="24"/>
                <w:szCs w:val="24"/>
              </w:rPr>
            </w:pPr>
          </w:p>
          <w:p w14:paraId="00051B20" w14:textId="19DB5D7D" w:rsidR="005F31A3" w:rsidRPr="004B14BD" w:rsidRDefault="005E7F75" w:rsidP="005F31A3">
            <w:pPr>
              <w:spacing w:line="260" w:lineRule="exact"/>
              <w:rPr>
                <w:b/>
              </w:rPr>
            </w:pPr>
            <w:r w:rsidRPr="004B14BD">
              <w:rPr>
                <w:b/>
              </w:rPr>
              <w:t>E</w:t>
            </w:r>
            <w:r w:rsidR="005F31A3" w:rsidRPr="004B14BD">
              <w:rPr>
                <w:b/>
              </w:rPr>
              <w:t>genkontrol af tanke, rør, belægninger, jord og grundvand</w:t>
            </w:r>
          </w:p>
          <w:p w14:paraId="73869F98" w14:textId="77777777" w:rsidR="005F31A3" w:rsidRPr="004B14BD" w:rsidRDefault="005F31A3" w:rsidP="000057A2">
            <w:pPr>
              <w:contextualSpacing/>
              <w:rPr>
                <w:b/>
                <w:sz w:val="24"/>
                <w:szCs w:val="24"/>
              </w:rPr>
            </w:pPr>
          </w:p>
          <w:p w14:paraId="422E93F6" w14:textId="67061EB3" w:rsidR="00FB62E2" w:rsidRPr="004B14BD" w:rsidRDefault="00BE26C8" w:rsidP="00862B16">
            <w:pPr>
              <w:pStyle w:val="Listeafsnit"/>
              <w:numPr>
                <w:ilvl w:val="0"/>
                <w:numId w:val="14"/>
              </w:numPr>
            </w:pPr>
            <w:r w:rsidRPr="004B14BD">
              <w:t>Virksomheden skal løbende og mindst en gang årligt foretage visuel kontrol for</w:t>
            </w:r>
            <w:r w:rsidR="00FB62E2" w:rsidRPr="004B14BD">
              <w:t>:</w:t>
            </w:r>
          </w:p>
          <w:p w14:paraId="70D497BC" w14:textId="77777777" w:rsidR="00AD25DE" w:rsidRPr="004B14BD" w:rsidRDefault="00AD25DE" w:rsidP="00AD25DE">
            <w:pPr>
              <w:pStyle w:val="Listeafsnit"/>
            </w:pPr>
          </w:p>
          <w:p w14:paraId="1C03D310" w14:textId="2527843A" w:rsidR="00FB62E2" w:rsidRDefault="00135B7E" w:rsidP="00862B16">
            <w:pPr>
              <w:pStyle w:val="Listeafsnit"/>
              <w:numPr>
                <w:ilvl w:val="0"/>
                <w:numId w:val="17"/>
              </w:numPr>
            </w:pPr>
            <w:r w:rsidRPr="004B14BD">
              <w:t>U</w:t>
            </w:r>
            <w:r w:rsidR="00BE26C8" w:rsidRPr="004B14BD">
              <w:t>tætheder, revnedannelser og vedligeholdelsesstand af arealer med tæt belægning.</w:t>
            </w:r>
            <w:r w:rsidR="00FB62E2" w:rsidRPr="004B14BD">
              <w:t xml:space="preserve"> </w:t>
            </w:r>
          </w:p>
          <w:p w14:paraId="78085DB7" w14:textId="77777777" w:rsidR="006229E6" w:rsidRPr="004B14BD" w:rsidRDefault="006229E6" w:rsidP="006229E6">
            <w:pPr>
              <w:pStyle w:val="Listeafsnit"/>
              <w:ind w:left="1500"/>
            </w:pPr>
          </w:p>
          <w:p w14:paraId="53D6BA94" w14:textId="29879DB9" w:rsidR="00365CAB" w:rsidRDefault="00FB62E2" w:rsidP="00365CAB">
            <w:pPr>
              <w:pStyle w:val="Listeafsnit"/>
              <w:numPr>
                <w:ilvl w:val="0"/>
                <w:numId w:val="17"/>
              </w:numPr>
            </w:pPr>
            <w:r w:rsidRPr="004B14BD">
              <w:lastRenderedPageBreak/>
              <w:t xml:space="preserve">Utætheder i samlinger mellem asfalt (Strongphalt) og kansten samt </w:t>
            </w:r>
            <w:r w:rsidR="0015711F" w:rsidRPr="004B14BD">
              <w:t xml:space="preserve">samlinger mellem </w:t>
            </w:r>
            <w:r w:rsidR="007D4BDE">
              <w:t>kantsten</w:t>
            </w:r>
            <w:r w:rsidR="0015711F" w:rsidRPr="004B14BD">
              <w:t xml:space="preserve"> og </w:t>
            </w:r>
            <w:r w:rsidRPr="004B14BD">
              <w:t xml:space="preserve">betonoverflader i </w:t>
            </w:r>
            <w:r w:rsidR="0015711F" w:rsidRPr="004B14BD">
              <w:t>de områder</w:t>
            </w:r>
            <w:r w:rsidRPr="004B14BD">
              <w:t>, hvor der er mulighed for spild</w:t>
            </w:r>
            <w:r w:rsidR="00B7793D" w:rsidRPr="004B14BD">
              <w:t xml:space="preserve"> af dieselolie</w:t>
            </w:r>
            <w:r w:rsidRPr="004B14BD">
              <w:t>.</w:t>
            </w:r>
          </w:p>
          <w:p w14:paraId="6FC09329" w14:textId="77777777" w:rsidR="00365CAB" w:rsidRDefault="00365CAB" w:rsidP="00365CAB">
            <w:pPr>
              <w:pStyle w:val="Listeafsnit"/>
            </w:pPr>
          </w:p>
          <w:p w14:paraId="1831E6BD" w14:textId="72EEF26A" w:rsidR="00BE26C8" w:rsidRPr="004B14BD" w:rsidRDefault="00BE26C8" w:rsidP="00365CAB">
            <w:pPr>
              <w:pStyle w:val="Listeafsnit"/>
            </w:pPr>
            <w:r w:rsidRPr="004B14BD">
              <w:t xml:space="preserve">Eventuelle utætheder skal udbedres hurtigst muligt. </w:t>
            </w:r>
            <w:r w:rsidR="00EC6499">
              <w:t>Kommunen</w:t>
            </w:r>
            <w:r w:rsidRPr="004B14BD">
              <w:t xml:space="preserve"> kan kræve, at virksomheden lader en uvildig sagkyndig foretage dette eftersyn, dog højst 1 gang hvert tredje år.</w:t>
            </w:r>
          </w:p>
          <w:p w14:paraId="2136E385" w14:textId="77777777" w:rsidR="00BE26C8" w:rsidRPr="004B14BD" w:rsidRDefault="00BE26C8" w:rsidP="00BE26C8">
            <w:pPr>
              <w:spacing w:line="260" w:lineRule="exact"/>
            </w:pPr>
          </w:p>
          <w:p w14:paraId="51C317AB" w14:textId="4ECD1F53" w:rsidR="00BE26C8" w:rsidRPr="004B14BD" w:rsidRDefault="00BE26C8" w:rsidP="00862B16">
            <w:pPr>
              <w:pStyle w:val="Listeafsnit"/>
              <w:numPr>
                <w:ilvl w:val="0"/>
                <w:numId w:val="14"/>
              </w:numPr>
            </w:pPr>
            <w:r w:rsidRPr="004B14BD">
              <w:t xml:space="preserve">Virksomheden skal </w:t>
            </w:r>
            <w:r w:rsidR="006C16A3" w:rsidRPr="004B14BD">
              <w:t>hver måned</w:t>
            </w:r>
            <w:r w:rsidRPr="004B14BD">
              <w:t xml:space="preserve"> foretage inspektion omkring alle relevante installationer i </w:t>
            </w:r>
            <w:r w:rsidR="004B03A8" w:rsidRPr="004B14BD">
              <w:t>generator</w:t>
            </w:r>
            <w:r w:rsidRPr="004B14BD">
              <w:t>containere (tanke, ventiler, studse, rørføringer, spildbakker, generatorer) og containerbunden for at kontrollere for spild</w:t>
            </w:r>
            <w:r w:rsidR="00FB62E2" w:rsidRPr="004B14BD">
              <w:t>, korrosion</w:t>
            </w:r>
            <w:r w:rsidRPr="004B14BD">
              <w:t xml:space="preserve"> og utætheder. </w:t>
            </w:r>
          </w:p>
          <w:p w14:paraId="446FD75C" w14:textId="77777777" w:rsidR="00BE26C8" w:rsidRPr="004B14BD" w:rsidRDefault="00BE26C8" w:rsidP="00BE26C8">
            <w:pPr>
              <w:spacing w:line="260" w:lineRule="exact"/>
              <w:ind w:left="360"/>
            </w:pPr>
          </w:p>
          <w:p w14:paraId="0406F9C8" w14:textId="26980870" w:rsidR="00BE26C8" w:rsidRPr="004B14BD" w:rsidRDefault="00BE26C8" w:rsidP="00862B16">
            <w:pPr>
              <w:pStyle w:val="Listeafsnit"/>
              <w:numPr>
                <w:ilvl w:val="0"/>
                <w:numId w:val="14"/>
              </w:numPr>
            </w:pPr>
            <w:r w:rsidRPr="004B14BD">
              <w:t xml:space="preserve">Tæthed af </w:t>
            </w:r>
            <w:r w:rsidR="004B03A8" w:rsidRPr="004B14BD">
              <w:t>generator</w:t>
            </w:r>
            <w:r w:rsidRPr="004B14BD">
              <w:t>container</w:t>
            </w:r>
            <w:r w:rsidR="004B03A8" w:rsidRPr="004B14BD">
              <w:t>e</w:t>
            </w:r>
            <w:r w:rsidRPr="004B14BD">
              <w:t xml:space="preserve"> skal kontrolleres hvert 10. år af sagkyndig i forhold til især eftersyn for korrosion, utætheder og skader.</w:t>
            </w:r>
          </w:p>
          <w:p w14:paraId="4C8452A9" w14:textId="77777777" w:rsidR="000B6712" w:rsidRPr="004B14BD" w:rsidRDefault="000B6712" w:rsidP="000B6712">
            <w:pPr>
              <w:rPr>
                <w:i/>
                <w:color w:val="FF0000"/>
                <w:szCs w:val="19"/>
              </w:rPr>
            </w:pPr>
          </w:p>
          <w:p w14:paraId="6FD5BBA6" w14:textId="628689A3" w:rsidR="009B15D3" w:rsidRPr="004B14BD" w:rsidRDefault="005E7F75" w:rsidP="000E37A5">
            <w:pPr>
              <w:spacing w:line="260" w:lineRule="exact"/>
              <w:rPr>
                <w:b/>
                <w:bCs/>
              </w:rPr>
            </w:pPr>
            <w:r w:rsidRPr="004B14BD">
              <w:rPr>
                <w:b/>
                <w:bCs/>
              </w:rPr>
              <w:t>E</w:t>
            </w:r>
            <w:r w:rsidR="009B15D3" w:rsidRPr="004B14BD">
              <w:rPr>
                <w:b/>
                <w:bCs/>
              </w:rPr>
              <w:t>genkontrol af støj</w:t>
            </w:r>
          </w:p>
          <w:p w14:paraId="69A82B68" w14:textId="77777777" w:rsidR="000E37A5" w:rsidRPr="004B14BD" w:rsidRDefault="000E37A5" w:rsidP="009B15D3">
            <w:pPr>
              <w:ind w:left="360"/>
            </w:pPr>
          </w:p>
          <w:p w14:paraId="052FAB0C" w14:textId="68EE0D8A" w:rsidR="000E37A5" w:rsidRDefault="00DB2F88" w:rsidP="00862B16">
            <w:pPr>
              <w:pStyle w:val="Listeafsnit"/>
              <w:numPr>
                <w:ilvl w:val="0"/>
                <w:numId w:val="14"/>
              </w:numPr>
            </w:pPr>
            <w:r w:rsidRPr="004B14BD">
              <w:t xml:space="preserve">Virksomheden skal inden 6 måneder fra driftsstart </w:t>
            </w:r>
            <w:r w:rsidR="00E91B5F">
              <w:t xml:space="preserve">af fase 1 </w:t>
            </w:r>
            <w:r w:rsidRPr="004B14BD">
              <w:t xml:space="preserve">dokumentere, at de i vilkår </w:t>
            </w:r>
            <w:r w:rsidR="002068A9">
              <w:t>15</w:t>
            </w:r>
            <w:r w:rsidRPr="004B14BD">
              <w:t xml:space="preserve"> angivne støjvilkår er overholdt, når virksomheden er i fuld, normal drift</w:t>
            </w:r>
            <w:r w:rsidRPr="004B14BD">
              <w:rPr>
                <w:rStyle w:val="Fodnotehenvisning"/>
              </w:rPr>
              <w:footnoteReference w:id="11"/>
            </w:r>
          </w:p>
          <w:p w14:paraId="4DC0FBE3" w14:textId="77777777" w:rsidR="008C42DF" w:rsidRDefault="008C42DF" w:rsidP="008C42DF">
            <w:pPr>
              <w:pStyle w:val="Listeafsnit"/>
            </w:pPr>
          </w:p>
          <w:p w14:paraId="547502BE" w14:textId="22463C00" w:rsidR="008C42DF" w:rsidRPr="008C42DF" w:rsidRDefault="008C42DF" w:rsidP="00862B16">
            <w:pPr>
              <w:pStyle w:val="Listeafsnit"/>
              <w:numPr>
                <w:ilvl w:val="0"/>
                <w:numId w:val="14"/>
              </w:numPr>
              <w:rPr>
                <w:color w:val="000000" w:themeColor="text1"/>
              </w:rPr>
            </w:pPr>
            <w:r w:rsidRPr="008C42DF">
              <w:rPr>
                <w:color w:val="000000" w:themeColor="text1"/>
              </w:rPr>
              <w:t xml:space="preserve">Tilsvarende skal virksomheden inden 6 måneder fra driftsstart af fase 2 dokumentere, at de i vilkår </w:t>
            </w:r>
            <w:r w:rsidR="004E294C">
              <w:rPr>
                <w:color w:val="000000" w:themeColor="text1"/>
              </w:rPr>
              <w:t>15 a</w:t>
            </w:r>
            <w:r w:rsidRPr="008C42DF">
              <w:rPr>
                <w:color w:val="000000" w:themeColor="text1"/>
              </w:rPr>
              <w:t>ngivne støjvilkår er overholdt, når virksomheden er i fuld, normal drift</w:t>
            </w:r>
            <w:r w:rsidR="003F4FAF" w:rsidRPr="004B14BD">
              <w:rPr>
                <w:rStyle w:val="Fodnotehenvisning"/>
              </w:rPr>
              <w:footnoteReference w:id="12"/>
            </w:r>
            <w:r w:rsidRPr="008C42DF">
              <w:rPr>
                <w:color w:val="000000" w:themeColor="text1"/>
              </w:rPr>
              <w:t>.</w:t>
            </w:r>
          </w:p>
          <w:p w14:paraId="6FE5DEAD" w14:textId="77777777" w:rsidR="000E37A5" w:rsidRPr="004B14BD" w:rsidRDefault="000E37A5" w:rsidP="000E37A5">
            <w:pPr>
              <w:pStyle w:val="Listeafsnit"/>
            </w:pPr>
          </w:p>
          <w:p w14:paraId="3134E909" w14:textId="291ECC7E" w:rsidR="000E37A5" w:rsidRPr="004B14BD" w:rsidRDefault="009B15D3" w:rsidP="000E37A5">
            <w:pPr>
              <w:pStyle w:val="Listeafsnit"/>
            </w:pPr>
            <w:r w:rsidRPr="004B14BD">
              <w:t xml:space="preserve">Virksomheden skal </w:t>
            </w:r>
            <w:r w:rsidR="00762FDA" w:rsidRPr="004B14BD">
              <w:t xml:space="preserve">derudover </w:t>
            </w:r>
            <w:r w:rsidRPr="004B14BD">
              <w:t xml:space="preserve">på kommunens forlangende dokumentere, at vilkår </w:t>
            </w:r>
            <w:r w:rsidR="00A675CF">
              <w:t>15</w:t>
            </w:r>
            <w:r w:rsidRPr="004B14BD">
              <w:t xml:space="preserve">, </w:t>
            </w:r>
            <w:r w:rsidR="00A675CF">
              <w:t>16</w:t>
            </w:r>
            <w:r w:rsidRPr="004B14BD">
              <w:t xml:space="preserve"> og </w:t>
            </w:r>
            <w:r w:rsidR="00A675CF">
              <w:t>17</w:t>
            </w:r>
            <w:r w:rsidRPr="004B14BD">
              <w:t xml:space="preserve"> er overholdt</w:t>
            </w:r>
            <w:r w:rsidR="009043BE" w:rsidRPr="004B14BD">
              <w:t>, når virksomheden er i fuld, normal drift</w:t>
            </w:r>
            <w:r w:rsidRPr="004B14BD">
              <w:t>. Kommunen kan maksimalt forlange dokumentation én gang årligt.</w:t>
            </w:r>
          </w:p>
          <w:p w14:paraId="14B777B5" w14:textId="77777777" w:rsidR="000E37A5" w:rsidRPr="004B14BD" w:rsidRDefault="000E37A5" w:rsidP="000E37A5">
            <w:pPr>
              <w:pStyle w:val="Listeafsnit"/>
            </w:pPr>
          </w:p>
          <w:p w14:paraId="1A2EED5E" w14:textId="77777777" w:rsidR="000E37A5" w:rsidRPr="004B14BD" w:rsidRDefault="009B15D3" w:rsidP="000E37A5">
            <w:pPr>
              <w:pStyle w:val="Listeafsnit"/>
            </w:pPr>
            <w:r w:rsidRPr="004B14BD">
              <w:t xml:space="preserve">Dokumentation skal ske i form af målingerne og/eller beregningerne, der udføres som ”Miljømåling – ekstern støj” og i overensstemmelse med Miljøstyrelsens retningslinjer for måling og beregning af ekstern støj fra virksomheder. </w:t>
            </w:r>
          </w:p>
          <w:p w14:paraId="771EE7EB" w14:textId="77777777" w:rsidR="000E37A5" w:rsidRPr="004B14BD" w:rsidRDefault="000E37A5" w:rsidP="000E37A5">
            <w:pPr>
              <w:pStyle w:val="Listeafsnit"/>
            </w:pPr>
          </w:p>
          <w:p w14:paraId="50F209A3" w14:textId="77777777" w:rsidR="000E37A5" w:rsidRPr="004B14BD" w:rsidRDefault="009B15D3" w:rsidP="000E37A5">
            <w:pPr>
              <w:pStyle w:val="Listeafsnit"/>
            </w:pPr>
            <w:r w:rsidRPr="004B14BD">
              <w:t xml:space="preserve">Målinger af </w:t>
            </w:r>
            <w:bookmarkStart w:id="18" w:name="_Hlk44668584"/>
            <w:r w:rsidRPr="004B14BD">
              <w:t xml:space="preserve">lavfrekvent støj, infralyd og vibrationer </w:t>
            </w:r>
            <w:bookmarkEnd w:id="18"/>
            <w:r w:rsidRPr="004B14BD">
              <w:t xml:space="preserve">skal foretages i overensstemmelse med Miljøstyrelsens </w:t>
            </w:r>
            <w:r w:rsidR="00730612" w:rsidRPr="004B14BD">
              <w:t>retningslinjer om</w:t>
            </w:r>
            <w:r w:rsidRPr="004B14BD">
              <w:t xml:space="preserve"> ”Lavfrekvent støj, infralyd og vibrationer i eksternt miljø”.</w:t>
            </w:r>
          </w:p>
          <w:p w14:paraId="75D8D326" w14:textId="77777777" w:rsidR="000E37A5" w:rsidRPr="004B14BD" w:rsidRDefault="000E37A5" w:rsidP="004116B2"/>
          <w:p w14:paraId="4E3B6DE9" w14:textId="6B5AF4CB" w:rsidR="000E37A5" w:rsidRPr="004B14BD" w:rsidRDefault="009B15D3" w:rsidP="000E37A5">
            <w:pPr>
              <w:pStyle w:val="Listeafsnit"/>
            </w:pPr>
            <w:r w:rsidRPr="004B14BD">
              <w:t xml:space="preserve">Målingerne/beregningerne skal foretages af et laboratorium, der er akkrediteret af DANAK, SWEDAC eller andre akkrediterede organer godkendt af EAL (European Cooperation for Accrediation of Laboratories) til at udføre ”Miljømåling – ekstern støj” eller laboratorier, der beskæftiger personer, som er certificeret af </w:t>
            </w:r>
            <w:r w:rsidR="00384745">
              <w:t xml:space="preserve">Miljøstyrelsens Referencelaboratorie </w:t>
            </w:r>
            <w:r w:rsidRPr="004B14BD">
              <w:t>til at udføre disse målinger.</w:t>
            </w:r>
          </w:p>
          <w:p w14:paraId="3032010D" w14:textId="77777777" w:rsidR="000E37A5" w:rsidRPr="004B14BD" w:rsidRDefault="000E37A5" w:rsidP="000E37A5">
            <w:pPr>
              <w:pStyle w:val="Listeafsnit"/>
            </w:pPr>
          </w:p>
          <w:p w14:paraId="26C0C97D" w14:textId="045212A5" w:rsidR="000E37A5" w:rsidRPr="004B14BD" w:rsidRDefault="003F2DA5" w:rsidP="000E37A5">
            <w:pPr>
              <w:pStyle w:val="Listeafsnit"/>
            </w:pPr>
            <w:r w:rsidRPr="004B14BD">
              <w:t>Dokumentationen skal</w:t>
            </w:r>
            <w:r w:rsidR="009B15D3" w:rsidRPr="004B14BD">
              <w:t xml:space="preserve"> senest </w:t>
            </w:r>
            <w:r w:rsidR="005754F0" w:rsidRPr="004B14BD">
              <w:t>3</w:t>
            </w:r>
            <w:r w:rsidR="009B15D3" w:rsidRPr="004B14BD">
              <w:t xml:space="preserve"> måned</w:t>
            </w:r>
            <w:r w:rsidR="005754F0" w:rsidRPr="004B14BD">
              <w:t>er</w:t>
            </w:r>
            <w:r w:rsidR="009B15D3" w:rsidRPr="004B14BD">
              <w:t xml:space="preserve"> efter, at krav</w:t>
            </w:r>
            <w:r w:rsidRPr="004B14BD">
              <w:t xml:space="preserve">et </w:t>
            </w:r>
            <w:r w:rsidR="009B15D3" w:rsidRPr="004B14BD">
              <w:t xml:space="preserve">er </w:t>
            </w:r>
            <w:r w:rsidR="003F687E" w:rsidRPr="004B14BD">
              <w:t>fremsat,</w:t>
            </w:r>
            <w:r w:rsidRPr="004B14BD">
              <w:t xml:space="preserve"> sendes til </w:t>
            </w:r>
            <w:r w:rsidR="00EC6499">
              <w:t>kommunen</w:t>
            </w:r>
            <w:r w:rsidRPr="004B14BD">
              <w:t xml:space="preserve"> med oplysninger om driftsforholdene under målingen.</w:t>
            </w:r>
          </w:p>
          <w:p w14:paraId="5C3454A8" w14:textId="77777777" w:rsidR="000E37A5" w:rsidRPr="004B14BD" w:rsidRDefault="000E37A5" w:rsidP="000E37A5">
            <w:pPr>
              <w:pStyle w:val="Listeafsnit"/>
            </w:pPr>
          </w:p>
          <w:p w14:paraId="593CF298" w14:textId="42691F82" w:rsidR="009B15D3" w:rsidRPr="004B14BD" w:rsidRDefault="009B15D3" w:rsidP="000E37A5">
            <w:pPr>
              <w:pStyle w:val="Listeafsnit"/>
            </w:pPr>
            <w:r w:rsidRPr="004B14BD">
              <w:t xml:space="preserve">Hvis støjgrænserne ved måling eller beregning konstateres overskredet, skal virksomheden gennemføre yderligere støjdæmpende tiltag og derefter lade udføre nye støjberegninger til dokumentation for overholdelse af støjvilkårene. </w:t>
            </w:r>
          </w:p>
          <w:p w14:paraId="70E717DA" w14:textId="77777777" w:rsidR="000C12BA" w:rsidRPr="004B14BD" w:rsidRDefault="000C12BA" w:rsidP="000C12BA">
            <w:pPr>
              <w:spacing w:line="260" w:lineRule="exact"/>
              <w:rPr>
                <w:b/>
                <w:bCs/>
              </w:rPr>
            </w:pPr>
          </w:p>
          <w:p w14:paraId="1C12FD09" w14:textId="3493F8E0" w:rsidR="005A4FBC" w:rsidRPr="004B14BD" w:rsidRDefault="000C12BA" w:rsidP="000C12BA">
            <w:pPr>
              <w:spacing w:line="260" w:lineRule="exact"/>
              <w:rPr>
                <w:b/>
                <w:bCs/>
              </w:rPr>
            </w:pPr>
            <w:r w:rsidRPr="004B14BD">
              <w:rPr>
                <w:b/>
                <w:bCs/>
              </w:rPr>
              <w:t>Egenkontrol af luft</w:t>
            </w:r>
          </w:p>
          <w:p w14:paraId="2BBF67DE" w14:textId="690075DB" w:rsidR="000C12BA" w:rsidRPr="004B14BD" w:rsidRDefault="000C12BA" w:rsidP="000C12BA">
            <w:pPr>
              <w:spacing w:line="260" w:lineRule="exact"/>
              <w:rPr>
                <w:b/>
                <w:bCs/>
              </w:rPr>
            </w:pPr>
          </w:p>
          <w:p w14:paraId="7BB3B571" w14:textId="139B71E8" w:rsidR="00293E98" w:rsidRDefault="00A9053C" w:rsidP="00293E98">
            <w:pPr>
              <w:pStyle w:val="Listeafsnit"/>
              <w:numPr>
                <w:ilvl w:val="0"/>
                <w:numId w:val="14"/>
              </w:numPr>
            </w:pPr>
            <w:r w:rsidRPr="004B14BD">
              <w:t xml:space="preserve">Senest 4 måneder efter at nye generatorer er taget i brug, skal der ved præstationskontrol </w:t>
            </w:r>
            <w:r w:rsidR="006E601E">
              <w:t xml:space="preserve">på hver enkelt generator </w:t>
            </w:r>
            <w:r w:rsidRPr="004B14BD">
              <w:t xml:space="preserve">foretages 2 enkeltmålinger hver af en varighed på 45 </w:t>
            </w:r>
            <w:r w:rsidRPr="004B14BD">
              <w:lastRenderedPageBreak/>
              <w:t xml:space="preserve">minutter med henblik på at dokumentere overholdelse af emissionsgrænseværdier i vilkår </w:t>
            </w:r>
            <w:r w:rsidR="00A63948">
              <w:t>18</w:t>
            </w:r>
            <w:r w:rsidRPr="004B14BD">
              <w:t xml:space="preserve"> og b-værdier i vilkår </w:t>
            </w:r>
            <w:r w:rsidR="00A63948">
              <w:t>19</w:t>
            </w:r>
            <w:r w:rsidRPr="004B14BD">
              <w:t>.</w:t>
            </w:r>
          </w:p>
          <w:p w14:paraId="3EAEB969" w14:textId="77777777" w:rsidR="00293E98" w:rsidRDefault="00293E98" w:rsidP="00293E98">
            <w:pPr>
              <w:pStyle w:val="Listeafsnit"/>
            </w:pPr>
          </w:p>
          <w:p w14:paraId="213412C9" w14:textId="4D6D7B17" w:rsidR="00293E98" w:rsidRPr="004B14BD" w:rsidRDefault="00293E98" w:rsidP="00293E98">
            <w:pPr>
              <w:pStyle w:val="Listeafsnit"/>
            </w:pPr>
            <w:r>
              <w:t>Tilsynsmyndigheden kan herudover, højst 1 gang årligt, kræve dokumentation for</w:t>
            </w:r>
            <w:r w:rsidR="006E601E">
              <w:t>,</w:t>
            </w:r>
            <w:r>
              <w:t xml:space="preserve"> at de i vilkår 18 og 19 stillede vilkår er overholdt. Dokumentationen kan tillige kræves såfremt vilkår 18 eller 19 er overskredet. </w:t>
            </w:r>
          </w:p>
          <w:p w14:paraId="35142194" w14:textId="77777777" w:rsidR="009B233C" w:rsidRPr="004B14BD" w:rsidRDefault="009B233C" w:rsidP="00420E13"/>
          <w:p w14:paraId="1E719EF1" w14:textId="3E94BF36" w:rsidR="009B233C" w:rsidRPr="004B14BD" w:rsidRDefault="009B233C" w:rsidP="009B233C">
            <w:pPr>
              <w:pStyle w:val="Listeafsnit"/>
              <w:rPr>
                <w:color w:val="FF0000"/>
              </w:rPr>
            </w:pPr>
            <w:r w:rsidRPr="004B14BD">
              <w:t>Målinger skal udføres som akkrediteret teknisk prøvning</w:t>
            </w:r>
            <w:r w:rsidR="007D2B8D">
              <w:t>.</w:t>
            </w:r>
          </w:p>
          <w:p w14:paraId="75CAC2E5" w14:textId="77777777" w:rsidR="00420E13" w:rsidRPr="004B14BD" w:rsidRDefault="00420E13" w:rsidP="00420E13"/>
          <w:p w14:paraId="48BA8FB6" w14:textId="38281C19" w:rsidR="00420E13" w:rsidRPr="004B14BD" w:rsidRDefault="00420E13" w:rsidP="00420E13">
            <w:pPr>
              <w:pStyle w:val="Listeafsnit"/>
              <w:rPr>
                <w:color w:val="FF0000"/>
              </w:rPr>
            </w:pPr>
            <w:r w:rsidRPr="004B14BD">
              <w:t>Målingerne skal foretages under repræsen</w:t>
            </w:r>
            <w:r w:rsidRPr="004B14BD">
              <w:rPr>
                <w:color w:val="000000" w:themeColor="text1"/>
              </w:rPr>
              <w:t xml:space="preserve">tative driftsforhold (maksimal normaldrift). Opstarts- og nedlukningsperioder er i den forbindelse udelukket. </w:t>
            </w:r>
          </w:p>
          <w:p w14:paraId="514BF687" w14:textId="77777777" w:rsidR="005B76BF" w:rsidRPr="004B14BD" w:rsidRDefault="005B76BF" w:rsidP="005B76BF">
            <w:pPr>
              <w:pStyle w:val="Listeafsnit"/>
              <w:rPr>
                <w:color w:val="FF0000"/>
              </w:rPr>
            </w:pPr>
          </w:p>
          <w:p w14:paraId="2DD18F49" w14:textId="786FC8C2" w:rsidR="005B76BF" w:rsidRPr="004B14BD" w:rsidRDefault="005B76BF" w:rsidP="005B76BF">
            <w:pPr>
              <w:pStyle w:val="Listeafsnit"/>
            </w:pPr>
            <w:r w:rsidRPr="004B14BD">
              <w:t xml:space="preserve">Rapport over målingerne skal indsendes til </w:t>
            </w:r>
            <w:r w:rsidR="00EC6499">
              <w:t>kommunen</w:t>
            </w:r>
            <w:r w:rsidRPr="004B14BD">
              <w:t xml:space="preserve"> senest 3 måneder </w:t>
            </w:r>
          </w:p>
          <w:p w14:paraId="5B72B45E" w14:textId="0CC1A995" w:rsidR="005B76BF" w:rsidRPr="004B14BD" w:rsidRDefault="005B76BF" w:rsidP="005B76BF">
            <w:pPr>
              <w:pStyle w:val="Listeafsnit"/>
            </w:pPr>
            <w:r w:rsidRPr="004B14BD">
              <w:t>efter, at disse er foretaget. I rapporten skal emissionsgrænseværdierne, som danner grundlag for overholdelse af B-værdierne fremgå.</w:t>
            </w:r>
            <w:r w:rsidR="00244F11" w:rsidRPr="004B14BD">
              <w:t xml:space="preserve"> </w:t>
            </w:r>
            <w:r w:rsidRPr="004B14BD">
              <w:t>Motorjustering skal fremgå af rapporten.</w:t>
            </w:r>
          </w:p>
          <w:p w14:paraId="5C0C4335" w14:textId="5D7B21CB" w:rsidR="00EE46C5" w:rsidRPr="004B14BD" w:rsidRDefault="00EE46C5" w:rsidP="00293E98"/>
          <w:p w14:paraId="44F40EC5" w14:textId="603EA5F7" w:rsidR="00A9053C" w:rsidRPr="004B14BD" w:rsidRDefault="00EE46C5" w:rsidP="00F54405">
            <w:pPr>
              <w:pStyle w:val="Listeafsnit"/>
            </w:pPr>
            <w:r w:rsidRPr="004B14BD">
              <w:t xml:space="preserve">Prøvetagning og analyse skal ske i overensstemmelse med vilkår </w:t>
            </w:r>
            <w:r w:rsidR="003605DC">
              <w:t>4</w:t>
            </w:r>
            <w:r w:rsidR="00FE6929">
              <w:t>3</w:t>
            </w:r>
            <w:r w:rsidRPr="004B14BD">
              <w:t xml:space="preserve">. </w:t>
            </w:r>
          </w:p>
          <w:p w14:paraId="615E01A8" w14:textId="6E726D3C" w:rsidR="006D3EB1" w:rsidRPr="004B14BD" w:rsidRDefault="006D3EB1" w:rsidP="00F54405">
            <w:pPr>
              <w:pStyle w:val="Listeafsnit"/>
            </w:pPr>
          </w:p>
          <w:p w14:paraId="1E4EDAF4" w14:textId="456F95A5" w:rsidR="00694A0A" w:rsidRPr="004B14BD" w:rsidRDefault="006D3EB1" w:rsidP="00694A0A">
            <w:pPr>
              <w:pStyle w:val="Listeafsnit"/>
              <w:numPr>
                <w:ilvl w:val="0"/>
                <w:numId w:val="14"/>
              </w:numPr>
            </w:pPr>
            <w:r w:rsidRPr="004B14BD">
              <w:t>Ved præstationskontrol anses emissionsgrænseværdierne for at være overholdt, hvis det aritmetiske gennemsnit af enkeltmålingerne ikke overskrider de relevante emissionsgrænseværdier.</w:t>
            </w:r>
          </w:p>
          <w:p w14:paraId="64CCA6B1" w14:textId="77777777" w:rsidR="00694A0A" w:rsidRPr="004B14BD" w:rsidRDefault="00694A0A" w:rsidP="00694A0A">
            <w:pPr>
              <w:pStyle w:val="Listeafsnit"/>
            </w:pPr>
          </w:p>
          <w:p w14:paraId="4CBB3867" w14:textId="72A8BAD5" w:rsidR="00694A0A" w:rsidRPr="004B14BD" w:rsidRDefault="00694A0A" w:rsidP="00694A0A">
            <w:pPr>
              <w:pStyle w:val="Listeafsnit"/>
              <w:numPr>
                <w:ilvl w:val="0"/>
                <w:numId w:val="14"/>
              </w:numPr>
            </w:pPr>
            <w:r w:rsidRPr="004B14BD">
              <w:t>Hvis målinger eller beregninger sandsynliggør, at godkendelsens vilkår overskrides, skal virksomheden indsende projekt og tidsplan for gennemførelse af afhjælpende foranstaltninger, til kommunens godkendelse.</w:t>
            </w:r>
          </w:p>
          <w:p w14:paraId="1B6078F9" w14:textId="77777777" w:rsidR="00A9053C" w:rsidRPr="004B14BD" w:rsidRDefault="00A9053C" w:rsidP="00A9053C">
            <w:pPr>
              <w:pStyle w:val="Listeafsnit"/>
            </w:pPr>
          </w:p>
          <w:p w14:paraId="4EFE9E8F" w14:textId="77777777" w:rsidR="008C0FB0" w:rsidRPr="004B14BD" w:rsidRDefault="008C0FB0" w:rsidP="00AA759A">
            <w:pPr>
              <w:pStyle w:val="Listeafsnit"/>
              <w:numPr>
                <w:ilvl w:val="0"/>
                <w:numId w:val="14"/>
              </w:numPr>
            </w:pPr>
            <w:r w:rsidRPr="004B14BD">
              <w:rPr>
                <w:color w:val="000000" w:themeColor="text1"/>
              </w:rPr>
              <w:t>Alle målinger skal udføres af et firma/laboratorium, der er akkrediteret hertil af DANAK (Den Danske Akkrediteringsfond) eller af et tilsvarende akkrediteringsorgan, som er medunderskriver af EA´s multilaterale aftale om gensidig anerkendelse.</w:t>
            </w:r>
          </w:p>
          <w:p w14:paraId="1915AA0B" w14:textId="77777777" w:rsidR="008C0FB0" w:rsidRPr="004B14BD" w:rsidRDefault="008C0FB0" w:rsidP="008C0FB0">
            <w:pPr>
              <w:pStyle w:val="Listeafsnit"/>
            </w:pPr>
          </w:p>
          <w:p w14:paraId="6D26B642" w14:textId="505DACD9" w:rsidR="000E4837" w:rsidRPr="004B14BD" w:rsidRDefault="00A9053C" w:rsidP="008C0FB0">
            <w:pPr>
              <w:pStyle w:val="Listeafsnit"/>
            </w:pPr>
            <w:r w:rsidRPr="004B14BD">
              <w:t>Prøvetagning og analyser skal udføres efter nedenstående tabels metoder eller efter internationale standarder med mindst samme analysepræcision og usikkerhedsniveau</w:t>
            </w:r>
            <w:r w:rsidR="00F239CC" w:rsidRPr="004B14BD">
              <w:t>.</w:t>
            </w:r>
          </w:p>
          <w:p w14:paraId="6684588C" w14:textId="0D50E848" w:rsidR="000E4837" w:rsidRPr="004B14BD" w:rsidRDefault="000E4837" w:rsidP="00746EFF">
            <w:pPr>
              <w:pStyle w:val="Listeafsnit"/>
            </w:pPr>
          </w:p>
          <w:tbl>
            <w:tblPr>
              <w:tblStyle w:val="Tabel-Gitter"/>
              <w:tblW w:w="0" w:type="auto"/>
              <w:tblInd w:w="720" w:type="dxa"/>
              <w:tblLook w:val="04A0" w:firstRow="1" w:lastRow="0" w:firstColumn="1" w:lastColumn="0" w:noHBand="0" w:noVBand="1"/>
            </w:tblPr>
            <w:tblGrid>
              <w:gridCol w:w="2836"/>
              <w:gridCol w:w="2861"/>
              <w:gridCol w:w="2829"/>
            </w:tblGrid>
            <w:tr w:rsidR="000E4837" w:rsidRPr="004B14BD" w14:paraId="0C26734E" w14:textId="77777777" w:rsidTr="000E4837">
              <w:tc>
                <w:tcPr>
                  <w:tcW w:w="3178" w:type="dxa"/>
                </w:tcPr>
                <w:p w14:paraId="10FA59B5" w14:textId="1591AFDD" w:rsidR="000E4837" w:rsidRPr="004B14BD" w:rsidRDefault="000E4837" w:rsidP="00746EFF">
                  <w:pPr>
                    <w:pStyle w:val="Listeafsnit"/>
                    <w:ind w:left="0"/>
                    <w:rPr>
                      <w:b/>
                      <w:bCs/>
                    </w:rPr>
                  </w:pPr>
                  <w:r w:rsidRPr="004B14BD">
                    <w:rPr>
                      <w:b/>
                      <w:bCs/>
                    </w:rPr>
                    <w:t>Metodeblad nr.</w:t>
                  </w:r>
                  <w:r w:rsidR="009A4CA8" w:rsidRPr="004B14BD">
                    <w:rPr>
                      <w:b/>
                      <w:bCs/>
                    </w:rPr>
                    <w:t xml:space="preserve"> 1)</w:t>
                  </w:r>
                </w:p>
              </w:tc>
              <w:tc>
                <w:tcPr>
                  <w:tcW w:w="3178" w:type="dxa"/>
                </w:tcPr>
                <w:p w14:paraId="6F503AA9" w14:textId="57283C7B" w:rsidR="000E4837" w:rsidRPr="004B14BD" w:rsidRDefault="000E4837" w:rsidP="00746EFF">
                  <w:pPr>
                    <w:pStyle w:val="Listeafsnit"/>
                    <w:ind w:left="0"/>
                    <w:rPr>
                      <w:b/>
                      <w:bCs/>
                    </w:rPr>
                  </w:pPr>
                  <w:r w:rsidRPr="004B14BD">
                    <w:rPr>
                      <w:b/>
                      <w:bCs/>
                    </w:rPr>
                    <w:t>Navn</w:t>
                  </w:r>
                </w:p>
              </w:tc>
              <w:tc>
                <w:tcPr>
                  <w:tcW w:w="3178" w:type="dxa"/>
                </w:tcPr>
                <w:p w14:paraId="73E7514A" w14:textId="7B79FF2E" w:rsidR="000E4837" w:rsidRPr="004B14BD" w:rsidRDefault="000E4837" w:rsidP="00746EFF">
                  <w:pPr>
                    <w:pStyle w:val="Listeafsnit"/>
                    <w:ind w:left="0"/>
                    <w:rPr>
                      <w:b/>
                      <w:bCs/>
                    </w:rPr>
                  </w:pPr>
                  <w:r w:rsidRPr="004B14BD">
                    <w:rPr>
                      <w:b/>
                      <w:bCs/>
                    </w:rPr>
                    <w:t>Parameter</w:t>
                  </w:r>
                </w:p>
              </w:tc>
            </w:tr>
            <w:tr w:rsidR="000E4837" w:rsidRPr="004B14BD" w14:paraId="5F3ADC34" w14:textId="77777777" w:rsidTr="000E4837">
              <w:tc>
                <w:tcPr>
                  <w:tcW w:w="3178" w:type="dxa"/>
                </w:tcPr>
                <w:p w14:paraId="3A222EB5" w14:textId="15766E76" w:rsidR="000E4837" w:rsidRPr="004B14BD" w:rsidRDefault="000E4837" w:rsidP="00746EFF">
                  <w:pPr>
                    <w:pStyle w:val="Listeafsnit"/>
                    <w:ind w:left="0"/>
                  </w:pPr>
                  <w:r w:rsidRPr="004B14BD">
                    <w:t>MEL-03</w:t>
                  </w:r>
                </w:p>
              </w:tc>
              <w:tc>
                <w:tcPr>
                  <w:tcW w:w="3178" w:type="dxa"/>
                </w:tcPr>
                <w:p w14:paraId="6BDDFC08" w14:textId="38A3F4A2" w:rsidR="000E4837" w:rsidRPr="004B14BD" w:rsidRDefault="000E4837" w:rsidP="00746EFF">
                  <w:pPr>
                    <w:pStyle w:val="Listeafsnit"/>
                    <w:ind w:left="0"/>
                  </w:pPr>
                  <w:r w:rsidRPr="004B14BD">
                    <w:t>Bestemmelse af koncentrationen af kvælstofoxider</w:t>
                  </w:r>
                  <w:r w:rsidR="000D1FE4" w:rsidRPr="004B14BD">
                    <w:t xml:space="preserve"> </w:t>
                  </w:r>
                  <w:r w:rsidRPr="004B14BD">
                    <w:t>(NOx) i strømmende gas</w:t>
                  </w:r>
                </w:p>
                <w:p w14:paraId="4C66B882" w14:textId="53B8994D" w:rsidR="00246A43" w:rsidRPr="004B14BD" w:rsidRDefault="00246A43" w:rsidP="00746EFF">
                  <w:pPr>
                    <w:pStyle w:val="Listeafsnit"/>
                    <w:ind w:left="0"/>
                  </w:pPr>
                </w:p>
              </w:tc>
              <w:tc>
                <w:tcPr>
                  <w:tcW w:w="3178" w:type="dxa"/>
                </w:tcPr>
                <w:p w14:paraId="1BC13C81" w14:textId="2E5F4426" w:rsidR="000E4837" w:rsidRPr="004B14BD" w:rsidRDefault="000E4837" w:rsidP="00746EFF">
                  <w:pPr>
                    <w:pStyle w:val="Listeafsnit"/>
                    <w:ind w:left="0"/>
                  </w:pPr>
                  <w:r w:rsidRPr="004B14BD">
                    <w:t>NOx</w:t>
                  </w:r>
                </w:p>
              </w:tc>
            </w:tr>
            <w:tr w:rsidR="000E4837" w:rsidRPr="004B14BD" w14:paraId="2128C037" w14:textId="77777777" w:rsidTr="000E4837">
              <w:tc>
                <w:tcPr>
                  <w:tcW w:w="3178" w:type="dxa"/>
                </w:tcPr>
                <w:p w14:paraId="701EB1B2" w14:textId="0D796BFB" w:rsidR="000E4837" w:rsidRPr="004B14BD" w:rsidRDefault="000E4837" w:rsidP="00746EFF">
                  <w:pPr>
                    <w:pStyle w:val="Listeafsnit"/>
                    <w:ind w:left="0"/>
                  </w:pPr>
                  <w:r w:rsidRPr="004B14BD">
                    <w:t>MEL-05</w:t>
                  </w:r>
                </w:p>
              </w:tc>
              <w:tc>
                <w:tcPr>
                  <w:tcW w:w="3178" w:type="dxa"/>
                </w:tcPr>
                <w:p w14:paraId="20D24190" w14:textId="77777777" w:rsidR="000E4837" w:rsidRPr="004B14BD" w:rsidRDefault="000E4837" w:rsidP="00746EFF">
                  <w:pPr>
                    <w:pStyle w:val="Listeafsnit"/>
                    <w:ind w:left="0"/>
                  </w:pPr>
                  <w:r w:rsidRPr="004B14BD">
                    <w:t>Bestemmelse af koncentrationen af ilt i strømmende gas</w:t>
                  </w:r>
                </w:p>
                <w:p w14:paraId="6493EEB3" w14:textId="3E1AAFAC" w:rsidR="00246A43" w:rsidRPr="004B14BD" w:rsidRDefault="00246A43" w:rsidP="00746EFF">
                  <w:pPr>
                    <w:pStyle w:val="Listeafsnit"/>
                    <w:ind w:left="0"/>
                  </w:pPr>
                </w:p>
              </w:tc>
              <w:tc>
                <w:tcPr>
                  <w:tcW w:w="3178" w:type="dxa"/>
                </w:tcPr>
                <w:p w14:paraId="1A393EBE" w14:textId="1CC41234" w:rsidR="000E4837" w:rsidRPr="004B14BD" w:rsidRDefault="000E4837" w:rsidP="00746EFF">
                  <w:pPr>
                    <w:pStyle w:val="Listeafsnit"/>
                    <w:ind w:left="0"/>
                  </w:pPr>
                  <w:r w:rsidRPr="004B14BD">
                    <w:t>O</w:t>
                  </w:r>
                  <w:r w:rsidRPr="00F74D38">
                    <w:rPr>
                      <w:vertAlign w:val="subscript"/>
                    </w:rPr>
                    <w:t>2</w:t>
                  </w:r>
                </w:p>
              </w:tc>
            </w:tr>
            <w:tr w:rsidR="000E4837" w:rsidRPr="004B14BD" w14:paraId="5F597DCC" w14:textId="77777777" w:rsidTr="000E4837">
              <w:tc>
                <w:tcPr>
                  <w:tcW w:w="3178" w:type="dxa"/>
                </w:tcPr>
                <w:p w14:paraId="3362B282" w14:textId="5E91FA43" w:rsidR="000E4837" w:rsidRPr="004B14BD" w:rsidRDefault="000E4837" w:rsidP="00746EFF">
                  <w:pPr>
                    <w:pStyle w:val="Listeafsnit"/>
                    <w:ind w:left="0"/>
                  </w:pPr>
                  <w:r w:rsidRPr="004B14BD">
                    <w:t>MEL-06</w:t>
                  </w:r>
                </w:p>
              </w:tc>
              <w:tc>
                <w:tcPr>
                  <w:tcW w:w="3178" w:type="dxa"/>
                </w:tcPr>
                <w:p w14:paraId="429D6696" w14:textId="77777777" w:rsidR="00246A43" w:rsidRPr="004B14BD" w:rsidRDefault="00246A43" w:rsidP="00246A43">
                  <w:pPr>
                    <w:pStyle w:val="Listeafsnit"/>
                    <w:ind w:left="0"/>
                  </w:pPr>
                  <w:r w:rsidRPr="004B14BD">
                    <w:t>Bestemmelse af koncentrationen af carbonmonooxid (CO) i strømmende gas</w:t>
                  </w:r>
                </w:p>
                <w:p w14:paraId="6C66E55D" w14:textId="77777777" w:rsidR="000E4837" w:rsidRPr="004B14BD" w:rsidRDefault="000E4837" w:rsidP="00746EFF">
                  <w:pPr>
                    <w:pStyle w:val="Listeafsnit"/>
                    <w:ind w:left="0"/>
                  </w:pPr>
                </w:p>
              </w:tc>
              <w:tc>
                <w:tcPr>
                  <w:tcW w:w="3178" w:type="dxa"/>
                </w:tcPr>
                <w:p w14:paraId="427A0D35" w14:textId="48556481" w:rsidR="00246A43" w:rsidRPr="004B14BD" w:rsidRDefault="00246A43" w:rsidP="00246A43">
                  <w:pPr>
                    <w:pStyle w:val="Listeafsnit"/>
                    <w:ind w:left="0"/>
                  </w:pPr>
                  <w:r w:rsidRPr="004B14BD">
                    <w:t>CO</w:t>
                  </w:r>
                </w:p>
              </w:tc>
            </w:tr>
          </w:tbl>
          <w:p w14:paraId="700B5733" w14:textId="7524004F" w:rsidR="00796EC4" w:rsidRPr="004B14BD" w:rsidRDefault="009A4CA8" w:rsidP="00E31488">
            <w:pPr>
              <w:pStyle w:val="Listeafsnit"/>
              <w:numPr>
                <w:ilvl w:val="0"/>
                <w:numId w:val="38"/>
              </w:numPr>
              <w:rPr>
                <w:sz w:val="16"/>
                <w:szCs w:val="16"/>
              </w:rPr>
            </w:pPr>
            <w:r w:rsidRPr="004B14BD">
              <w:rPr>
                <w:sz w:val="16"/>
                <w:szCs w:val="16"/>
              </w:rPr>
              <w:t>Se hjemmesiden for Miljøstyrelsens Referencelaboratorium for måling af emissioner til luften. (</w:t>
            </w:r>
            <w:hyperlink r:id="rId11" w:history="1">
              <w:r w:rsidR="00796EC4" w:rsidRPr="004B14BD">
                <w:rPr>
                  <w:rStyle w:val="Hyperlink"/>
                  <w:sz w:val="16"/>
                  <w:szCs w:val="16"/>
                </w:rPr>
                <w:t>www.ref-lab.dk</w:t>
              </w:r>
            </w:hyperlink>
            <w:r w:rsidRPr="004B14BD">
              <w:rPr>
                <w:sz w:val="16"/>
                <w:szCs w:val="16"/>
              </w:rPr>
              <w:t>).</w:t>
            </w:r>
          </w:p>
          <w:p w14:paraId="22D01498" w14:textId="77777777" w:rsidR="00244F11" w:rsidRPr="004B14BD" w:rsidRDefault="00244F11" w:rsidP="00CD6996"/>
          <w:p w14:paraId="692B2D2A" w14:textId="569910D5" w:rsidR="00FB4A45" w:rsidRPr="004B14BD" w:rsidRDefault="00796EC4" w:rsidP="00B86B5B">
            <w:pPr>
              <w:pStyle w:val="Listeafsnit"/>
            </w:pPr>
            <w:r w:rsidRPr="004B14BD">
              <w:t>Målerapporterne skal udfærdiges som akkrediterede prøvningsrapporter.</w:t>
            </w:r>
          </w:p>
          <w:p w14:paraId="01EEC7FE" w14:textId="29259152" w:rsidR="0035230C" w:rsidRPr="004B14BD" w:rsidRDefault="00746EFF" w:rsidP="00714A10">
            <w:pPr>
              <w:pStyle w:val="Overskrift2"/>
            </w:pPr>
            <w:bookmarkStart w:id="19" w:name="_Toc120196507"/>
            <w:r w:rsidRPr="004B14BD">
              <w:t>U</w:t>
            </w:r>
            <w:r w:rsidR="005A4FBC" w:rsidRPr="004B14BD">
              <w:t>held og unormal drift</w:t>
            </w:r>
            <w:bookmarkEnd w:id="19"/>
          </w:p>
          <w:p w14:paraId="5683854C" w14:textId="77777777" w:rsidR="002D45BC" w:rsidRPr="004B14BD" w:rsidRDefault="002D45BC" w:rsidP="002D45BC">
            <w:pPr>
              <w:pStyle w:val="Listeafsnit"/>
            </w:pPr>
          </w:p>
          <w:p w14:paraId="366666F9" w14:textId="77777777" w:rsidR="002D45BC" w:rsidRPr="004B14BD" w:rsidRDefault="002D45BC" w:rsidP="002D45BC">
            <w:pPr>
              <w:pStyle w:val="Listeafsnit"/>
              <w:numPr>
                <w:ilvl w:val="0"/>
                <w:numId w:val="14"/>
              </w:numPr>
            </w:pPr>
            <w:r w:rsidRPr="004B14BD">
              <w:lastRenderedPageBreak/>
              <w:t>Kommunen skal hurtigst muligt underrettes, hvis vilkårene i denne godkendelse ikke overholdes.</w:t>
            </w:r>
          </w:p>
          <w:p w14:paraId="11891D1A" w14:textId="77777777" w:rsidR="002D45BC" w:rsidRPr="004B14BD" w:rsidRDefault="002D45BC" w:rsidP="002D45BC">
            <w:pPr>
              <w:pStyle w:val="Listeafsnit"/>
            </w:pPr>
          </w:p>
          <w:p w14:paraId="542E1C3A" w14:textId="77777777" w:rsidR="002D45BC" w:rsidRPr="004B14BD" w:rsidRDefault="002D45BC" w:rsidP="002D45BC">
            <w:pPr>
              <w:pStyle w:val="Listeafsnit"/>
            </w:pPr>
            <w:r w:rsidRPr="004B14BD">
              <w:t>Såfremt den manglende overholdelse af vilkårene medfører umiddelbar fare for menneskers sundhed eller i betydeligt omfang truer med at påvirke miljøet negativt, skal driften af virksomheden eller den relevante del af virksomheden straks indstilles.</w:t>
            </w:r>
          </w:p>
          <w:p w14:paraId="07FDB63D" w14:textId="77777777" w:rsidR="002D45BC" w:rsidRPr="004B14BD" w:rsidRDefault="002D45BC" w:rsidP="002D45BC">
            <w:pPr>
              <w:pStyle w:val="Listeafsnit"/>
            </w:pPr>
          </w:p>
          <w:p w14:paraId="2B44FB7B" w14:textId="77777777" w:rsidR="002D45BC" w:rsidRPr="004B14BD" w:rsidRDefault="002D45BC" w:rsidP="002D45BC">
            <w:pPr>
              <w:pStyle w:val="Listeafsnit"/>
            </w:pPr>
            <w:r w:rsidRPr="004B14BD">
              <w:t>Virksomheden skal straks træffe de fornødne foranstaltninger for at sikre, at vilkårene igen overholdes.</w:t>
            </w:r>
          </w:p>
          <w:p w14:paraId="107075CD" w14:textId="77777777" w:rsidR="002D45BC" w:rsidRPr="004B14BD" w:rsidRDefault="002D45BC" w:rsidP="002D45BC">
            <w:pPr>
              <w:pStyle w:val="Listeafsnit"/>
            </w:pPr>
          </w:p>
          <w:p w14:paraId="45640453" w14:textId="77777777" w:rsidR="002D45BC" w:rsidRPr="004B14BD" w:rsidRDefault="002D45BC" w:rsidP="002D45BC">
            <w:pPr>
              <w:pStyle w:val="Listeafsnit"/>
            </w:pPr>
            <w:r w:rsidRPr="004B14BD">
              <w:t>Ved større eller ikke kontrollerbare uheld, skal virksomheden straks kontakte alarmcentralen på telefon 112.</w:t>
            </w:r>
          </w:p>
          <w:p w14:paraId="120F28E2" w14:textId="3A0BE151" w:rsidR="002D45BC" w:rsidRPr="004B14BD" w:rsidRDefault="002D45BC" w:rsidP="002D45BC">
            <w:pPr>
              <w:pStyle w:val="Overskrift2"/>
            </w:pPr>
            <w:bookmarkStart w:id="20" w:name="_Toc120196508"/>
            <w:r w:rsidRPr="004B14BD">
              <w:t>Energi og råvare udnyttelse</w:t>
            </w:r>
            <w:bookmarkEnd w:id="20"/>
          </w:p>
          <w:p w14:paraId="74CFB65E" w14:textId="77777777" w:rsidR="002D45BC" w:rsidRPr="004B14BD" w:rsidRDefault="002D45BC" w:rsidP="002D45BC"/>
          <w:p w14:paraId="02DBFFFE" w14:textId="77777777" w:rsidR="002D45BC" w:rsidRPr="004B14BD" w:rsidRDefault="002D45BC" w:rsidP="002D45BC">
            <w:pPr>
              <w:pStyle w:val="Listeafsnit"/>
              <w:numPr>
                <w:ilvl w:val="0"/>
                <w:numId w:val="14"/>
              </w:numPr>
            </w:pPr>
            <w:r w:rsidRPr="004B14BD">
              <w:t xml:space="preserve">Virksomheden skal løbende følge og registrere deres energi- og råvareforbrug og </w:t>
            </w:r>
          </w:p>
          <w:p w14:paraId="4CF853DE" w14:textId="77777777" w:rsidR="002D45BC" w:rsidRPr="004B14BD" w:rsidRDefault="002D45BC" w:rsidP="002D45BC">
            <w:pPr>
              <w:pStyle w:val="Listeafsnit"/>
            </w:pPr>
            <w:r w:rsidRPr="004B14BD">
              <w:t>redegøre for deres effektiviseringsplaner. Virksomheden skal indgå i dialog med</w:t>
            </w:r>
          </w:p>
          <w:p w14:paraId="0A835A48" w14:textId="511812FB" w:rsidR="002D45BC" w:rsidRPr="004B14BD" w:rsidRDefault="00582E13" w:rsidP="002D45BC">
            <w:pPr>
              <w:pStyle w:val="Listeafsnit"/>
            </w:pPr>
            <w:r w:rsidRPr="004B14BD">
              <w:t>Høje-Taastrup</w:t>
            </w:r>
            <w:r w:rsidR="002D45BC" w:rsidRPr="004B14BD">
              <w:t xml:space="preserve"> Kommune om planerne</w:t>
            </w:r>
            <w:r w:rsidR="00BA13DA">
              <w:t>.</w:t>
            </w:r>
          </w:p>
          <w:p w14:paraId="55A8B698" w14:textId="744ABC67" w:rsidR="007E4D0B" w:rsidRPr="004B14BD" w:rsidRDefault="00B848BD" w:rsidP="00714A10">
            <w:pPr>
              <w:pStyle w:val="Overskrift2"/>
            </w:pPr>
            <w:bookmarkStart w:id="21" w:name="_Toc103852226"/>
            <w:bookmarkStart w:id="22" w:name="_Toc120196509"/>
            <w:r w:rsidRPr="004B14BD">
              <w:t>D</w:t>
            </w:r>
            <w:r w:rsidR="007E4D0B" w:rsidRPr="004B14BD">
              <w:t>riftsjournal og indberetning</w:t>
            </w:r>
            <w:bookmarkEnd w:id="21"/>
            <w:bookmarkEnd w:id="22"/>
          </w:p>
          <w:p w14:paraId="72E85D94" w14:textId="55CE0AEA" w:rsidR="007E4D0B" w:rsidRPr="004B14BD" w:rsidRDefault="007E4D0B" w:rsidP="007E4D0B">
            <w:pPr>
              <w:contextualSpacing/>
              <w:rPr>
                <w:b/>
                <w:sz w:val="24"/>
                <w:szCs w:val="24"/>
              </w:rPr>
            </w:pPr>
          </w:p>
          <w:p w14:paraId="0BA704EE" w14:textId="6941CB36" w:rsidR="007E4D0B" w:rsidRPr="004B14BD" w:rsidRDefault="007E4D0B" w:rsidP="002D45BC">
            <w:pPr>
              <w:pStyle w:val="Listeafsnit"/>
              <w:numPr>
                <w:ilvl w:val="0"/>
                <w:numId w:val="14"/>
              </w:numPr>
            </w:pPr>
            <w:r w:rsidRPr="004B14BD">
              <w:t xml:space="preserve">Virksomheden skal registrere følgende i driftsjournalen: </w:t>
            </w:r>
          </w:p>
          <w:p w14:paraId="1C1DD2A0" w14:textId="77777777" w:rsidR="004C1240" w:rsidRPr="004B14BD" w:rsidRDefault="004C1240" w:rsidP="00B848BD"/>
          <w:p w14:paraId="7687CB33" w14:textId="78E30EC0" w:rsidR="004C1240" w:rsidRPr="004B14BD" w:rsidRDefault="003426D4" w:rsidP="00862B16">
            <w:pPr>
              <w:pStyle w:val="Listeafsnit"/>
              <w:numPr>
                <w:ilvl w:val="0"/>
                <w:numId w:val="15"/>
              </w:numPr>
              <w:rPr>
                <w:szCs w:val="24"/>
              </w:rPr>
            </w:pPr>
            <w:r>
              <w:rPr>
                <w:szCs w:val="24"/>
              </w:rPr>
              <w:t>Årlige d</w:t>
            </w:r>
            <w:r w:rsidR="004C1240" w:rsidRPr="004B14BD">
              <w:rPr>
                <w:szCs w:val="24"/>
              </w:rPr>
              <w:t>riftstimer pr. generator opgjort i test</w:t>
            </w:r>
            <w:r w:rsidR="00F5587F" w:rsidRPr="004B14BD">
              <w:rPr>
                <w:szCs w:val="24"/>
              </w:rPr>
              <w:t>/</w:t>
            </w:r>
            <w:r w:rsidR="004C1240" w:rsidRPr="004B14BD">
              <w:rPr>
                <w:szCs w:val="24"/>
              </w:rPr>
              <w:t>vedligehold eller nøddrift (rullende gennemsnit over 3 år).</w:t>
            </w:r>
          </w:p>
          <w:p w14:paraId="34CBCDA4" w14:textId="32C2F468" w:rsidR="0097039F" w:rsidRPr="004B14BD" w:rsidRDefault="004C1240" w:rsidP="00862B16">
            <w:pPr>
              <w:pStyle w:val="Listeafsnit"/>
              <w:numPr>
                <w:ilvl w:val="0"/>
                <w:numId w:val="15"/>
              </w:numPr>
              <w:rPr>
                <w:szCs w:val="24"/>
              </w:rPr>
            </w:pPr>
            <w:r w:rsidRPr="004B14BD">
              <w:rPr>
                <w:szCs w:val="24"/>
              </w:rPr>
              <w:t>Service og justering af generatorer</w:t>
            </w:r>
            <w:r w:rsidR="0097039F" w:rsidRPr="004B14BD">
              <w:rPr>
                <w:szCs w:val="24"/>
              </w:rPr>
              <w:t xml:space="preserve"> samt resultat af eventuelle målinger på generatorer.</w:t>
            </w:r>
          </w:p>
          <w:p w14:paraId="44EDF821" w14:textId="7B682BA5" w:rsidR="004C1240" w:rsidRPr="004B14BD" w:rsidRDefault="0042435B" w:rsidP="00862B16">
            <w:pPr>
              <w:pStyle w:val="Listeafsnit"/>
              <w:numPr>
                <w:ilvl w:val="0"/>
                <w:numId w:val="15"/>
              </w:numPr>
              <w:rPr>
                <w:szCs w:val="24"/>
              </w:rPr>
            </w:pPr>
            <w:r w:rsidRPr="004B14BD">
              <w:rPr>
                <w:szCs w:val="24"/>
              </w:rPr>
              <w:t>T</w:t>
            </w:r>
            <w:r w:rsidR="004C1240" w:rsidRPr="004B14BD">
              <w:rPr>
                <w:szCs w:val="24"/>
              </w:rPr>
              <w:t xml:space="preserve">ype og mængde af </w:t>
            </w:r>
            <w:r w:rsidRPr="004B14BD">
              <w:rPr>
                <w:szCs w:val="24"/>
              </w:rPr>
              <w:t xml:space="preserve">forbrugt </w:t>
            </w:r>
            <w:r w:rsidR="004C1240" w:rsidRPr="004B14BD">
              <w:rPr>
                <w:szCs w:val="24"/>
              </w:rPr>
              <w:t>diesel</w:t>
            </w:r>
            <w:r w:rsidR="003B6FE5" w:rsidRPr="004B14BD">
              <w:rPr>
                <w:szCs w:val="24"/>
              </w:rPr>
              <w:t xml:space="preserve"> pr. år</w:t>
            </w:r>
            <w:r w:rsidR="004C1240" w:rsidRPr="004B14BD">
              <w:rPr>
                <w:szCs w:val="24"/>
              </w:rPr>
              <w:t xml:space="preserve">. Svovlindholdet skal fremgå. </w:t>
            </w:r>
          </w:p>
          <w:p w14:paraId="7854E3F9" w14:textId="676ECB06" w:rsidR="004C1240" w:rsidRPr="004B14BD" w:rsidRDefault="004C1240" w:rsidP="00862B16">
            <w:pPr>
              <w:pStyle w:val="Listeafsnit"/>
              <w:numPr>
                <w:ilvl w:val="0"/>
                <w:numId w:val="15"/>
              </w:numPr>
              <w:rPr>
                <w:szCs w:val="24"/>
              </w:rPr>
            </w:pPr>
            <w:r w:rsidRPr="004B14BD">
              <w:rPr>
                <w:szCs w:val="24"/>
              </w:rPr>
              <w:t xml:space="preserve">Forbrug af </w:t>
            </w:r>
            <w:r w:rsidR="0042435B" w:rsidRPr="004B14BD">
              <w:rPr>
                <w:szCs w:val="24"/>
              </w:rPr>
              <w:t xml:space="preserve">øvrige </w:t>
            </w:r>
            <w:r w:rsidRPr="004B14BD">
              <w:rPr>
                <w:szCs w:val="24"/>
              </w:rPr>
              <w:t>råvarer til nødstrømsanlægget.</w:t>
            </w:r>
          </w:p>
          <w:p w14:paraId="6BBACD6D" w14:textId="3AFC11F4" w:rsidR="004C1240" w:rsidRPr="004B14BD" w:rsidRDefault="004C1240" w:rsidP="00862B16">
            <w:pPr>
              <w:pStyle w:val="Listeafsnit"/>
              <w:numPr>
                <w:ilvl w:val="0"/>
                <w:numId w:val="15"/>
              </w:numPr>
              <w:rPr>
                <w:szCs w:val="24"/>
              </w:rPr>
            </w:pPr>
            <w:r w:rsidRPr="004B14BD">
              <w:rPr>
                <w:szCs w:val="24"/>
              </w:rPr>
              <w:t xml:space="preserve">Dato for visuel kontrol for utætheder, revnedannelse og vedligeholdelsesstand af tætte </w:t>
            </w:r>
            <w:r w:rsidR="0042435B" w:rsidRPr="004B14BD">
              <w:rPr>
                <w:szCs w:val="24"/>
              </w:rPr>
              <w:t>b</w:t>
            </w:r>
            <w:r w:rsidRPr="004B14BD">
              <w:rPr>
                <w:szCs w:val="24"/>
              </w:rPr>
              <w:t>elægninger</w:t>
            </w:r>
            <w:r w:rsidR="003B6FE5" w:rsidRPr="004B14BD">
              <w:rPr>
                <w:szCs w:val="24"/>
              </w:rPr>
              <w:t xml:space="preserve"> og samlinger</w:t>
            </w:r>
            <w:r w:rsidRPr="004B14BD">
              <w:rPr>
                <w:szCs w:val="24"/>
              </w:rPr>
              <w:t xml:space="preserve"> samt dato for evt. udbedringer af revner og andre skader.</w:t>
            </w:r>
          </w:p>
          <w:p w14:paraId="7867C61B" w14:textId="73642D64" w:rsidR="004C1240" w:rsidRPr="004B14BD" w:rsidRDefault="004C1240" w:rsidP="00862B16">
            <w:pPr>
              <w:pStyle w:val="Listeafsnit"/>
              <w:numPr>
                <w:ilvl w:val="0"/>
                <w:numId w:val="15"/>
              </w:numPr>
              <w:rPr>
                <w:szCs w:val="24"/>
              </w:rPr>
            </w:pPr>
            <w:r w:rsidRPr="004B14BD">
              <w:rPr>
                <w:szCs w:val="24"/>
              </w:rPr>
              <w:t xml:space="preserve">Uheld og driftsforstyrrelser samt reparationsarbejder og væsentlige aktiviteter, som kan </w:t>
            </w:r>
            <w:r w:rsidR="0042435B" w:rsidRPr="004B14BD">
              <w:rPr>
                <w:szCs w:val="24"/>
              </w:rPr>
              <w:t>h</w:t>
            </w:r>
            <w:r w:rsidRPr="004B14BD">
              <w:rPr>
                <w:szCs w:val="24"/>
              </w:rPr>
              <w:t>ave betydning for det omgivende miljø.</w:t>
            </w:r>
          </w:p>
          <w:p w14:paraId="007FF6C7" w14:textId="039A1D97" w:rsidR="00FE3064" w:rsidRPr="004B14BD" w:rsidRDefault="00FE3064" w:rsidP="00862B16">
            <w:pPr>
              <w:pStyle w:val="Listeafsnit"/>
              <w:numPr>
                <w:ilvl w:val="0"/>
                <w:numId w:val="15"/>
              </w:numPr>
              <w:rPr>
                <w:szCs w:val="24"/>
              </w:rPr>
            </w:pPr>
            <w:r w:rsidRPr="004B14BD">
              <w:rPr>
                <w:szCs w:val="24"/>
              </w:rPr>
              <w:t xml:space="preserve">Resultat af </w:t>
            </w:r>
            <w:r w:rsidR="004A4952">
              <w:rPr>
                <w:szCs w:val="24"/>
              </w:rPr>
              <w:t>overvågningen af emissioner af CO, jf. krav i MCP-bekendtgørelsen.</w:t>
            </w:r>
          </w:p>
          <w:p w14:paraId="23D74759" w14:textId="4CCDD1F6" w:rsidR="00FE3064" w:rsidRPr="004B14BD" w:rsidRDefault="00FE3064" w:rsidP="00862B16">
            <w:pPr>
              <w:pStyle w:val="Listeafsnit"/>
              <w:numPr>
                <w:ilvl w:val="0"/>
                <w:numId w:val="15"/>
              </w:numPr>
              <w:rPr>
                <w:szCs w:val="24"/>
              </w:rPr>
            </w:pPr>
            <w:r w:rsidRPr="004B14BD">
              <w:rPr>
                <w:szCs w:val="24"/>
              </w:rPr>
              <w:t>Årlig funktionsafprøvning af automatisk overvågning</w:t>
            </w:r>
            <w:r w:rsidR="00544034" w:rsidRPr="004B14BD">
              <w:rPr>
                <w:szCs w:val="24"/>
              </w:rPr>
              <w:t>sanlæg</w:t>
            </w:r>
            <w:r w:rsidRPr="004B14BD">
              <w:rPr>
                <w:szCs w:val="24"/>
              </w:rPr>
              <w:t xml:space="preserve"> af dieseltanke</w:t>
            </w:r>
            <w:r w:rsidR="00543CF8">
              <w:rPr>
                <w:szCs w:val="24"/>
              </w:rPr>
              <w:t xml:space="preserve">, jf. krav i </w:t>
            </w:r>
            <w:r w:rsidRPr="004B14BD">
              <w:rPr>
                <w:szCs w:val="24"/>
              </w:rPr>
              <w:t>olietankbekendtgørelsen.</w:t>
            </w:r>
          </w:p>
          <w:p w14:paraId="62C08C72" w14:textId="26D3F27C" w:rsidR="00C13F3F" w:rsidRPr="004B14BD" w:rsidRDefault="00C13F3F" w:rsidP="00862B16">
            <w:pPr>
              <w:pStyle w:val="Listeafsnit"/>
              <w:numPr>
                <w:ilvl w:val="0"/>
                <w:numId w:val="15"/>
              </w:numPr>
              <w:rPr>
                <w:szCs w:val="24"/>
              </w:rPr>
            </w:pPr>
            <w:r w:rsidRPr="004B14BD">
              <w:rPr>
                <w:szCs w:val="24"/>
              </w:rPr>
              <w:t>Dato og resultat af</w:t>
            </w:r>
            <w:r w:rsidR="00F74D38">
              <w:rPr>
                <w:szCs w:val="24"/>
              </w:rPr>
              <w:t xml:space="preserve"> t</w:t>
            </w:r>
            <w:r w:rsidRPr="004B14BD">
              <w:rPr>
                <w:szCs w:val="24"/>
              </w:rPr>
              <w:t>æthedsprøvning af det enkeltvæggede rør fra tank til generator</w:t>
            </w:r>
            <w:r w:rsidR="00F74D38">
              <w:rPr>
                <w:szCs w:val="24"/>
              </w:rPr>
              <w:t xml:space="preserve"> hvert. 10 år</w:t>
            </w:r>
            <w:r w:rsidR="0008029E" w:rsidRPr="004B14BD">
              <w:rPr>
                <w:szCs w:val="24"/>
              </w:rPr>
              <w:t xml:space="preserve">, jf. krav i </w:t>
            </w:r>
            <w:r w:rsidRPr="004B14BD">
              <w:rPr>
                <w:szCs w:val="24"/>
              </w:rPr>
              <w:t>olietankbekendtgørelsen.</w:t>
            </w:r>
          </w:p>
          <w:p w14:paraId="4027EF39" w14:textId="287DBF2C" w:rsidR="004C1240" w:rsidRPr="004B14BD" w:rsidRDefault="004C1240" w:rsidP="00862B16">
            <w:pPr>
              <w:pStyle w:val="Listeafsnit"/>
              <w:numPr>
                <w:ilvl w:val="0"/>
                <w:numId w:val="15"/>
              </w:numPr>
              <w:rPr>
                <w:szCs w:val="24"/>
              </w:rPr>
            </w:pPr>
            <w:r w:rsidRPr="004B14BD">
              <w:rPr>
                <w:szCs w:val="24"/>
              </w:rPr>
              <w:t xml:space="preserve">Dato for </w:t>
            </w:r>
            <w:r w:rsidR="005824F0" w:rsidRPr="004B14BD">
              <w:rPr>
                <w:szCs w:val="24"/>
              </w:rPr>
              <w:t>månedlig</w:t>
            </w:r>
            <w:r w:rsidRPr="004B14BD">
              <w:rPr>
                <w:szCs w:val="24"/>
              </w:rPr>
              <w:t xml:space="preserve"> inspektion af </w:t>
            </w:r>
            <w:r w:rsidR="00F5587F" w:rsidRPr="004B14BD">
              <w:rPr>
                <w:szCs w:val="24"/>
              </w:rPr>
              <w:t>generatorcontainer</w:t>
            </w:r>
            <w:r w:rsidRPr="004B14BD">
              <w:rPr>
                <w:szCs w:val="24"/>
              </w:rPr>
              <w:t>bund og installationer i generatorcontainer for lækage og korrosion</w:t>
            </w:r>
            <w:r w:rsidR="00F5587F" w:rsidRPr="004B14BD">
              <w:t xml:space="preserve"> samt dato for evt. u</w:t>
            </w:r>
            <w:r w:rsidRPr="004B14BD">
              <w:rPr>
                <w:szCs w:val="24"/>
              </w:rPr>
              <w:t>dbedringer af revner og andre skader.</w:t>
            </w:r>
          </w:p>
          <w:p w14:paraId="7AB665F7" w14:textId="4D52E680" w:rsidR="00933295" w:rsidRPr="004B14BD" w:rsidRDefault="004C1240" w:rsidP="00933295">
            <w:pPr>
              <w:pStyle w:val="Listeafsnit"/>
              <w:numPr>
                <w:ilvl w:val="0"/>
                <w:numId w:val="15"/>
              </w:numPr>
              <w:rPr>
                <w:szCs w:val="24"/>
              </w:rPr>
            </w:pPr>
            <w:r w:rsidRPr="004B14BD">
              <w:rPr>
                <w:szCs w:val="24"/>
              </w:rPr>
              <w:t xml:space="preserve">Dato og resultat af </w:t>
            </w:r>
            <w:r w:rsidR="00CD0842" w:rsidRPr="004B14BD">
              <w:rPr>
                <w:szCs w:val="24"/>
              </w:rPr>
              <w:t xml:space="preserve">den </w:t>
            </w:r>
            <w:r w:rsidRPr="004B14BD">
              <w:rPr>
                <w:szCs w:val="24"/>
              </w:rPr>
              <w:t>10</w:t>
            </w:r>
            <w:r w:rsidR="00211471" w:rsidRPr="004B14BD">
              <w:rPr>
                <w:szCs w:val="24"/>
              </w:rPr>
              <w:t>.</w:t>
            </w:r>
            <w:r w:rsidRPr="004B14BD">
              <w:rPr>
                <w:szCs w:val="24"/>
              </w:rPr>
              <w:t xml:space="preserve"> årlig</w:t>
            </w:r>
            <w:r w:rsidR="00CD0842" w:rsidRPr="004B14BD">
              <w:rPr>
                <w:szCs w:val="24"/>
              </w:rPr>
              <w:t>e</w:t>
            </w:r>
            <w:r w:rsidRPr="004B14BD">
              <w:rPr>
                <w:szCs w:val="24"/>
              </w:rPr>
              <w:t xml:space="preserve"> inspektion af </w:t>
            </w:r>
            <w:r w:rsidR="00251491" w:rsidRPr="004B14BD">
              <w:rPr>
                <w:szCs w:val="24"/>
              </w:rPr>
              <w:t>generator</w:t>
            </w:r>
            <w:r w:rsidRPr="004B14BD">
              <w:rPr>
                <w:szCs w:val="24"/>
              </w:rPr>
              <w:t>container</w:t>
            </w:r>
            <w:r w:rsidR="00251491" w:rsidRPr="004B14BD">
              <w:rPr>
                <w:szCs w:val="24"/>
              </w:rPr>
              <w:t>e</w:t>
            </w:r>
            <w:r w:rsidRPr="004B14BD">
              <w:rPr>
                <w:szCs w:val="24"/>
              </w:rPr>
              <w:t xml:space="preserve"> for tæthed.</w:t>
            </w:r>
          </w:p>
          <w:p w14:paraId="6E41617C" w14:textId="77777777" w:rsidR="0022333D" w:rsidRPr="004B14BD" w:rsidRDefault="0022333D" w:rsidP="0022333D">
            <w:pPr>
              <w:pStyle w:val="Listeafsnit"/>
              <w:rPr>
                <w:szCs w:val="24"/>
              </w:rPr>
            </w:pPr>
          </w:p>
          <w:p w14:paraId="48705FD8" w14:textId="28F0BD34" w:rsidR="004C1240" w:rsidRPr="004B14BD" w:rsidRDefault="00933295" w:rsidP="006B78F4">
            <w:r w:rsidRPr="004B14BD">
              <w:t xml:space="preserve">Registreringerne skal være tilgængelige for </w:t>
            </w:r>
            <w:r w:rsidR="00EC6499">
              <w:t>kommunen</w:t>
            </w:r>
            <w:r w:rsidRPr="004B14BD">
              <w:t xml:space="preserve"> ved tilsyn og skal opbevares på virksomheden i mindst </w:t>
            </w:r>
            <w:r w:rsidR="0099355E" w:rsidRPr="004B14BD">
              <w:t xml:space="preserve">6 </w:t>
            </w:r>
            <w:r w:rsidRPr="004B14BD">
              <w:t xml:space="preserve">år. </w:t>
            </w:r>
          </w:p>
          <w:p w14:paraId="4D1AC76E" w14:textId="2172C933" w:rsidR="00716825" w:rsidRPr="004B14BD" w:rsidRDefault="00933295" w:rsidP="006C5485">
            <w:pPr>
              <w:pStyle w:val="Overskrift2"/>
            </w:pPr>
            <w:bookmarkStart w:id="23" w:name="_Toc120196510"/>
            <w:r w:rsidRPr="004B14BD">
              <w:t>F</w:t>
            </w:r>
            <w:r w:rsidR="00F2644B" w:rsidRPr="004B14BD">
              <w:t>oranstaltninger ved ophør</w:t>
            </w:r>
            <w:bookmarkEnd w:id="23"/>
          </w:p>
          <w:p w14:paraId="2BA4EAD5" w14:textId="77777777" w:rsidR="004C1240" w:rsidRPr="004B14BD" w:rsidRDefault="004C1240" w:rsidP="00933295">
            <w:pPr>
              <w:spacing w:line="260" w:lineRule="exact"/>
              <w:rPr>
                <w:color w:val="000000" w:themeColor="text1"/>
              </w:rPr>
            </w:pPr>
          </w:p>
          <w:p w14:paraId="41452E21" w14:textId="77777777" w:rsidR="00D74A3F" w:rsidRPr="004B14BD" w:rsidRDefault="004C1240" w:rsidP="002D45BC">
            <w:pPr>
              <w:pStyle w:val="Listeafsnit"/>
              <w:numPr>
                <w:ilvl w:val="0"/>
                <w:numId w:val="14"/>
              </w:numPr>
            </w:pPr>
            <w:r w:rsidRPr="004B14BD">
              <w:t xml:space="preserve">Ved ophør af nødstrømanlæggets drift skal der træffes de nødvendige foranstaltninger for at undgå forureningsfare og for at efterlade stedet i tilfredsstillende tilstand. </w:t>
            </w:r>
          </w:p>
          <w:p w14:paraId="35F8D720" w14:textId="77777777" w:rsidR="00D74A3F" w:rsidRPr="004B14BD" w:rsidRDefault="00D74A3F" w:rsidP="00933295"/>
          <w:p w14:paraId="0BB393FD" w14:textId="4AF24B5C" w:rsidR="004C1240" w:rsidRPr="004B14BD" w:rsidRDefault="004C1240" w:rsidP="00933295">
            <w:pPr>
              <w:pStyle w:val="Listeafsnit"/>
            </w:pPr>
            <w:r w:rsidRPr="004B14BD">
              <w:t xml:space="preserve">Senest </w:t>
            </w:r>
            <w:r w:rsidR="0080192B">
              <w:t xml:space="preserve">3 måneder før driften ophører, skal virksomheden indsende en plan til kommunen for </w:t>
            </w:r>
            <w:r w:rsidRPr="004B14BD">
              <w:t>nedlukning og afvikling af anlæg samt</w:t>
            </w:r>
            <w:r w:rsidR="00D74A3F" w:rsidRPr="004B14BD">
              <w:t xml:space="preserve"> </w:t>
            </w:r>
            <w:r w:rsidRPr="004B14BD">
              <w:t>rydning af arealet.</w:t>
            </w:r>
          </w:p>
          <w:p w14:paraId="5A4B39E7" w14:textId="77777777" w:rsidR="00D74A3F" w:rsidRPr="004B14BD" w:rsidRDefault="00D74A3F" w:rsidP="00D74A3F">
            <w:pPr>
              <w:spacing w:line="260" w:lineRule="exact"/>
              <w:ind w:left="360"/>
              <w:rPr>
                <w:color w:val="000000" w:themeColor="text1"/>
              </w:rPr>
            </w:pPr>
          </w:p>
          <w:p w14:paraId="03410E0E" w14:textId="12F94BA1" w:rsidR="004C1240" w:rsidRPr="004B14BD" w:rsidRDefault="004C1240" w:rsidP="00933295">
            <w:r w:rsidRPr="004B14BD">
              <w:t>Planen skal redegøre for:</w:t>
            </w:r>
          </w:p>
          <w:p w14:paraId="00D72ADF" w14:textId="77777777" w:rsidR="00D74A3F" w:rsidRPr="004B14BD" w:rsidRDefault="00D74A3F" w:rsidP="00933295"/>
          <w:p w14:paraId="2AC14684" w14:textId="77777777" w:rsidR="00497BC9" w:rsidRPr="004B14BD" w:rsidRDefault="00497BC9" w:rsidP="00862B16">
            <w:pPr>
              <w:pStyle w:val="Listeafsnit"/>
              <w:numPr>
                <w:ilvl w:val="0"/>
                <w:numId w:val="16"/>
              </w:numPr>
            </w:pPr>
            <w:r w:rsidRPr="004B14BD">
              <w:t xml:space="preserve">Tømning og rengøring af tankanlæg, rørføringer og procesanlæg, som aktuelt eller </w:t>
            </w:r>
          </w:p>
          <w:p w14:paraId="5AB175D2" w14:textId="7567A28E" w:rsidR="00497BC9" w:rsidRPr="004B14BD" w:rsidRDefault="00497BC9" w:rsidP="00497BC9">
            <w:pPr>
              <w:pStyle w:val="Listeafsnit"/>
            </w:pPr>
            <w:r w:rsidRPr="004B14BD">
              <w:t xml:space="preserve">på sigt vil indebære fare for forurening af jord, grundvand, overfladevand eller spildevandssystemet. </w:t>
            </w:r>
          </w:p>
          <w:p w14:paraId="50406B72" w14:textId="77E3B36F" w:rsidR="00497BC9" w:rsidRPr="004B14BD" w:rsidRDefault="00497BC9" w:rsidP="00862B16">
            <w:pPr>
              <w:pStyle w:val="Listeafsnit"/>
              <w:numPr>
                <w:ilvl w:val="0"/>
                <w:numId w:val="16"/>
              </w:numPr>
            </w:pPr>
            <w:r w:rsidRPr="004B14BD">
              <w:t>Sikring af tankanlæg, rørføringer og procesanlæg mod utilsigtet brug</w:t>
            </w:r>
          </w:p>
          <w:p w14:paraId="664ED5E9" w14:textId="1C42F868" w:rsidR="004C1240" w:rsidRPr="004B14BD" w:rsidRDefault="004C1240" w:rsidP="00862B16">
            <w:pPr>
              <w:pStyle w:val="Listeafsnit"/>
              <w:numPr>
                <w:ilvl w:val="0"/>
                <w:numId w:val="16"/>
              </w:numPr>
            </w:pPr>
            <w:r w:rsidRPr="004B14BD">
              <w:t xml:space="preserve">Tømning af generatorer for olie og andre væsker, som kan udgøre en fare for </w:t>
            </w:r>
          </w:p>
          <w:p w14:paraId="7971384A" w14:textId="77777777" w:rsidR="004C1240" w:rsidRPr="004B14BD" w:rsidRDefault="004C1240" w:rsidP="00BC68DC">
            <w:pPr>
              <w:pStyle w:val="Listeafsnit"/>
            </w:pPr>
            <w:r w:rsidRPr="004B14BD">
              <w:t>forurening.</w:t>
            </w:r>
          </w:p>
          <w:p w14:paraId="35EDDD35" w14:textId="6EEA613F" w:rsidR="00B81E18" w:rsidRPr="004B14BD" w:rsidRDefault="00B81E18" w:rsidP="00862B16">
            <w:pPr>
              <w:pStyle w:val="Listeafsnit"/>
              <w:numPr>
                <w:ilvl w:val="0"/>
                <w:numId w:val="16"/>
              </w:numPr>
            </w:pPr>
            <w:r w:rsidRPr="004B14BD">
              <w:t>Rydning af udendørsarealer og bortskaffelse af råvarer, affald og kemikalier.</w:t>
            </w:r>
          </w:p>
          <w:p w14:paraId="07895743" w14:textId="27F67B88" w:rsidR="004C1240" w:rsidRPr="004B14BD" w:rsidRDefault="004C1240" w:rsidP="00862B16">
            <w:pPr>
              <w:pStyle w:val="Listeafsnit"/>
              <w:numPr>
                <w:ilvl w:val="0"/>
                <w:numId w:val="16"/>
              </w:numPr>
            </w:pPr>
            <w:r w:rsidRPr="004B14BD">
              <w:t>Bortskaffelse af faste belægninger, bygningsdele m.v.</w:t>
            </w:r>
          </w:p>
          <w:p w14:paraId="4202754E" w14:textId="118CE293" w:rsidR="004C1240" w:rsidRPr="004B14BD" w:rsidRDefault="004C1240" w:rsidP="00862B16">
            <w:pPr>
              <w:pStyle w:val="Listeafsnit"/>
              <w:numPr>
                <w:ilvl w:val="0"/>
                <w:numId w:val="16"/>
              </w:numPr>
            </w:pPr>
            <w:r w:rsidRPr="004B14BD">
              <w:t xml:space="preserve">Tømning af olieudskillere og interne kloakker mv. </w:t>
            </w:r>
          </w:p>
          <w:p w14:paraId="64DCC956" w14:textId="0524E155" w:rsidR="00970F0D" w:rsidRPr="004B14BD" w:rsidRDefault="00970F0D" w:rsidP="00970F0D">
            <w:pPr>
              <w:spacing w:line="260" w:lineRule="exact"/>
              <w:rPr>
                <w:color w:val="000000" w:themeColor="text1"/>
              </w:rPr>
            </w:pPr>
          </w:p>
          <w:p w14:paraId="72E51B5E" w14:textId="67CD0AB9" w:rsidR="00970F0D" w:rsidRPr="004B14BD" w:rsidRDefault="00970F0D" w:rsidP="00933295">
            <w:r w:rsidRPr="004B14BD">
              <w:t xml:space="preserve">Planen skal godkendes af </w:t>
            </w:r>
            <w:r w:rsidR="00EC6499">
              <w:t>kommunen</w:t>
            </w:r>
            <w:r w:rsidRPr="004B14BD">
              <w:t xml:space="preserve"> inden opstart.</w:t>
            </w:r>
          </w:p>
          <w:p w14:paraId="4EE071CB" w14:textId="77777777" w:rsidR="004C1240" w:rsidRPr="004B14BD" w:rsidRDefault="004C1240" w:rsidP="00933295"/>
          <w:p w14:paraId="57519A29" w14:textId="0F626687" w:rsidR="004C1240" w:rsidRPr="004B14BD" w:rsidRDefault="004C1240" w:rsidP="00933295">
            <w:r w:rsidRPr="004B14BD">
              <w:t xml:space="preserve">Hvis ikke andet aftales med </w:t>
            </w:r>
            <w:r w:rsidR="00EC6499">
              <w:t>kommunen</w:t>
            </w:r>
            <w:r w:rsidRPr="004B14BD">
              <w:t>, skal nedlukning, afvikling af anlæg samt aflevering af affald være afsluttet senest 3 måneder efter virksomhedens ophør</w:t>
            </w:r>
            <w:r w:rsidR="005616DF" w:rsidRPr="004B14BD">
              <w:t>.</w:t>
            </w:r>
          </w:p>
          <w:p w14:paraId="3365539D" w14:textId="514584BA" w:rsidR="005616DF" w:rsidRPr="004B14BD" w:rsidRDefault="005616DF" w:rsidP="00933295"/>
          <w:p w14:paraId="7301B37A" w14:textId="4995C20F" w:rsidR="005616DF" w:rsidRPr="004B14BD" w:rsidRDefault="005616DF" w:rsidP="00933295">
            <w:r w:rsidRPr="004B14BD">
              <w:t xml:space="preserve">(Kommunen gør desuden opmærksom på, at planen skal indeholde en vurdering af jordens og grundvandets forureningstilstand, ifølge </w:t>
            </w:r>
            <w:r w:rsidR="007D4D6E" w:rsidRPr="004B14BD">
              <w:t xml:space="preserve">bestemmelser i den til enhver tid gældende jordforureningslov, pt. </w:t>
            </w:r>
            <w:r w:rsidRPr="004B14BD">
              <w:t>jordforureningslovens</w:t>
            </w:r>
            <w:r w:rsidRPr="004B14BD">
              <w:rPr>
                <w:rStyle w:val="Fodnotehenvisning"/>
              </w:rPr>
              <w:footnoteReference w:id="13"/>
            </w:r>
            <w:r w:rsidRPr="004B14BD">
              <w:t xml:space="preserve"> §38 K, stk. 1.) </w:t>
            </w:r>
          </w:p>
          <w:p w14:paraId="43565FE2" w14:textId="63A934F2" w:rsidR="004C1240" w:rsidRPr="004B14BD" w:rsidRDefault="004C1240" w:rsidP="004C1240">
            <w:pPr>
              <w:spacing w:line="260" w:lineRule="exact"/>
              <w:rPr>
                <w:color w:val="000000" w:themeColor="text1"/>
              </w:rPr>
            </w:pPr>
          </w:p>
          <w:p w14:paraId="166450C4" w14:textId="77777777" w:rsidR="003312A4" w:rsidRPr="004B14BD" w:rsidRDefault="003312A4" w:rsidP="001A4581">
            <w:pPr>
              <w:pStyle w:val="Overskrift2"/>
            </w:pPr>
          </w:p>
          <w:p w14:paraId="0C27BC4D" w14:textId="77777777" w:rsidR="003312A4" w:rsidRPr="004B14BD" w:rsidRDefault="003312A4" w:rsidP="001A4581">
            <w:pPr>
              <w:pStyle w:val="Overskrift2"/>
            </w:pPr>
          </w:p>
          <w:p w14:paraId="5C2D9122" w14:textId="217B242E" w:rsidR="006760B9" w:rsidRPr="004B14BD" w:rsidRDefault="006760B9" w:rsidP="001A4581">
            <w:pPr>
              <w:pStyle w:val="Overskrift2"/>
            </w:pPr>
            <w:r w:rsidRPr="004B14BD">
              <w:t xml:space="preserve"> </w:t>
            </w:r>
          </w:p>
          <w:p w14:paraId="2174C6C6" w14:textId="77777777" w:rsidR="007E4D0B" w:rsidRPr="004B14BD" w:rsidRDefault="007E4D0B" w:rsidP="007E4D0B">
            <w:pPr>
              <w:pStyle w:val="Brdtekstindrykning"/>
              <w:tabs>
                <w:tab w:val="left" w:pos="900"/>
              </w:tabs>
              <w:spacing w:line="260" w:lineRule="exact"/>
              <w:ind w:left="0"/>
              <w:rPr>
                <w:color w:val="FF0000"/>
                <w:szCs w:val="24"/>
              </w:rPr>
            </w:pPr>
          </w:p>
          <w:p w14:paraId="5E9CC909" w14:textId="57AA15E7" w:rsidR="001330FB" w:rsidRPr="004B14BD" w:rsidRDefault="001330FB" w:rsidP="007E4D0B"/>
          <w:p w14:paraId="331718AF" w14:textId="77777777" w:rsidR="001330FB" w:rsidRPr="004B14BD" w:rsidRDefault="001330FB" w:rsidP="007E4D0B"/>
          <w:p w14:paraId="5C8594B6" w14:textId="77777777" w:rsidR="007E4D0B" w:rsidRPr="004B14BD" w:rsidRDefault="007E4D0B" w:rsidP="007E4D0B">
            <w:pPr>
              <w:contextualSpacing/>
              <w:rPr>
                <w:b/>
                <w:sz w:val="24"/>
                <w:szCs w:val="24"/>
              </w:rPr>
            </w:pPr>
          </w:p>
          <w:p w14:paraId="2F8638F7" w14:textId="592AEFE0" w:rsidR="009B15D3" w:rsidRPr="004B14BD" w:rsidRDefault="009B15D3" w:rsidP="000B6712">
            <w:pPr>
              <w:rPr>
                <w:color w:val="FF0000"/>
                <w:szCs w:val="19"/>
              </w:rPr>
            </w:pPr>
          </w:p>
        </w:tc>
      </w:tr>
      <w:tr w:rsidR="000B6712" w:rsidRPr="004B14BD" w14:paraId="39804D2D" w14:textId="77777777" w:rsidTr="00E05A89">
        <w:tc>
          <w:tcPr>
            <w:tcW w:w="617" w:type="pct"/>
            <w:hideMark/>
          </w:tcPr>
          <w:p w14:paraId="55054F0F" w14:textId="164F28F4" w:rsidR="000B6712" w:rsidRPr="004B14BD" w:rsidRDefault="000B6712" w:rsidP="000B6712">
            <w:pPr>
              <w:rPr>
                <w:rFonts w:cs="Verdana"/>
                <w:b/>
                <w:color w:val="FF0000"/>
                <w:szCs w:val="19"/>
              </w:rPr>
            </w:pPr>
          </w:p>
        </w:tc>
        <w:tc>
          <w:tcPr>
            <w:tcW w:w="4383" w:type="pct"/>
          </w:tcPr>
          <w:p w14:paraId="32CE903D" w14:textId="77777777" w:rsidR="000B6712" w:rsidRPr="004B14BD" w:rsidRDefault="000B6712" w:rsidP="00B9517C">
            <w:pPr>
              <w:autoSpaceDE w:val="0"/>
              <w:autoSpaceDN w:val="0"/>
              <w:adjustRightInd w:val="0"/>
              <w:spacing w:line="240" w:lineRule="auto"/>
              <w:rPr>
                <w:rFonts w:cs="Verdana"/>
                <w:color w:val="FF0000"/>
                <w:szCs w:val="19"/>
              </w:rPr>
            </w:pPr>
          </w:p>
        </w:tc>
      </w:tr>
    </w:tbl>
    <w:p w14:paraId="3E43E497" w14:textId="413424FD" w:rsidR="0009521C" w:rsidRPr="004B14BD" w:rsidRDefault="0009521C" w:rsidP="00E9797E">
      <w:pPr>
        <w:rPr>
          <w:color w:val="FF0000"/>
        </w:rPr>
      </w:pPr>
      <w:bookmarkStart w:id="24" w:name="_Hlk95131712"/>
      <w:bookmarkStart w:id="25" w:name="_Toc384208148"/>
      <w:bookmarkEnd w:id="5"/>
    </w:p>
    <w:p w14:paraId="1D8C9E49" w14:textId="483CEA15" w:rsidR="0077607D" w:rsidRPr="004B14BD" w:rsidRDefault="0077607D" w:rsidP="00B2580D">
      <w:pPr>
        <w:rPr>
          <w:color w:val="FF0000"/>
        </w:rPr>
      </w:pPr>
      <w:bookmarkStart w:id="26" w:name="_Hlk94966492"/>
      <w:bookmarkEnd w:id="24"/>
    </w:p>
    <w:p w14:paraId="63ED067C" w14:textId="171EC19B" w:rsidR="00EF6868" w:rsidRPr="004B14BD" w:rsidRDefault="00EF6868" w:rsidP="00B2580D">
      <w:pPr>
        <w:rPr>
          <w:color w:val="FF0000"/>
        </w:rPr>
      </w:pPr>
    </w:p>
    <w:p w14:paraId="1793B5FE" w14:textId="18B989D9" w:rsidR="00821DAF" w:rsidRPr="004B14BD" w:rsidRDefault="00821DAF" w:rsidP="00B2580D">
      <w:pPr>
        <w:rPr>
          <w:color w:val="FF0000"/>
        </w:rPr>
      </w:pPr>
    </w:p>
    <w:p w14:paraId="6BC953FB" w14:textId="1FD3D8B8" w:rsidR="00821DAF" w:rsidRPr="004B14BD" w:rsidRDefault="00821DAF" w:rsidP="00B2580D">
      <w:pPr>
        <w:rPr>
          <w:color w:val="FF0000"/>
        </w:rPr>
      </w:pPr>
    </w:p>
    <w:p w14:paraId="3050F9D9" w14:textId="2D8DC9B5" w:rsidR="00821DAF" w:rsidRPr="004B14BD" w:rsidRDefault="00821DAF" w:rsidP="00B2580D">
      <w:pPr>
        <w:rPr>
          <w:color w:val="FF0000"/>
        </w:rPr>
      </w:pPr>
    </w:p>
    <w:p w14:paraId="208D24FE" w14:textId="41D0C2B1" w:rsidR="0012470E" w:rsidRDefault="0012470E">
      <w:pPr>
        <w:spacing w:after="200" w:line="276" w:lineRule="auto"/>
      </w:pPr>
      <w:r>
        <w:br w:type="page"/>
      </w:r>
    </w:p>
    <w:p w14:paraId="7C5A9D0D" w14:textId="3982A968" w:rsidR="000B6712" w:rsidRPr="004B14BD" w:rsidRDefault="000B6712" w:rsidP="00952A5B">
      <w:pPr>
        <w:pStyle w:val="Overskrift1"/>
        <w:numPr>
          <w:ilvl w:val="0"/>
          <w:numId w:val="47"/>
        </w:numPr>
      </w:pPr>
      <w:bookmarkStart w:id="27" w:name="_Toc120196511"/>
      <w:bookmarkEnd w:id="26"/>
      <w:r w:rsidRPr="004B14BD">
        <w:lastRenderedPageBreak/>
        <w:t xml:space="preserve">Miljøteknisk beskrivelse </w:t>
      </w:r>
      <w:bookmarkEnd w:id="25"/>
      <w:r w:rsidR="00BC3934" w:rsidRPr="004B14BD">
        <w:t>og vurdering</w:t>
      </w:r>
      <w:bookmarkEnd w:id="27"/>
    </w:p>
    <w:p w14:paraId="16F2C2CC" w14:textId="031221B0" w:rsidR="001E65DE" w:rsidRPr="004B14BD" w:rsidRDefault="00D223D6" w:rsidP="001E65DE">
      <w:pPr>
        <w:pStyle w:val="Overskrift2"/>
      </w:pPr>
      <w:bookmarkStart w:id="28" w:name="_Toc120196512"/>
      <w:r w:rsidRPr="004B14BD">
        <w:t xml:space="preserve">2.1 </w:t>
      </w:r>
      <w:r w:rsidR="00077212" w:rsidRPr="004B14BD">
        <w:t>Regler</w:t>
      </w:r>
      <w:r w:rsidR="001E65DE" w:rsidRPr="004B14BD">
        <w:t xml:space="preserve"> i MCP-bekendtgørelsen og olietankb</w:t>
      </w:r>
      <w:r w:rsidRPr="004B14BD">
        <w:t>e</w:t>
      </w:r>
      <w:r w:rsidR="001E65DE" w:rsidRPr="004B14BD">
        <w:t>kendtgørelsen</w:t>
      </w:r>
      <w:bookmarkEnd w:id="28"/>
    </w:p>
    <w:p w14:paraId="7A27CD38" w14:textId="77777777" w:rsidR="001E65DE" w:rsidRPr="004B14BD" w:rsidRDefault="001E65DE" w:rsidP="001E65DE"/>
    <w:p w14:paraId="73BEC51A" w14:textId="77777777" w:rsidR="001B4C6C" w:rsidRDefault="001E65DE" w:rsidP="001E65DE">
      <w:r w:rsidRPr="004B14BD">
        <w:t xml:space="preserve">Høje-Taastrup Kommune har nedenfor oplistet regler fra MCP-bekendtgørelsen og Olietankbekendtgørelsen, som det dieselfyrede nødstrømsanlæg og tilhørende dobbeltvæggede, overjordiske ståltanke tilknyttet overvågningsanlæg er omfattet af. </w:t>
      </w:r>
      <w:r w:rsidR="006D29D6" w:rsidRPr="006D29D6">
        <w:t>I tabellen fremgår udelukkende regler, som er relevante for virksomheden. Øvrige regler i bekendtgørelsen er ikke medtaget</w:t>
      </w:r>
      <w:r w:rsidR="006D29D6">
        <w:t xml:space="preserve">. </w:t>
      </w:r>
    </w:p>
    <w:p w14:paraId="22A950D9" w14:textId="77777777" w:rsidR="001B4C6C" w:rsidRDefault="001B4C6C" w:rsidP="001E65DE"/>
    <w:p w14:paraId="63F8D7A0" w14:textId="789C63B0" w:rsidR="001E65DE" w:rsidRPr="004B14BD" w:rsidRDefault="001E65DE" w:rsidP="001E65DE">
      <w:r w:rsidRPr="004B14BD">
        <w:t>Reglerne er oplistet for at henlede opmærksomheden på bestemmelserne i dette regelsæt, som virksomheden er forpligtet til at overholde. Reglerne kan blive ændret i forbindelse med opdatering af de nævnte bekendtgørelser. Det er reglerne i de til enhver tid gældende bekendtgørelser, der skal følges, medmindre vilkårene</w:t>
      </w:r>
      <w:r w:rsidR="008114EA">
        <w:t xml:space="preserve"> i afsnit 1</w:t>
      </w:r>
      <w:r w:rsidRPr="004B14BD">
        <w:t xml:space="preserve"> i denne godkendelse er skærpede (mere restriktive) i forhold til vilkårene i bekendtgørelserne; i så fald skal de skærpede vilkår i miljøgodkendelsen følges. </w:t>
      </w:r>
    </w:p>
    <w:tbl>
      <w:tblPr>
        <w:tblStyle w:val="Tabel-Gitter"/>
        <w:tblpPr w:leftFromText="141" w:rightFromText="141" w:vertAnchor="text" w:tblpY="312"/>
        <w:tblW w:w="5000" w:type="pct"/>
        <w:tblLook w:val="04A0" w:firstRow="1" w:lastRow="0" w:firstColumn="1" w:lastColumn="0" w:noHBand="0" w:noVBand="1"/>
      </w:tblPr>
      <w:tblGrid>
        <w:gridCol w:w="8354"/>
      </w:tblGrid>
      <w:tr w:rsidR="001E65DE" w:rsidRPr="004B14BD" w14:paraId="770D3A01" w14:textId="77777777" w:rsidTr="007C1731">
        <w:tc>
          <w:tcPr>
            <w:tcW w:w="5000" w:type="pct"/>
          </w:tcPr>
          <w:p w14:paraId="5C74FFBF" w14:textId="77777777" w:rsidR="001E65DE" w:rsidRPr="004B14BD" w:rsidRDefault="001E65DE" w:rsidP="00C073E8">
            <w:pPr>
              <w:rPr>
                <w:b/>
                <w:bCs/>
                <w:szCs w:val="19"/>
              </w:rPr>
            </w:pPr>
            <w:r w:rsidRPr="004B14BD">
              <w:rPr>
                <w:b/>
                <w:bCs/>
                <w:szCs w:val="19"/>
              </w:rPr>
              <w:t>UDDRAG af Olietankbekendtgørelsen (Bekendtgørelse om indretning, etablering og drift af olietanke, rørsystemer og pipelines nr. 1257 af 27. november 2019)</w:t>
            </w:r>
          </w:p>
          <w:p w14:paraId="0F842E70" w14:textId="77777777" w:rsidR="001E65DE" w:rsidRPr="004B14BD" w:rsidRDefault="001E65DE" w:rsidP="00C073E8">
            <w:pPr>
              <w:rPr>
                <w:b/>
                <w:bCs/>
                <w:sz w:val="16"/>
                <w:szCs w:val="16"/>
              </w:rPr>
            </w:pPr>
          </w:p>
          <w:p w14:paraId="5CF62F51" w14:textId="597905B6" w:rsidR="001E65DE" w:rsidRPr="004B14BD" w:rsidRDefault="001E65DE" w:rsidP="00C073E8">
            <w:pPr>
              <w:rPr>
                <w:b/>
                <w:bCs/>
                <w:sz w:val="16"/>
                <w:szCs w:val="16"/>
              </w:rPr>
            </w:pPr>
            <w:r w:rsidRPr="004B14BD">
              <w:rPr>
                <w:b/>
                <w:bCs/>
                <w:sz w:val="16"/>
                <w:szCs w:val="16"/>
              </w:rPr>
              <w:t>(</w:t>
            </w:r>
            <w:r w:rsidR="005675A7">
              <w:rPr>
                <w:b/>
                <w:bCs/>
                <w:sz w:val="16"/>
                <w:szCs w:val="16"/>
              </w:rPr>
              <w:t xml:space="preserve">I tabellen fremgår udelukkende </w:t>
            </w:r>
            <w:r w:rsidR="005675A7" w:rsidRPr="004B14BD">
              <w:rPr>
                <w:b/>
                <w:bCs/>
                <w:sz w:val="16"/>
                <w:szCs w:val="16"/>
              </w:rPr>
              <w:t>regler, som er relevante for virksomheden</w:t>
            </w:r>
            <w:r w:rsidR="005675A7">
              <w:rPr>
                <w:b/>
                <w:bCs/>
                <w:sz w:val="16"/>
                <w:szCs w:val="16"/>
              </w:rPr>
              <w:t>. Øvrige regler i bekendtgørelsen er ikke medtaget i tabellen</w:t>
            </w:r>
            <w:r w:rsidRPr="004B14BD">
              <w:rPr>
                <w:b/>
                <w:bCs/>
                <w:sz w:val="16"/>
                <w:szCs w:val="16"/>
              </w:rPr>
              <w:t>)</w:t>
            </w:r>
          </w:p>
          <w:p w14:paraId="6B820BD7" w14:textId="77777777" w:rsidR="001E65DE" w:rsidRPr="004B14BD" w:rsidRDefault="001E65DE" w:rsidP="00C073E8">
            <w:pPr>
              <w:rPr>
                <w:sz w:val="16"/>
                <w:szCs w:val="16"/>
              </w:rPr>
            </w:pPr>
          </w:p>
        </w:tc>
      </w:tr>
      <w:tr w:rsidR="001E65DE" w:rsidRPr="004B14BD" w14:paraId="7CF04291" w14:textId="77777777" w:rsidTr="007C1731">
        <w:tc>
          <w:tcPr>
            <w:tcW w:w="5000" w:type="pct"/>
          </w:tcPr>
          <w:p w14:paraId="51771ECA" w14:textId="77777777" w:rsidR="001E65DE" w:rsidRPr="004B14BD" w:rsidRDefault="001E65DE" w:rsidP="00C073E8">
            <w:pPr>
              <w:rPr>
                <w:b/>
                <w:bCs/>
                <w:sz w:val="16"/>
                <w:szCs w:val="16"/>
              </w:rPr>
            </w:pPr>
          </w:p>
          <w:p w14:paraId="61E510E9" w14:textId="77777777" w:rsidR="001E65DE" w:rsidRPr="004B14BD" w:rsidRDefault="001E65DE" w:rsidP="00C073E8">
            <w:pPr>
              <w:rPr>
                <w:b/>
                <w:bCs/>
                <w:sz w:val="16"/>
                <w:szCs w:val="16"/>
              </w:rPr>
            </w:pPr>
            <w:r w:rsidRPr="004B14BD">
              <w:rPr>
                <w:b/>
                <w:bCs/>
                <w:sz w:val="16"/>
                <w:szCs w:val="16"/>
              </w:rPr>
              <w:t>Etablering og sløjfning af nedgravede anlæg på 100.000 l og derunder og overjordiske anlæg på 200.000 l og derunder</w:t>
            </w:r>
          </w:p>
          <w:p w14:paraId="2BC69935" w14:textId="77777777" w:rsidR="001E65DE" w:rsidRPr="004B14BD" w:rsidRDefault="001E65DE" w:rsidP="00C073E8">
            <w:pPr>
              <w:rPr>
                <w:b/>
                <w:bCs/>
                <w:sz w:val="16"/>
                <w:szCs w:val="16"/>
              </w:rPr>
            </w:pPr>
          </w:p>
        </w:tc>
      </w:tr>
      <w:tr w:rsidR="001E65DE" w:rsidRPr="004B14BD" w14:paraId="252F53AD" w14:textId="77777777" w:rsidTr="007C1731">
        <w:tc>
          <w:tcPr>
            <w:tcW w:w="5000" w:type="pct"/>
          </w:tcPr>
          <w:p w14:paraId="2836BD59" w14:textId="77777777" w:rsidR="001E65DE" w:rsidRPr="004B14BD" w:rsidRDefault="001E65DE" w:rsidP="00C073E8">
            <w:pPr>
              <w:rPr>
                <w:sz w:val="16"/>
                <w:szCs w:val="16"/>
              </w:rPr>
            </w:pPr>
            <w:r w:rsidRPr="004B14BD">
              <w:rPr>
                <w:b/>
                <w:bCs/>
                <w:sz w:val="16"/>
                <w:szCs w:val="16"/>
              </w:rPr>
              <w:t>§ 25</w:t>
            </w:r>
            <w:r w:rsidRPr="004B14BD">
              <w:rPr>
                <w:sz w:val="16"/>
                <w:szCs w:val="16"/>
              </w:rPr>
              <w:t>. Den ejer eller bruger, der vil etablere en nedgravet tank, et nedgravet anlæg på 100.000 l eller derunder, en overjordisk tank, eller et overjordisk anlæg på 200.000 l eller derunder, skal senest 4 uger før arbejdet påbegyndes, meddele tilsynsmyndigheden, hvornår etablering sker, jf. dog § 31, stk. 2, for tanke under 6.000 l. Sammen med meddelelsen skal ejeren eller brugeren fremsende en beskrivelse af anlægget, en skitse over anlæggets placering på ejendommen, og hvis et eksisterende rørsystem planlægges anvendt, en beskrivelse af hvilken type dette er.</w:t>
            </w:r>
          </w:p>
          <w:p w14:paraId="570ABECC" w14:textId="77777777" w:rsidR="001E65DE" w:rsidRPr="004B14BD" w:rsidRDefault="001E65DE" w:rsidP="00C073E8">
            <w:pPr>
              <w:rPr>
                <w:sz w:val="16"/>
                <w:szCs w:val="16"/>
              </w:rPr>
            </w:pPr>
          </w:p>
          <w:p w14:paraId="52466C2E" w14:textId="77777777" w:rsidR="001E65DE" w:rsidRPr="004B14BD" w:rsidRDefault="001E65DE" w:rsidP="00C073E8">
            <w:pPr>
              <w:rPr>
                <w:sz w:val="16"/>
                <w:szCs w:val="16"/>
              </w:rPr>
            </w:pPr>
            <w:r w:rsidRPr="004B14BD">
              <w:rPr>
                <w:sz w:val="16"/>
                <w:szCs w:val="16"/>
              </w:rPr>
              <w:t>Stk. 3. Den ejer eller bruger der etablerer en tank, et rørsystem eller et anlæg omfattet af stk. 1, skal sikre, at installeringen udføres af en sagkyndig.</w:t>
            </w:r>
          </w:p>
          <w:p w14:paraId="72B0F2E8" w14:textId="77777777" w:rsidR="001E65DE" w:rsidRPr="004B14BD" w:rsidRDefault="001E65DE" w:rsidP="00C073E8">
            <w:pPr>
              <w:rPr>
                <w:sz w:val="16"/>
                <w:szCs w:val="16"/>
              </w:rPr>
            </w:pPr>
          </w:p>
          <w:p w14:paraId="09639217" w14:textId="77777777" w:rsidR="001E65DE" w:rsidRPr="004B14BD" w:rsidRDefault="001E65DE" w:rsidP="00C073E8">
            <w:pPr>
              <w:rPr>
                <w:sz w:val="16"/>
                <w:szCs w:val="16"/>
              </w:rPr>
            </w:pPr>
            <w:r w:rsidRPr="004B14BD">
              <w:rPr>
                <w:sz w:val="16"/>
                <w:szCs w:val="16"/>
              </w:rPr>
              <w:t xml:space="preserve">Stk. 4. Den ejer eller bruger der etablerer en tank eller et anlæg omfattet af stk. 1, skal fremsende kopi af tankattest eller ydeevnedeklaration og eventuel dokumentation for anlæggets tæthed til tilsynsmyndigheden umiddelbart efter etableringens færdiggørelse.  </w:t>
            </w:r>
          </w:p>
          <w:p w14:paraId="4BE82DBC" w14:textId="77777777" w:rsidR="001E65DE" w:rsidRPr="004B14BD" w:rsidRDefault="001E65DE" w:rsidP="00C073E8">
            <w:pPr>
              <w:rPr>
                <w:sz w:val="16"/>
                <w:szCs w:val="16"/>
              </w:rPr>
            </w:pPr>
          </w:p>
        </w:tc>
      </w:tr>
      <w:tr w:rsidR="001E65DE" w:rsidRPr="004B14BD" w14:paraId="55506F0B" w14:textId="77777777" w:rsidTr="007C1731">
        <w:tc>
          <w:tcPr>
            <w:tcW w:w="5000" w:type="pct"/>
          </w:tcPr>
          <w:p w14:paraId="23A9C72D" w14:textId="77777777" w:rsidR="001E65DE" w:rsidRPr="004B14BD" w:rsidRDefault="001E65DE" w:rsidP="00C073E8">
            <w:pPr>
              <w:rPr>
                <w:sz w:val="16"/>
                <w:szCs w:val="16"/>
              </w:rPr>
            </w:pPr>
            <w:r w:rsidRPr="004B14BD">
              <w:rPr>
                <w:b/>
                <w:bCs/>
                <w:sz w:val="16"/>
                <w:szCs w:val="16"/>
              </w:rPr>
              <w:t>§ 26.</w:t>
            </w:r>
            <w:r w:rsidRPr="004B14BD">
              <w:rPr>
                <w:sz w:val="16"/>
                <w:szCs w:val="16"/>
              </w:rPr>
              <w:t xml:space="preserve"> Den ejer eller bruger der etablerer en tank eller et anlæg som nævnt i § 25, stk. 1, skal sikre, at kravene i stk. 2-4, og §§ 27 er opfyldt. Den ejer eller bruger der etablerer en tank eller et anlæg under 6.000 l skal desuden sikre, at kravene i kapitel 7 overholdes.</w:t>
            </w:r>
          </w:p>
          <w:p w14:paraId="434ACD15" w14:textId="77777777" w:rsidR="001E65DE" w:rsidRPr="004B14BD" w:rsidRDefault="001E65DE" w:rsidP="00C073E8">
            <w:pPr>
              <w:rPr>
                <w:sz w:val="16"/>
                <w:szCs w:val="16"/>
              </w:rPr>
            </w:pPr>
          </w:p>
          <w:p w14:paraId="27AA8043" w14:textId="77777777" w:rsidR="001E65DE" w:rsidRPr="004B14BD" w:rsidRDefault="001E65DE" w:rsidP="00C073E8">
            <w:pPr>
              <w:rPr>
                <w:sz w:val="16"/>
                <w:szCs w:val="16"/>
              </w:rPr>
            </w:pPr>
            <w:r w:rsidRPr="004B14BD">
              <w:rPr>
                <w:sz w:val="16"/>
                <w:szCs w:val="16"/>
              </w:rPr>
              <w:t>Stk. 2. Ejeren eller brugeren skal sikre, at tanken er typegodkendt, jf. dog § 34. Tanke, der er renoveret, som beskrevet i § 5, nr. 20, er at betragte som typegodkendte.</w:t>
            </w:r>
          </w:p>
          <w:p w14:paraId="530757D1" w14:textId="77777777" w:rsidR="001E65DE" w:rsidRPr="004B14BD" w:rsidRDefault="001E65DE" w:rsidP="00C073E8">
            <w:pPr>
              <w:rPr>
                <w:sz w:val="16"/>
                <w:szCs w:val="16"/>
              </w:rPr>
            </w:pPr>
          </w:p>
          <w:p w14:paraId="5BC0BFB8" w14:textId="77777777" w:rsidR="001E65DE" w:rsidRPr="004B14BD" w:rsidRDefault="001E65DE" w:rsidP="00C073E8">
            <w:pPr>
              <w:rPr>
                <w:sz w:val="16"/>
                <w:szCs w:val="16"/>
              </w:rPr>
            </w:pPr>
            <w:r w:rsidRPr="004B14BD">
              <w:rPr>
                <w:sz w:val="16"/>
                <w:szCs w:val="16"/>
              </w:rPr>
              <w:t>Stk. 4. Ejeren eller brugeren skal sikre, at rørsystemet, som hører til den tank eller det anlæg, som skal etableres, er typegodkendt.</w:t>
            </w:r>
          </w:p>
          <w:p w14:paraId="0C87EB09" w14:textId="77777777" w:rsidR="001E65DE" w:rsidRPr="004B14BD" w:rsidRDefault="001E65DE" w:rsidP="00C073E8">
            <w:pPr>
              <w:rPr>
                <w:sz w:val="16"/>
                <w:szCs w:val="16"/>
              </w:rPr>
            </w:pPr>
          </w:p>
        </w:tc>
      </w:tr>
      <w:tr w:rsidR="001E65DE" w:rsidRPr="004B14BD" w14:paraId="6B490922" w14:textId="77777777" w:rsidTr="007C1731">
        <w:tc>
          <w:tcPr>
            <w:tcW w:w="5000" w:type="pct"/>
          </w:tcPr>
          <w:p w14:paraId="09C0CA5F" w14:textId="77777777" w:rsidR="001E65DE" w:rsidRPr="004B14BD" w:rsidRDefault="001E65DE" w:rsidP="00C073E8">
            <w:pPr>
              <w:rPr>
                <w:sz w:val="16"/>
                <w:szCs w:val="16"/>
              </w:rPr>
            </w:pPr>
            <w:r w:rsidRPr="004B14BD">
              <w:rPr>
                <w:b/>
                <w:bCs/>
                <w:sz w:val="16"/>
                <w:szCs w:val="16"/>
              </w:rPr>
              <w:lastRenderedPageBreak/>
              <w:t>§ 27.</w:t>
            </w:r>
            <w:r w:rsidRPr="004B14BD">
              <w:rPr>
                <w:sz w:val="16"/>
                <w:szCs w:val="16"/>
              </w:rPr>
              <w:t xml:space="preserve"> Ejeren eller brugeren skal ved etablering af et anlæg omfattet af § 25, stk. 1 sikre, at følgende krav er opfyldt, jf. dog §§ 51 og 52:</w:t>
            </w:r>
          </w:p>
          <w:p w14:paraId="44205C07" w14:textId="77777777" w:rsidR="001E65DE" w:rsidRPr="004B14BD" w:rsidRDefault="001E65DE" w:rsidP="00C073E8">
            <w:pPr>
              <w:rPr>
                <w:sz w:val="16"/>
                <w:szCs w:val="16"/>
              </w:rPr>
            </w:pPr>
          </w:p>
          <w:p w14:paraId="28775741" w14:textId="77777777" w:rsidR="001E65DE" w:rsidRPr="004B14BD" w:rsidRDefault="001E65DE" w:rsidP="00C073E8">
            <w:pPr>
              <w:rPr>
                <w:sz w:val="16"/>
                <w:szCs w:val="16"/>
              </w:rPr>
            </w:pPr>
            <w:r w:rsidRPr="004B14BD">
              <w:rPr>
                <w:sz w:val="16"/>
                <w:szCs w:val="16"/>
              </w:rPr>
              <w:t>1) Anlægget må ikke etableres inden for en afstand af 50 m fra indvindingsboringer til almene vandforsyningsanlæg og 25 m fra andre boringer og brønde, hvorfra der indvindes drikkevand. Afstandskravet gælder dog ikke for indendørs anlæg under 6.000 l med overjordiske rørsystemer, der ikke er indstøbte eller indmurede.</w:t>
            </w:r>
          </w:p>
          <w:p w14:paraId="055B22DF" w14:textId="77777777" w:rsidR="001E65DE" w:rsidRPr="004B14BD" w:rsidRDefault="001E65DE" w:rsidP="00C073E8">
            <w:pPr>
              <w:rPr>
                <w:sz w:val="16"/>
                <w:szCs w:val="16"/>
              </w:rPr>
            </w:pPr>
          </w:p>
          <w:p w14:paraId="145578B7" w14:textId="77777777" w:rsidR="001E65DE" w:rsidRPr="004B14BD" w:rsidRDefault="001E65DE" w:rsidP="00C073E8">
            <w:pPr>
              <w:rPr>
                <w:sz w:val="16"/>
                <w:szCs w:val="16"/>
              </w:rPr>
            </w:pPr>
            <w:r w:rsidRPr="004B14BD">
              <w:rPr>
                <w:sz w:val="16"/>
                <w:szCs w:val="16"/>
              </w:rPr>
              <w:t>4) Pejlehuller og mandehuller skal være let tilgængelige.</w:t>
            </w:r>
          </w:p>
          <w:p w14:paraId="2E04C4B2" w14:textId="77777777" w:rsidR="001E65DE" w:rsidRPr="004B14BD" w:rsidRDefault="001E65DE" w:rsidP="00C073E8">
            <w:pPr>
              <w:rPr>
                <w:sz w:val="16"/>
                <w:szCs w:val="16"/>
              </w:rPr>
            </w:pPr>
          </w:p>
          <w:p w14:paraId="07FAADB2" w14:textId="77777777" w:rsidR="001E65DE" w:rsidRPr="004B14BD" w:rsidRDefault="001E65DE" w:rsidP="00C073E8">
            <w:pPr>
              <w:rPr>
                <w:sz w:val="16"/>
                <w:szCs w:val="16"/>
              </w:rPr>
            </w:pPr>
            <w:r w:rsidRPr="004B14BD">
              <w:rPr>
                <w:sz w:val="16"/>
                <w:szCs w:val="16"/>
              </w:rPr>
              <w:t>6) Specifikke krav til etablering, som er anført på tankattesten eller ydeevnedeklaration.</w:t>
            </w:r>
          </w:p>
          <w:p w14:paraId="36E62EA7" w14:textId="77777777" w:rsidR="001E65DE" w:rsidRPr="004B14BD" w:rsidRDefault="001E65DE" w:rsidP="00C073E8">
            <w:pPr>
              <w:rPr>
                <w:color w:val="FF0000"/>
                <w:sz w:val="16"/>
                <w:szCs w:val="16"/>
              </w:rPr>
            </w:pPr>
          </w:p>
          <w:p w14:paraId="37987DDB" w14:textId="77777777" w:rsidR="001E65DE" w:rsidRPr="004B14BD" w:rsidRDefault="001E65DE" w:rsidP="00C073E8">
            <w:pPr>
              <w:rPr>
                <w:sz w:val="16"/>
                <w:szCs w:val="16"/>
              </w:rPr>
            </w:pPr>
            <w:r w:rsidRPr="004B14BD">
              <w:rPr>
                <w:sz w:val="16"/>
                <w:szCs w:val="16"/>
              </w:rPr>
              <w:t>Stk 3. Ejeren eller brugeren skal ved etablering af et overjordisk anlæg på 200.000 l eller derunder, udover at sikre, at kravene i stk. 1 opfyldes, også sikre, at følgende krav overholdes:</w:t>
            </w:r>
          </w:p>
          <w:p w14:paraId="70211572" w14:textId="77777777" w:rsidR="001E65DE" w:rsidRPr="004B14BD" w:rsidRDefault="001E65DE" w:rsidP="00C073E8">
            <w:pPr>
              <w:rPr>
                <w:sz w:val="16"/>
                <w:szCs w:val="16"/>
              </w:rPr>
            </w:pPr>
          </w:p>
          <w:p w14:paraId="40409CEB" w14:textId="77777777" w:rsidR="001E65DE" w:rsidRPr="004B14BD" w:rsidRDefault="001E65DE" w:rsidP="00C073E8">
            <w:pPr>
              <w:rPr>
                <w:sz w:val="16"/>
                <w:szCs w:val="16"/>
              </w:rPr>
            </w:pPr>
            <w:r w:rsidRPr="004B14BD">
              <w:rPr>
                <w:sz w:val="16"/>
                <w:szCs w:val="16"/>
              </w:rPr>
              <w:t>1) Tanken skal opstilles på et jævnt og varigt stabilt underlag.</w:t>
            </w:r>
          </w:p>
          <w:p w14:paraId="09D0A96F" w14:textId="77777777" w:rsidR="001E65DE" w:rsidRPr="004B14BD" w:rsidRDefault="001E65DE" w:rsidP="00C073E8">
            <w:pPr>
              <w:rPr>
                <w:sz w:val="16"/>
                <w:szCs w:val="16"/>
              </w:rPr>
            </w:pPr>
          </w:p>
          <w:p w14:paraId="2500B46F" w14:textId="77777777" w:rsidR="001E65DE" w:rsidRPr="004B14BD" w:rsidRDefault="001E65DE" w:rsidP="00C073E8">
            <w:pPr>
              <w:rPr>
                <w:sz w:val="16"/>
                <w:szCs w:val="16"/>
              </w:rPr>
            </w:pPr>
            <w:r w:rsidRPr="004B14BD">
              <w:rPr>
                <w:sz w:val="16"/>
                <w:szCs w:val="16"/>
              </w:rPr>
              <w:t>2) Der skal på tanken være monteret overfyldningsalarm. Overfyldningsalarmen skal være placeret, så den kan registreres ved påfyldningsstudsen.</w:t>
            </w:r>
          </w:p>
          <w:p w14:paraId="2716C724" w14:textId="77777777" w:rsidR="001E65DE" w:rsidRPr="004B14BD" w:rsidRDefault="001E65DE" w:rsidP="00C073E8">
            <w:pPr>
              <w:rPr>
                <w:sz w:val="16"/>
                <w:szCs w:val="16"/>
              </w:rPr>
            </w:pPr>
          </w:p>
          <w:p w14:paraId="2FE26820" w14:textId="77777777" w:rsidR="001E65DE" w:rsidRPr="004B14BD" w:rsidRDefault="001E65DE" w:rsidP="00C073E8">
            <w:pPr>
              <w:rPr>
                <w:sz w:val="16"/>
                <w:szCs w:val="16"/>
              </w:rPr>
            </w:pPr>
            <w:r w:rsidRPr="004B14BD">
              <w:rPr>
                <w:sz w:val="16"/>
                <w:szCs w:val="16"/>
              </w:rPr>
              <w:t>3) Typegodkendte ståltanke skal, medmindre andet fremgår af typegodkendelsen, være hævet over underlaget på en konstruktion, så inspektion af bunden kan foretages.</w:t>
            </w:r>
          </w:p>
          <w:p w14:paraId="1BC1685F" w14:textId="77777777" w:rsidR="001E65DE" w:rsidRPr="004B14BD" w:rsidRDefault="001E65DE" w:rsidP="00C073E8">
            <w:pPr>
              <w:rPr>
                <w:sz w:val="16"/>
                <w:szCs w:val="16"/>
              </w:rPr>
            </w:pPr>
          </w:p>
          <w:p w14:paraId="65CDC8B2" w14:textId="77777777" w:rsidR="001E65DE" w:rsidRPr="004B14BD" w:rsidRDefault="001E65DE" w:rsidP="00C073E8">
            <w:pPr>
              <w:rPr>
                <w:sz w:val="16"/>
                <w:szCs w:val="16"/>
              </w:rPr>
            </w:pPr>
            <w:r w:rsidRPr="004B14BD">
              <w:rPr>
                <w:sz w:val="16"/>
                <w:szCs w:val="16"/>
              </w:rPr>
              <w:t>4) Afstand fra tanken til væg eller anden konstruktion skal være mindst 5 cm.</w:t>
            </w:r>
          </w:p>
          <w:p w14:paraId="229939BF" w14:textId="77777777" w:rsidR="001E65DE" w:rsidRPr="004B14BD" w:rsidRDefault="001E65DE" w:rsidP="00C073E8">
            <w:pPr>
              <w:rPr>
                <w:sz w:val="16"/>
                <w:szCs w:val="16"/>
              </w:rPr>
            </w:pPr>
          </w:p>
        </w:tc>
      </w:tr>
      <w:tr w:rsidR="001E65DE" w:rsidRPr="004B14BD" w14:paraId="13CF52A0" w14:textId="77777777" w:rsidTr="007C1731">
        <w:tc>
          <w:tcPr>
            <w:tcW w:w="5000" w:type="pct"/>
          </w:tcPr>
          <w:p w14:paraId="6BF058C2" w14:textId="77777777" w:rsidR="001E65DE" w:rsidRPr="004B14BD" w:rsidRDefault="001E65DE" w:rsidP="00C073E8">
            <w:pPr>
              <w:rPr>
                <w:sz w:val="16"/>
                <w:szCs w:val="16"/>
              </w:rPr>
            </w:pPr>
            <w:r w:rsidRPr="004B14BD">
              <w:rPr>
                <w:b/>
                <w:bCs/>
                <w:sz w:val="16"/>
                <w:szCs w:val="16"/>
              </w:rPr>
              <w:t>§ 30.</w:t>
            </w:r>
            <w:r w:rsidRPr="004B14BD">
              <w:rPr>
                <w:sz w:val="16"/>
                <w:szCs w:val="16"/>
              </w:rPr>
              <w:t xml:space="preserve"> Ved sløjfning af et overjordisk anlæg på 200.000 l eller derunder skal eventuelt restindhold i anlægget fjernes. Sløjfning skal afsluttes på en af følgende måder:</w:t>
            </w:r>
          </w:p>
          <w:p w14:paraId="7E89EA9B" w14:textId="77777777" w:rsidR="001E65DE" w:rsidRPr="004B14BD" w:rsidRDefault="001E65DE" w:rsidP="00C073E8">
            <w:pPr>
              <w:rPr>
                <w:sz w:val="16"/>
                <w:szCs w:val="16"/>
              </w:rPr>
            </w:pPr>
          </w:p>
          <w:p w14:paraId="0BFA3E50" w14:textId="77777777" w:rsidR="001E65DE" w:rsidRPr="004B14BD" w:rsidRDefault="001E65DE" w:rsidP="00C073E8">
            <w:pPr>
              <w:rPr>
                <w:sz w:val="16"/>
                <w:szCs w:val="16"/>
              </w:rPr>
            </w:pPr>
            <w:r w:rsidRPr="004B14BD">
              <w:rPr>
                <w:sz w:val="16"/>
                <w:szCs w:val="16"/>
              </w:rPr>
              <w:t>1) Tanken fjernes.</w:t>
            </w:r>
          </w:p>
          <w:p w14:paraId="1A353C3C" w14:textId="77777777" w:rsidR="001E65DE" w:rsidRPr="004B14BD" w:rsidRDefault="001E65DE" w:rsidP="00C073E8">
            <w:pPr>
              <w:rPr>
                <w:sz w:val="16"/>
                <w:szCs w:val="16"/>
              </w:rPr>
            </w:pPr>
          </w:p>
          <w:p w14:paraId="075493FB" w14:textId="77777777" w:rsidR="001E65DE" w:rsidRPr="004B14BD" w:rsidRDefault="001E65DE" w:rsidP="00C073E8">
            <w:pPr>
              <w:rPr>
                <w:sz w:val="16"/>
                <w:szCs w:val="16"/>
              </w:rPr>
            </w:pPr>
            <w:r w:rsidRPr="004B14BD">
              <w:rPr>
                <w:sz w:val="16"/>
                <w:szCs w:val="16"/>
              </w:rPr>
              <w:t>2) Den overjordiske del af påfyldnings- og udluftningsrør fjernes og rørene afblændes, så påfyldning ikke kan finde sted.</w:t>
            </w:r>
          </w:p>
          <w:p w14:paraId="52BDB0EA" w14:textId="77777777" w:rsidR="001E65DE" w:rsidRPr="004B14BD" w:rsidRDefault="001E65DE" w:rsidP="00C073E8">
            <w:pPr>
              <w:rPr>
                <w:sz w:val="16"/>
                <w:szCs w:val="16"/>
              </w:rPr>
            </w:pPr>
          </w:p>
          <w:p w14:paraId="5238EBB4" w14:textId="77777777" w:rsidR="001E65DE" w:rsidRPr="004B14BD" w:rsidRDefault="001E65DE" w:rsidP="00C073E8">
            <w:pPr>
              <w:rPr>
                <w:sz w:val="16"/>
                <w:szCs w:val="16"/>
              </w:rPr>
            </w:pPr>
            <w:r w:rsidRPr="004B14BD">
              <w:rPr>
                <w:sz w:val="16"/>
                <w:szCs w:val="16"/>
              </w:rPr>
              <w:t>Stk. 2. Ejeren af et anlæg, omfattet af stk. 1, skal senest 4 uger efter sløjfning af anlægget give tilsynsmyndigheden meddelelse om, at anlægget er sløjfet, og oplyse tilsynsmyndigheden om, hvilke foranstaltninger, jf. stk. 1, der er truffet.</w:t>
            </w:r>
          </w:p>
          <w:p w14:paraId="6CB74B67" w14:textId="77777777" w:rsidR="001E65DE" w:rsidRPr="004B14BD" w:rsidRDefault="001E65DE" w:rsidP="00C073E8">
            <w:pPr>
              <w:rPr>
                <w:sz w:val="16"/>
                <w:szCs w:val="16"/>
              </w:rPr>
            </w:pPr>
          </w:p>
          <w:p w14:paraId="4ED4A7A7" w14:textId="77777777" w:rsidR="001E65DE" w:rsidRPr="004B14BD" w:rsidRDefault="001E65DE" w:rsidP="00C073E8">
            <w:pPr>
              <w:rPr>
                <w:sz w:val="16"/>
                <w:szCs w:val="16"/>
              </w:rPr>
            </w:pPr>
            <w:r w:rsidRPr="004B14BD">
              <w:rPr>
                <w:sz w:val="16"/>
                <w:szCs w:val="16"/>
              </w:rPr>
              <w:t>Stk. 3. Hvis brugen af et nedgravet anlæg på 100.000 l eller derunder eller et overjordisk anlæg på 200.000 l eller derunder varigt ophører, skal ejeren sørge for, at anlægget sløjfes i overensstemmelse med stk. 1 og 2.</w:t>
            </w:r>
          </w:p>
          <w:p w14:paraId="4F30879C" w14:textId="77777777" w:rsidR="001E65DE" w:rsidRPr="004B14BD" w:rsidRDefault="001E65DE" w:rsidP="00C073E8">
            <w:pPr>
              <w:rPr>
                <w:sz w:val="16"/>
                <w:szCs w:val="16"/>
              </w:rPr>
            </w:pPr>
          </w:p>
        </w:tc>
      </w:tr>
      <w:tr w:rsidR="001E65DE" w:rsidRPr="004B14BD" w14:paraId="7356FD38" w14:textId="77777777" w:rsidTr="007C1731">
        <w:tc>
          <w:tcPr>
            <w:tcW w:w="5000" w:type="pct"/>
          </w:tcPr>
          <w:p w14:paraId="13A18DA2" w14:textId="77777777" w:rsidR="001E65DE" w:rsidRPr="004B14BD" w:rsidRDefault="001E65DE" w:rsidP="00C073E8">
            <w:pPr>
              <w:rPr>
                <w:b/>
                <w:bCs/>
                <w:sz w:val="16"/>
                <w:szCs w:val="16"/>
              </w:rPr>
            </w:pPr>
          </w:p>
          <w:p w14:paraId="37C33A99" w14:textId="77777777" w:rsidR="001E65DE" w:rsidRPr="004B14BD" w:rsidRDefault="001E65DE" w:rsidP="00C073E8">
            <w:pPr>
              <w:rPr>
                <w:b/>
                <w:bCs/>
                <w:sz w:val="16"/>
                <w:szCs w:val="16"/>
              </w:rPr>
            </w:pPr>
            <w:r w:rsidRPr="004B14BD">
              <w:rPr>
                <w:b/>
                <w:bCs/>
                <w:sz w:val="16"/>
                <w:szCs w:val="16"/>
              </w:rPr>
              <w:t>Egenkontrol, vedligeholdelse, inspektion og tæthedsprøvning</w:t>
            </w:r>
          </w:p>
          <w:p w14:paraId="57ABC2A4" w14:textId="77777777" w:rsidR="001E65DE" w:rsidRPr="004B14BD" w:rsidRDefault="001E65DE" w:rsidP="00C073E8">
            <w:pPr>
              <w:rPr>
                <w:b/>
                <w:bCs/>
                <w:sz w:val="16"/>
                <w:szCs w:val="16"/>
              </w:rPr>
            </w:pPr>
          </w:p>
        </w:tc>
      </w:tr>
      <w:tr w:rsidR="001E65DE" w:rsidRPr="004B14BD" w14:paraId="1BD3D916" w14:textId="77777777" w:rsidTr="007C1731">
        <w:tc>
          <w:tcPr>
            <w:tcW w:w="5000" w:type="pct"/>
          </w:tcPr>
          <w:p w14:paraId="6B3D3FE8" w14:textId="77777777" w:rsidR="001E65DE" w:rsidRPr="004B14BD" w:rsidRDefault="001E65DE" w:rsidP="00C073E8">
            <w:pPr>
              <w:rPr>
                <w:sz w:val="16"/>
                <w:szCs w:val="16"/>
              </w:rPr>
            </w:pPr>
            <w:r w:rsidRPr="004B14BD">
              <w:rPr>
                <w:b/>
                <w:bCs/>
                <w:sz w:val="16"/>
                <w:szCs w:val="16"/>
              </w:rPr>
              <w:t>§ 35.</w:t>
            </w:r>
            <w:r w:rsidRPr="004B14BD">
              <w:rPr>
                <w:sz w:val="16"/>
                <w:szCs w:val="16"/>
              </w:rPr>
              <w:t xml:space="preserve"> Ejeren eller brugeren af et anlæg på 6.000 l eller derover eller af en pipeline skal sikre, at anlægget, henholdsvis pipelinen, er tæt, ved at foretage egenkontrol som beskrevet i bilag 9.</w:t>
            </w:r>
          </w:p>
          <w:p w14:paraId="27C99D25" w14:textId="77777777" w:rsidR="001E65DE" w:rsidRPr="004B14BD" w:rsidRDefault="001E65DE" w:rsidP="00C073E8">
            <w:pPr>
              <w:rPr>
                <w:sz w:val="16"/>
                <w:szCs w:val="16"/>
              </w:rPr>
            </w:pPr>
          </w:p>
          <w:p w14:paraId="7C9E63A3" w14:textId="77777777" w:rsidR="001E65DE" w:rsidRPr="004B14BD" w:rsidRDefault="001E65DE" w:rsidP="00C073E8">
            <w:pPr>
              <w:rPr>
                <w:sz w:val="16"/>
                <w:szCs w:val="16"/>
              </w:rPr>
            </w:pPr>
            <w:r w:rsidRPr="004B14BD">
              <w:rPr>
                <w:sz w:val="16"/>
                <w:szCs w:val="16"/>
              </w:rPr>
              <w:t>Stk. 2. Ejeren eller brugeren skal opbevare journaler og dokumentation for funktionsafprøvning, jf. bilag 9, i mindst 5 år. Tilsynsmyndigheden kan forlange, at ejeren eller brugeren fremviser journaler og dokumentation for funktionsafprøvning.</w:t>
            </w:r>
          </w:p>
          <w:p w14:paraId="63616431" w14:textId="77777777" w:rsidR="001E65DE" w:rsidRPr="004B14BD" w:rsidRDefault="001E65DE" w:rsidP="00C073E8">
            <w:pPr>
              <w:rPr>
                <w:sz w:val="16"/>
                <w:szCs w:val="16"/>
              </w:rPr>
            </w:pPr>
          </w:p>
          <w:p w14:paraId="2A4D8EEF" w14:textId="77777777" w:rsidR="001E65DE" w:rsidRPr="004B14BD" w:rsidRDefault="001E65DE" w:rsidP="00C073E8">
            <w:pPr>
              <w:rPr>
                <w:sz w:val="16"/>
                <w:szCs w:val="16"/>
              </w:rPr>
            </w:pPr>
            <w:r w:rsidRPr="004B14BD">
              <w:rPr>
                <w:sz w:val="16"/>
                <w:szCs w:val="16"/>
              </w:rPr>
              <w:t>Stk. 3. Tilsynsmyndigheden skal på anmodning godkende andre former for overvågning, end den som fremgår af bilag 9, hvis overvågningen sker med tilsvarende eller bedre sikkerhed.</w:t>
            </w:r>
          </w:p>
          <w:p w14:paraId="7C712636" w14:textId="77777777" w:rsidR="001E65DE" w:rsidRPr="004B14BD" w:rsidRDefault="001E65DE" w:rsidP="00C073E8">
            <w:pPr>
              <w:rPr>
                <w:sz w:val="16"/>
                <w:szCs w:val="16"/>
              </w:rPr>
            </w:pPr>
          </w:p>
        </w:tc>
      </w:tr>
      <w:tr w:rsidR="001E65DE" w:rsidRPr="004B14BD" w14:paraId="2BFE7378" w14:textId="77777777" w:rsidTr="007C1731">
        <w:tc>
          <w:tcPr>
            <w:tcW w:w="5000" w:type="pct"/>
          </w:tcPr>
          <w:p w14:paraId="293BD106" w14:textId="77777777" w:rsidR="001E65DE" w:rsidRPr="004B14BD" w:rsidRDefault="001E65DE" w:rsidP="00C073E8">
            <w:pPr>
              <w:rPr>
                <w:sz w:val="16"/>
                <w:szCs w:val="16"/>
              </w:rPr>
            </w:pPr>
            <w:r w:rsidRPr="004B14BD">
              <w:rPr>
                <w:b/>
                <w:bCs/>
                <w:sz w:val="16"/>
                <w:szCs w:val="16"/>
              </w:rPr>
              <w:lastRenderedPageBreak/>
              <w:t>§ 37.</w:t>
            </w:r>
            <w:r w:rsidRPr="004B14BD">
              <w:rPr>
                <w:sz w:val="16"/>
                <w:szCs w:val="16"/>
              </w:rPr>
              <w:t xml:space="preserve"> Hvis ejeren eller brugeren af et anlæg eller en pipeline konstaterer eller får begrundet mistanke om, at anlægget eller pipelinen er utæt, skal ejeren eller brugeren straks træffe foranstaltninger, der kan bringe en eventuel udstrømning til ophør og forhindre yderligere udslip, f.eks. ved tømning af anlægget.</w:t>
            </w:r>
          </w:p>
          <w:p w14:paraId="76CE9736" w14:textId="77777777" w:rsidR="001E65DE" w:rsidRPr="004B14BD" w:rsidRDefault="001E65DE" w:rsidP="00C073E8">
            <w:pPr>
              <w:rPr>
                <w:sz w:val="16"/>
                <w:szCs w:val="16"/>
              </w:rPr>
            </w:pPr>
          </w:p>
          <w:p w14:paraId="6E8BF01F" w14:textId="77777777" w:rsidR="001E65DE" w:rsidRPr="004B14BD" w:rsidRDefault="001E65DE" w:rsidP="00C073E8">
            <w:pPr>
              <w:rPr>
                <w:sz w:val="16"/>
                <w:szCs w:val="16"/>
              </w:rPr>
            </w:pPr>
            <w:r w:rsidRPr="004B14BD">
              <w:rPr>
                <w:sz w:val="16"/>
                <w:szCs w:val="16"/>
              </w:rPr>
              <w:t>Stk. 2. Ejeren eller brugeren skal straks underrette tilsynsmyndigheden, hvis et anlæg eller en pipeline er utæt. Hvis brugeren er en anden end ejeren, skal brugeren tillige underrette ejeren.</w:t>
            </w:r>
          </w:p>
          <w:p w14:paraId="0987B8B2" w14:textId="77777777" w:rsidR="001E65DE" w:rsidRPr="004B14BD" w:rsidRDefault="001E65DE" w:rsidP="00C073E8">
            <w:pPr>
              <w:rPr>
                <w:sz w:val="16"/>
                <w:szCs w:val="16"/>
              </w:rPr>
            </w:pPr>
          </w:p>
          <w:p w14:paraId="36C539A4" w14:textId="77777777" w:rsidR="001E65DE" w:rsidRPr="004B14BD" w:rsidRDefault="001E65DE" w:rsidP="00C073E8">
            <w:pPr>
              <w:rPr>
                <w:sz w:val="16"/>
                <w:szCs w:val="16"/>
              </w:rPr>
            </w:pPr>
            <w:r w:rsidRPr="004B14BD">
              <w:rPr>
                <w:sz w:val="16"/>
                <w:szCs w:val="16"/>
              </w:rPr>
              <w:t>Stk. 3. Et utæt anlæg eller en utæt pipeline skal sløjfes, renoveres eller repareres. I forbindelse med sløjfning, renovering eller reparation af et utæt anlæg eller en utæt pipeline, skal ejeren fremskaffe dokumentation for, at anlægget eller pipelinen ikke har forårsaget forurening.</w:t>
            </w:r>
          </w:p>
          <w:p w14:paraId="47410C2A" w14:textId="77777777" w:rsidR="001E65DE" w:rsidRPr="004B14BD" w:rsidRDefault="001E65DE" w:rsidP="00C073E8">
            <w:pPr>
              <w:rPr>
                <w:sz w:val="16"/>
                <w:szCs w:val="16"/>
              </w:rPr>
            </w:pPr>
          </w:p>
          <w:p w14:paraId="257C7AF4" w14:textId="77777777" w:rsidR="001E65DE" w:rsidRPr="004B14BD" w:rsidRDefault="001E65DE" w:rsidP="00C073E8">
            <w:pPr>
              <w:rPr>
                <w:sz w:val="16"/>
                <w:szCs w:val="16"/>
              </w:rPr>
            </w:pPr>
            <w:r w:rsidRPr="004B14BD">
              <w:rPr>
                <w:sz w:val="16"/>
                <w:szCs w:val="16"/>
              </w:rPr>
              <w:t>Stk. 4. Hvis der under påfyldning af et anlæg sker udstrømning af olieprodukter, herunder spild, der ikke umiddelbart kan fjernes, skal den, der har forestået påfyldningen, straks underrette tilsynsmyndigheden og ejeren eller brugeren af anlægget. Konstateres spildet af ejeren eller brugeren af anlægget, skal denne straks underrette tilsynsmyndigheden.</w:t>
            </w:r>
          </w:p>
          <w:p w14:paraId="3385B85C" w14:textId="77777777" w:rsidR="001E65DE" w:rsidRPr="004B14BD" w:rsidRDefault="001E65DE" w:rsidP="00C073E8">
            <w:pPr>
              <w:rPr>
                <w:sz w:val="16"/>
                <w:szCs w:val="16"/>
              </w:rPr>
            </w:pPr>
          </w:p>
        </w:tc>
      </w:tr>
      <w:tr w:rsidR="001E65DE" w:rsidRPr="004B14BD" w14:paraId="293471BA" w14:textId="77777777" w:rsidTr="007C1731">
        <w:tc>
          <w:tcPr>
            <w:tcW w:w="5000" w:type="pct"/>
          </w:tcPr>
          <w:p w14:paraId="5BA09876" w14:textId="77777777" w:rsidR="001E65DE" w:rsidRPr="004B14BD" w:rsidRDefault="001E65DE" w:rsidP="00C073E8">
            <w:pPr>
              <w:rPr>
                <w:sz w:val="16"/>
                <w:szCs w:val="16"/>
              </w:rPr>
            </w:pPr>
          </w:p>
          <w:p w14:paraId="3B05C6DA" w14:textId="77777777" w:rsidR="001E65DE" w:rsidRPr="004B14BD" w:rsidRDefault="001E65DE" w:rsidP="00C073E8">
            <w:pPr>
              <w:rPr>
                <w:sz w:val="16"/>
                <w:szCs w:val="16"/>
              </w:rPr>
            </w:pPr>
            <w:r w:rsidRPr="004B14BD">
              <w:rPr>
                <w:b/>
                <w:bCs/>
                <w:sz w:val="16"/>
                <w:szCs w:val="16"/>
              </w:rPr>
              <w:t>§ 38.</w:t>
            </w:r>
            <w:r w:rsidRPr="004B14BD">
              <w:rPr>
                <w:sz w:val="16"/>
                <w:szCs w:val="16"/>
              </w:rPr>
              <w:t xml:space="preserve"> Ejeren eller brugeren af et anlæg skal sikre, at anlægget er i en sådan vedligeholdelsesstand, at der ikke foreligger en åbenbar, nærliggende risiko for, at der kan ske forurening af jord, grundvand eller overfladevand, herunder må der ikke forefindes væsentlige synlige tæringer af tank, rørsystem eller understøtningen af overjordiske tanke.</w:t>
            </w:r>
          </w:p>
          <w:p w14:paraId="67AA66D2" w14:textId="77777777" w:rsidR="001E65DE" w:rsidRPr="004B14BD" w:rsidRDefault="001E65DE" w:rsidP="00C073E8">
            <w:pPr>
              <w:rPr>
                <w:sz w:val="16"/>
                <w:szCs w:val="16"/>
              </w:rPr>
            </w:pPr>
          </w:p>
          <w:p w14:paraId="0F376706" w14:textId="77777777" w:rsidR="001E65DE" w:rsidRPr="004B14BD" w:rsidRDefault="001E65DE" w:rsidP="00C073E8">
            <w:pPr>
              <w:rPr>
                <w:sz w:val="16"/>
                <w:szCs w:val="16"/>
              </w:rPr>
            </w:pPr>
            <w:r w:rsidRPr="004B14BD">
              <w:rPr>
                <w:sz w:val="16"/>
                <w:szCs w:val="16"/>
              </w:rPr>
              <w:t>Stk. 2. Ejeren eller brugeren af et overjordisk anlæg skal sikre, at anlægget står på et varigt stabilt underlag.</w:t>
            </w:r>
          </w:p>
          <w:p w14:paraId="5B7817C3" w14:textId="77777777" w:rsidR="001E65DE" w:rsidRPr="004B14BD" w:rsidRDefault="001E65DE" w:rsidP="00C073E8">
            <w:pPr>
              <w:rPr>
                <w:sz w:val="16"/>
                <w:szCs w:val="16"/>
              </w:rPr>
            </w:pPr>
          </w:p>
        </w:tc>
      </w:tr>
      <w:tr w:rsidR="001E65DE" w:rsidRPr="004B14BD" w14:paraId="0347640B" w14:textId="77777777" w:rsidTr="007C1731">
        <w:tc>
          <w:tcPr>
            <w:tcW w:w="5000" w:type="pct"/>
          </w:tcPr>
          <w:p w14:paraId="5BFBB6E6" w14:textId="77777777" w:rsidR="001E65DE" w:rsidRPr="004B14BD" w:rsidRDefault="001E65DE" w:rsidP="00C073E8">
            <w:pPr>
              <w:rPr>
                <w:sz w:val="16"/>
                <w:szCs w:val="16"/>
              </w:rPr>
            </w:pPr>
            <w:r w:rsidRPr="004B14BD">
              <w:rPr>
                <w:b/>
                <w:bCs/>
                <w:sz w:val="16"/>
                <w:szCs w:val="16"/>
              </w:rPr>
              <w:t>§ 39.</w:t>
            </w:r>
            <w:r w:rsidRPr="004B14BD">
              <w:rPr>
                <w:sz w:val="16"/>
                <w:szCs w:val="16"/>
              </w:rPr>
              <w:t xml:space="preserve"> Ejeren eller brugeren skal, som led i vedligeholdelse af anlæg, jf. § 38, foranledige, at nødvendige reparationer af anlægget finder sted.</w:t>
            </w:r>
          </w:p>
          <w:p w14:paraId="62A47696" w14:textId="77777777" w:rsidR="001E65DE" w:rsidRPr="004B14BD" w:rsidRDefault="001E65DE" w:rsidP="00C073E8">
            <w:pPr>
              <w:rPr>
                <w:sz w:val="16"/>
                <w:szCs w:val="16"/>
              </w:rPr>
            </w:pPr>
          </w:p>
          <w:p w14:paraId="5A663AF2" w14:textId="77777777" w:rsidR="001E65DE" w:rsidRPr="004B14BD" w:rsidRDefault="001E65DE" w:rsidP="00C073E8">
            <w:pPr>
              <w:rPr>
                <w:sz w:val="16"/>
                <w:szCs w:val="16"/>
              </w:rPr>
            </w:pPr>
            <w:r w:rsidRPr="004B14BD">
              <w:rPr>
                <w:sz w:val="16"/>
                <w:szCs w:val="16"/>
              </w:rPr>
              <w:t>Stk. 2. Ejeren og brugeren skal sikre, at reparation af et anlæg udføres af en sagkyndig, og at der modtages dokumentation for det udførte arbejde.</w:t>
            </w:r>
          </w:p>
          <w:p w14:paraId="1EF049AE" w14:textId="77777777" w:rsidR="001E65DE" w:rsidRPr="004B14BD" w:rsidRDefault="001E65DE" w:rsidP="00C073E8">
            <w:pPr>
              <w:rPr>
                <w:sz w:val="16"/>
                <w:szCs w:val="16"/>
              </w:rPr>
            </w:pPr>
          </w:p>
        </w:tc>
      </w:tr>
      <w:tr w:rsidR="001E65DE" w:rsidRPr="004B14BD" w14:paraId="6BA51EF0" w14:textId="77777777" w:rsidTr="007C1731">
        <w:tc>
          <w:tcPr>
            <w:tcW w:w="5000" w:type="pct"/>
          </w:tcPr>
          <w:p w14:paraId="64D5A694" w14:textId="77777777" w:rsidR="001E65DE" w:rsidRPr="004B14BD" w:rsidRDefault="001E65DE" w:rsidP="00C073E8">
            <w:pPr>
              <w:rPr>
                <w:sz w:val="16"/>
                <w:szCs w:val="16"/>
              </w:rPr>
            </w:pPr>
            <w:r w:rsidRPr="004B14BD">
              <w:rPr>
                <w:b/>
                <w:bCs/>
                <w:sz w:val="16"/>
                <w:szCs w:val="16"/>
              </w:rPr>
              <w:t>§ 40.</w:t>
            </w:r>
            <w:r w:rsidRPr="004B14BD">
              <w:rPr>
                <w:sz w:val="16"/>
                <w:szCs w:val="16"/>
              </w:rPr>
              <w:t xml:space="preserve"> Ejeren eller brugeren skal opbevare et eksemplar af tankattesten eller ydeevnedeklarationen, tillæg til tankattesten, udarbejdede tilstandsrapporter, dokumentation for udførte reparationer og tæthedsprøvning.</w:t>
            </w:r>
          </w:p>
          <w:p w14:paraId="73645887" w14:textId="77777777" w:rsidR="001E65DE" w:rsidRPr="004B14BD" w:rsidRDefault="001E65DE" w:rsidP="00C073E8">
            <w:pPr>
              <w:rPr>
                <w:sz w:val="16"/>
                <w:szCs w:val="16"/>
              </w:rPr>
            </w:pPr>
          </w:p>
        </w:tc>
      </w:tr>
      <w:tr w:rsidR="001E65DE" w:rsidRPr="004B14BD" w14:paraId="33976CC1" w14:textId="77777777" w:rsidTr="007C1731">
        <w:tc>
          <w:tcPr>
            <w:tcW w:w="5000" w:type="pct"/>
          </w:tcPr>
          <w:p w14:paraId="38A0CC9B" w14:textId="77777777" w:rsidR="001E65DE" w:rsidRPr="004B14BD" w:rsidRDefault="001E65DE" w:rsidP="00C073E8">
            <w:pPr>
              <w:rPr>
                <w:sz w:val="16"/>
                <w:szCs w:val="16"/>
              </w:rPr>
            </w:pPr>
            <w:r w:rsidRPr="004B14BD">
              <w:rPr>
                <w:b/>
                <w:bCs/>
                <w:sz w:val="16"/>
                <w:szCs w:val="16"/>
              </w:rPr>
              <w:t>§ 41.</w:t>
            </w:r>
            <w:r w:rsidRPr="004B14BD">
              <w:rPr>
                <w:sz w:val="16"/>
                <w:szCs w:val="16"/>
              </w:rPr>
              <w:t xml:space="preserve"> Ejeren eller brugeren af et anlæg skal sikre, at krav om vedligeholdelse, anvendelse m.v., som fremgår af tankattesten, ydeevnedeklarationen eller øvrige attester, overholdes.</w:t>
            </w:r>
          </w:p>
          <w:p w14:paraId="0BD6340C" w14:textId="77777777" w:rsidR="001E65DE" w:rsidRPr="004B14BD" w:rsidRDefault="001E65DE" w:rsidP="00C073E8">
            <w:pPr>
              <w:rPr>
                <w:sz w:val="16"/>
                <w:szCs w:val="16"/>
              </w:rPr>
            </w:pPr>
          </w:p>
        </w:tc>
      </w:tr>
      <w:tr w:rsidR="001E65DE" w:rsidRPr="004B14BD" w14:paraId="26D1A424" w14:textId="77777777" w:rsidTr="007C1731">
        <w:tc>
          <w:tcPr>
            <w:tcW w:w="5000" w:type="pct"/>
          </w:tcPr>
          <w:p w14:paraId="5333EB06" w14:textId="77777777" w:rsidR="001E65DE" w:rsidRPr="004B14BD" w:rsidRDefault="001E65DE" w:rsidP="00C073E8">
            <w:pPr>
              <w:rPr>
                <w:sz w:val="16"/>
                <w:szCs w:val="16"/>
              </w:rPr>
            </w:pPr>
            <w:r w:rsidRPr="004B14BD">
              <w:rPr>
                <w:b/>
                <w:bCs/>
                <w:sz w:val="16"/>
                <w:szCs w:val="16"/>
              </w:rPr>
              <w:t>§ 42.</w:t>
            </w:r>
            <w:r w:rsidRPr="004B14BD">
              <w:rPr>
                <w:sz w:val="16"/>
                <w:szCs w:val="16"/>
              </w:rPr>
              <w:t xml:space="preserve"> Stk. 3. Dobbeltvæggede tanke, der er tilsluttet et overvågningssystem, som beskrevet i bilag 9, skal ikke inspiceres eller tæthedsprøves.</w:t>
            </w:r>
          </w:p>
          <w:p w14:paraId="09CC26E4" w14:textId="77777777" w:rsidR="001E65DE" w:rsidRPr="004B14BD" w:rsidRDefault="001E65DE" w:rsidP="00C073E8">
            <w:pPr>
              <w:rPr>
                <w:sz w:val="16"/>
                <w:szCs w:val="16"/>
              </w:rPr>
            </w:pPr>
          </w:p>
          <w:p w14:paraId="77FCA6E8" w14:textId="77777777" w:rsidR="001E65DE" w:rsidRPr="004B14BD" w:rsidRDefault="001E65DE" w:rsidP="00C073E8">
            <w:pPr>
              <w:rPr>
                <w:sz w:val="16"/>
                <w:szCs w:val="16"/>
              </w:rPr>
            </w:pPr>
            <w:r w:rsidRPr="004B14BD">
              <w:rPr>
                <w:sz w:val="16"/>
                <w:szCs w:val="16"/>
              </w:rPr>
              <w:t>Stk. 4. Rørsystemer, skal tæthedsprøves ved samme lejlighed som de tilknyttede tanke. Dobbeltvæggede rørsystemer, der er tilsluttet et overvågningssystem, som beskrevet i bilag 9, skal ikke tæthedsprøves. Rørsystemer til dobbeltvæggede tanke, der er tilsluttet et overvågningssystem, men som ikke selv indgår i overvågningen, tæthedsprøves mindst hvert 10. år.</w:t>
            </w:r>
          </w:p>
          <w:p w14:paraId="329C0752" w14:textId="77777777" w:rsidR="001E65DE" w:rsidRPr="004B14BD" w:rsidRDefault="001E65DE" w:rsidP="00C073E8">
            <w:pPr>
              <w:rPr>
                <w:sz w:val="16"/>
                <w:szCs w:val="16"/>
              </w:rPr>
            </w:pPr>
          </w:p>
        </w:tc>
      </w:tr>
      <w:tr w:rsidR="001E65DE" w:rsidRPr="004B14BD" w14:paraId="4B70DF7B" w14:textId="77777777" w:rsidTr="007C1731">
        <w:tc>
          <w:tcPr>
            <w:tcW w:w="5000" w:type="pct"/>
          </w:tcPr>
          <w:p w14:paraId="5392BA44" w14:textId="77777777" w:rsidR="001E65DE" w:rsidRPr="004B14BD" w:rsidRDefault="001E65DE" w:rsidP="00C073E8">
            <w:pPr>
              <w:rPr>
                <w:b/>
                <w:bCs/>
                <w:sz w:val="16"/>
                <w:szCs w:val="16"/>
              </w:rPr>
            </w:pPr>
          </w:p>
          <w:p w14:paraId="3F009D97" w14:textId="77777777" w:rsidR="001E65DE" w:rsidRPr="004B14BD" w:rsidRDefault="001E65DE" w:rsidP="00C073E8">
            <w:pPr>
              <w:rPr>
                <w:b/>
                <w:bCs/>
                <w:sz w:val="16"/>
                <w:szCs w:val="16"/>
              </w:rPr>
            </w:pPr>
            <w:r w:rsidRPr="004B14BD">
              <w:rPr>
                <w:b/>
                <w:bCs/>
                <w:sz w:val="16"/>
                <w:szCs w:val="16"/>
              </w:rPr>
              <w:t>Bilag 9</w:t>
            </w:r>
          </w:p>
          <w:p w14:paraId="15AA905C" w14:textId="77777777" w:rsidR="001E65DE" w:rsidRPr="004B14BD" w:rsidRDefault="001E65DE" w:rsidP="00C073E8">
            <w:pPr>
              <w:rPr>
                <w:b/>
                <w:bCs/>
                <w:sz w:val="16"/>
                <w:szCs w:val="16"/>
              </w:rPr>
            </w:pPr>
          </w:p>
        </w:tc>
      </w:tr>
      <w:tr w:rsidR="001E65DE" w:rsidRPr="004B14BD" w14:paraId="3CD24EEF" w14:textId="77777777" w:rsidTr="007C1731">
        <w:tc>
          <w:tcPr>
            <w:tcW w:w="5000" w:type="pct"/>
          </w:tcPr>
          <w:p w14:paraId="443A4527" w14:textId="77777777" w:rsidR="001E65DE" w:rsidRPr="004B14BD" w:rsidRDefault="001E65DE" w:rsidP="00C073E8">
            <w:pPr>
              <w:rPr>
                <w:sz w:val="16"/>
                <w:szCs w:val="16"/>
              </w:rPr>
            </w:pPr>
          </w:p>
          <w:p w14:paraId="0A7BD059" w14:textId="77777777" w:rsidR="001E65DE" w:rsidRPr="004B14BD" w:rsidRDefault="001E65DE" w:rsidP="00C073E8">
            <w:pPr>
              <w:rPr>
                <w:sz w:val="16"/>
                <w:szCs w:val="16"/>
              </w:rPr>
            </w:pPr>
            <w:r w:rsidRPr="004B14BD">
              <w:rPr>
                <w:sz w:val="16"/>
                <w:szCs w:val="16"/>
              </w:rPr>
              <w:t>Retningslinjer for egenkontrol, jf. § 35</w:t>
            </w:r>
          </w:p>
          <w:p w14:paraId="4AF49E61" w14:textId="77777777" w:rsidR="001E65DE" w:rsidRPr="004B14BD" w:rsidRDefault="001E65DE" w:rsidP="00C073E8">
            <w:pPr>
              <w:rPr>
                <w:sz w:val="16"/>
                <w:szCs w:val="16"/>
              </w:rPr>
            </w:pPr>
          </w:p>
          <w:p w14:paraId="256CC3FC" w14:textId="77777777" w:rsidR="001E65DE" w:rsidRPr="004B14BD" w:rsidRDefault="001E65DE" w:rsidP="00C073E8">
            <w:pPr>
              <w:rPr>
                <w:sz w:val="16"/>
                <w:szCs w:val="16"/>
              </w:rPr>
            </w:pPr>
            <w:r w:rsidRPr="004B14BD">
              <w:rPr>
                <w:sz w:val="16"/>
                <w:szCs w:val="16"/>
              </w:rPr>
              <w:t xml:space="preserve">1) Tætheden af dobbeltvæggede tanke eller dobbeltvæggede rør skal kontrolleres ved overvågning af trykforholdet (gas- eller væsketryk) i rummet mellem de dobbelte vægge. Overvågningen kan </w:t>
            </w:r>
            <w:r w:rsidRPr="004B14BD">
              <w:rPr>
                <w:sz w:val="16"/>
                <w:szCs w:val="16"/>
              </w:rPr>
              <w:lastRenderedPageBreak/>
              <w:t>være automatisk ved tilslutning til alarm eller manuel ved aflæsning af manometer eller lignende måleudstyr. Automatisk overvågningsanlæg skal funktionsafprøves mindst en gang årligt. Manuel overvågning skal ske mindst en gang hver måned.</w:t>
            </w:r>
          </w:p>
          <w:p w14:paraId="58A75EBB" w14:textId="77777777" w:rsidR="001E65DE" w:rsidRPr="004B14BD" w:rsidRDefault="001E65DE" w:rsidP="00C073E8">
            <w:pPr>
              <w:rPr>
                <w:sz w:val="16"/>
                <w:szCs w:val="16"/>
              </w:rPr>
            </w:pPr>
          </w:p>
          <w:p w14:paraId="27EA1103" w14:textId="77777777" w:rsidR="001E65DE" w:rsidRPr="004B14BD" w:rsidRDefault="001E65DE" w:rsidP="00C073E8">
            <w:pPr>
              <w:rPr>
                <w:sz w:val="16"/>
                <w:szCs w:val="16"/>
              </w:rPr>
            </w:pPr>
            <w:r w:rsidRPr="004B14BD">
              <w:rPr>
                <w:sz w:val="16"/>
                <w:szCs w:val="16"/>
              </w:rPr>
              <w:t>5) Ejeren og brugeren skal føre journal over målinger, afprøvningsresultater og regnskab, som foretages i forbindelse med egenkontrollen. I forbindelse med journalføringen skal foretages en vurdering af, om der systematisk er mindre beholdning eller større forbrug end forventet. Hvis dette er tilfældet, skal tilsynsmyndigheden informeres, og årsagen skal findes. Tidspunkt og resultat af udvendig visuel inspektion, jf. nr. 4, skal journalføres.</w:t>
            </w:r>
          </w:p>
          <w:p w14:paraId="599B7B34" w14:textId="77777777" w:rsidR="001E65DE" w:rsidRPr="004B14BD" w:rsidRDefault="001E65DE" w:rsidP="00C073E8">
            <w:pPr>
              <w:rPr>
                <w:sz w:val="16"/>
                <w:szCs w:val="16"/>
              </w:rPr>
            </w:pPr>
          </w:p>
        </w:tc>
      </w:tr>
    </w:tbl>
    <w:p w14:paraId="6CB3E0B1" w14:textId="77777777" w:rsidR="001E65DE" w:rsidRPr="004B14BD" w:rsidRDefault="001E65DE" w:rsidP="001E65DE"/>
    <w:p w14:paraId="4BBFE95A" w14:textId="77777777" w:rsidR="001E65DE" w:rsidRPr="004B14BD" w:rsidRDefault="001E65DE" w:rsidP="001E65DE"/>
    <w:tbl>
      <w:tblPr>
        <w:tblStyle w:val="Tabel-Gitter"/>
        <w:tblW w:w="0" w:type="auto"/>
        <w:tblLook w:val="04A0" w:firstRow="1" w:lastRow="0" w:firstColumn="1" w:lastColumn="0" w:noHBand="0" w:noVBand="1"/>
      </w:tblPr>
      <w:tblGrid>
        <w:gridCol w:w="8354"/>
      </w:tblGrid>
      <w:tr w:rsidR="001E65DE" w:rsidRPr="004B14BD" w14:paraId="1DC7DC3F" w14:textId="77777777" w:rsidTr="00C073E8">
        <w:tc>
          <w:tcPr>
            <w:tcW w:w="9629" w:type="dxa"/>
          </w:tcPr>
          <w:p w14:paraId="1C67EFB3" w14:textId="77777777" w:rsidR="001E65DE" w:rsidRPr="004B14BD" w:rsidRDefault="001E65DE" w:rsidP="00C073E8">
            <w:pPr>
              <w:rPr>
                <w:b/>
                <w:bCs/>
                <w:szCs w:val="19"/>
              </w:rPr>
            </w:pPr>
            <w:r w:rsidRPr="004B14BD">
              <w:rPr>
                <w:b/>
                <w:bCs/>
                <w:szCs w:val="19"/>
              </w:rPr>
              <w:t>UDDRAG af MCP-bekendtgørelsen (Bekendtgørelse om miljøkrav for mellemstore fyringsanlæg nr. 1535 af 9. december 2019)</w:t>
            </w:r>
          </w:p>
          <w:p w14:paraId="5A635CE0" w14:textId="77777777" w:rsidR="001E65DE" w:rsidRPr="004B14BD" w:rsidRDefault="001E65DE" w:rsidP="00C073E8">
            <w:pPr>
              <w:rPr>
                <w:b/>
                <w:bCs/>
                <w:sz w:val="16"/>
                <w:szCs w:val="16"/>
              </w:rPr>
            </w:pPr>
          </w:p>
          <w:p w14:paraId="30EED5B7" w14:textId="6D9B5BDD" w:rsidR="001E65DE" w:rsidRPr="004B14BD" w:rsidRDefault="001E65DE" w:rsidP="00C073E8">
            <w:pPr>
              <w:rPr>
                <w:b/>
                <w:bCs/>
                <w:sz w:val="16"/>
                <w:szCs w:val="16"/>
              </w:rPr>
            </w:pPr>
            <w:r w:rsidRPr="004B14BD">
              <w:rPr>
                <w:b/>
                <w:bCs/>
                <w:sz w:val="16"/>
                <w:szCs w:val="16"/>
              </w:rPr>
              <w:t>(</w:t>
            </w:r>
            <w:r w:rsidR="00847A70">
              <w:rPr>
                <w:b/>
                <w:bCs/>
                <w:sz w:val="16"/>
                <w:szCs w:val="16"/>
              </w:rPr>
              <w:t xml:space="preserve">I tabellen fremgår udelukkende </w:t>
            </w:r>
            <w:r w:rsidRPr="004B14BD">
              <w:rPr>
                <w:b/>
                <w:bCs/>
                <w:sz w:val="16"/>
                <w:szCs w:val="16"/>
              </w:rPr>
              <w:t>regler, som er relevante for virksomheden</w:t>
            </w:r>
            <w:r w:rsidR="00847A70">
              <w:rPr>
                <w:b/>
                <w:bCs/>
                <w:sz w:val="16"/>
                <w:szCs w:val="16"/>
              </w:rPr>
              <w:t>. Øvrige regler i bekendtgørelsen er ikke medtaget i tabellen</w:t>
            </w:r>
            <w:r w:rsidRPr="004B14BD">
              <w:rPr>
                <w:b/>
                <w:bCs/>
                <w:sz w:val="16"/>
                <w:szCs w:val="16"/>
              </w:rPr>
              <w:t>)</w:t>
            </w:r>
          </w:p>
          <w:p w14:paraId="5589AD3D" w14:textId="77777777" w:rsidR="001E65DE" w:rsidRPr="004B14BD" w:rsidRDefault="001E65DE" w:rsidP="00C073E8">
            <w:pPr>
              <w:rPr>
                <w:color w:val="FF0000"/>
                <w:sz w:val="16"/>
                <w:szCs w:val="16"/>
              </w:rPr>
            </w:pPr>
          </w:p>
        </w:tc>
      </w:tr>
      <w:tr w:rsidR="001E65DE" w:rsidRPr="004B14BD" w14:paraId="07F6B988" w14:textId="77777777" w:rsidTr="00C073E8">
        <w:tc>
          <w:tcPr>
            <w:tcW w:w="9629" w:type="dxa"/>
          </w:tcPr>
          <w:p w14:paraId="1759239F" w14:textId="77777777" w:rsidR="001E65DE" w:rsidRPr="004B14BD" w:rsidRDefault="001E65DE" w:rsidP="00C073E8">
            <w:pPr>
              <w:rPr>
                <w:b/>
                <w:bCs/>
                <w:color w:val="000000" w:themeColor="text1"/>
                <w:sz w:val="16"/>
                <w:szCs w:val="16"/>
              </w:rPr>
            </w:pPr>
          </w:p>
          <w:p w14:paraId="51B85038" w14:textId="77777777" w:rsidR="001E65DE" w:rsidRPr="004B14BD" w:rsidRDefault="001E65DE" w:rsidP="00C073E8">
            <w:pPr>
              <w:rPr>
                <w:b/>
                <w:bCs/>
                <w:color w:val="000000" w:themeColor="text1"/>
                <w:sz w:val="16"/>
                <w:szCs w:val="16"/>
              </w:rPr>
            </w:pPr>
            <w:r w:rsidRPr="004B14BD">
              <w:rPr>
                <w:b/>
                <w:bCs/>
                <w:color w:val="000000" w:themeColor="text1"/>
                <w:sz w:val="16"/>
                <w:szCs w:val="16"/>
              </w:rPr>
              <w:t>Emissionsgrænseværdier for visse mellemstore fyringsanlæg med højst 500 eller 1000 årlige driftstimer</w:t>
            </w:r>
          </w:p>
          <w:p w14:paraId="26EA5CCC" w14:textId="77777777" w:rsidR="001E65DE" w:rsidRPr="004B14BD" w:rsidRDefault="001E65DE" w:rsidP="00C073E8">
            <w:pPr>
              <w:rPr>
                <w:b/>
                <w:bCs/>
                <w:color w:val="000000" w:themeColor="text1"/>
                <w:sz w:val="16"/>
                <w:szCs w:val="16"/>
              </w:rPr>
            </w:pPr>
          </w:p>
        </w:tc>
      </w:tr>
      <w:tr w:rsidR="001E65DE" w:rsidRPr="004B14BD" w14:paraId="7CF71905" w14:textId="77777777" w:rsidTr="00C073E8">
        <w:tc>
          <w:tcPr>
            <w:tcW w:w="9629" w:type="dxa"/>
          </w:tcPr>
          <w:p w14:paraId="1F384B75" w14:textId="77777777" w:rsidR="001E65DE" w:rsidRPr="004B14BD" w:rsidRDefault="001E65DE" w:rsidP="00C073E8">
            <w:pPr>
              <w:rPr>
                <w:color w:val="000000" w:themeColor="text1"/>
                <w:sz w:val="16"/>
                <w:szCs w:val="16"/>
              </w:rPr>
            </w:pPr>
            <w:r w:rsidRPr="004B14BD">
              <w:rPr>
                <w:b/>
                <w:bCs/>
                <w:color w:val="000000" w:themeColor="text1"/>
                <w:sz w:val="16"/>
                <w:szCs w:val="16"/>
              </w:rPr>
              <w:t>§ 10.</w:t>
            </w:r>
            <w:r w:rsidRPr="004B14BD">
              <w:rPr>
                <w:color w:val="000000" w:themeColor="text1"/>
                <w:sz w:val="16"/>
                <w:szCs w:val="16"/>
              </w:rPr>
              <w:t xml:space="preserve"> Nye mellemstore fyringsanlæg, der fungerer som nødanlæg, og er i drift i højst 500 timer om året udregnet som et rullende gennemsnit over en periode på tre år, er undtaget fra at overholde emissionsgrænseværdierne for SO2, NOx, støv og CO i bilag 2.</w:t>
            </w:r>
          </w:p>
          <w:p w14:paraId="4DB3920F" w14:textId="77777777" w:rsidR="001E65DE" w:rsidRPr="004B14BD" w:rsidRDefault="001E65DE" w:rsidP="00C073E8">
            <w:pPr>
              <w:rPr>
                <w:color w:val="FF0000"/>
                <w:sz w:val="16"/>
                <w:szCs w:val="16"/>
              </w:rPr>
            </w:pPr>
          </w:p>
        </w:tc>
      </w:tr>
      <w:tr w:rsidR="001E65DE" w:rsidRPr="004B14BD" w14:paraId="75BE0C72" w14:textId="77777777" w:rsidTr="00C073E8">
        <w:tc>
          <w:tcPr>
            <w:tcW w:w="9629" w:type="dxa"/>
          </w:tcPr>
          <w:p w14:paraId="2E87D146" w14:textId="77777777" w:rsidR="001E65DE" w:rsidRPr="004B14BD" w:rsidRDefault="001E65DE" w:rsidP="00C073E8">
            <w:pPr>
              <w:rPr>
                <w:b/>
                <w:bCs/>
                <w:color w:val="000000" w:themeColor="text1"/>
                <w:sz w:val="16"/>
                <w:szCs w:val="16"/>
              </w:rPr>
            </w:pPr>
          </w:p>
          <w:p w14:paraId="2B743908" w14:textId="77777777" w:rsidR="001E65DE" w:rsidRPr="004B14BD" w:rsidRDefault="001E65DE" w:rsidP="00C073E8">
            <w:pPr>
              <w:rPr>
                <w:b/>
                <w:bCs/>
                <w:color w:val="000000" w:themeColor="text1"/>
                <w:sz w:val="16"/>
                <w:szCs w:val="16"/>
              </w:rPr>
            </w:pPr>
            <w:r w:rsidRPr="004B14BD">
              <w:rPr>
                <w:b/>
                <w:bCs/>
                <w:color w:val="000000" w:themeColor="text1"/>
                <w:sz w:val="16"/>
                <w:szCs w:val="16"/>
              </w:rPr>
              <w:t>Opstarts- og nedlukningsperioder</w:t>
            </w:r>
          </w:p>
          <w:p w14:paraId="24BCB024" w14:textId="77777777" w:rsidR="001E65DE" w:rsidRPr="004B14BD" w:rsidRDefault="001E65DE" w:rsidP="00C073E8">
            <w:pPr>
              <w:rPr>
                <w:b/>
                <w:bCs/>
                <w:color w:val="000000" w:themeColor="text1"/>
                <w:sz w:val="16"/>
                <w:szCs w:val="16"/>
              </w:rPr>
            </w:pPr>
          </w:p>
        </w:tc>
      </w:tr>
      <w:tr w:rsidR="001E65DE" w:rsidRPr="004B14BD" w14:paraId="7A2260A8" w14:textId="77777777" w:rsidTr="00C073E8">
        <w:tc>
          <w:tcPr>
            <w:tcW w:w="9629" w:type="dxa"/>
          </w:tcPr>
          <w:p w14:paraId="16F07A89" w14:textId="77777777" w:rsidR="001E65DE" w:rsidRPr="004B14BD" w:rsidRDefault="001E65DE" w:rsidP="00C073E8">
            <w:pPr>
              <w:rPr>
                <w:color w:val="000000" w:themeColor="text1"/>
                <w:sz w:val="16"/>
                <w:szCs w:val="16"/>
              </w:rPr>
            </w:pPr>
            <w:r w:rsidRPr="004B14BD">
              <w:rPr>
                <w:b/>
                <w:bCs/>
                <w:color w:val="000000" w:themeColor="text1"/>
                <w:sz w:val="16"/>
                <w:szCs w:val="16"/>
              </w:rPr>
              <w:t>§ 14.</w:t>
            </w:r>
            <w:r w:rsidRPr="004B14BD">
              <w:rPr>
                <w:color w:val="000000" w:themeColor="text1"/>
                <w:sz w:val="16"/>
                <w:szCs w:val="16"/>
              </w:rPr>
              <w:t xml:space="preserve"> Driftslederen sørger for, at opstarts- og nedlukningsperioderne for mellemstore fyringsanlæg holdes så korte som muligt.</w:t>
            </w:r>
          </w:p>
          <w:p w14:paraId="22999CD5" w14:textId="77777777" w:rsidR="001E65DE" w:rsidRPr="004B14BD" w:rsidRDefault="001E65DE" w:rsidP="00C073E8">
            <w:pPr>
              <w:rPr>
                <w:color w:val="000000" w:themeColor="text1"/>
                <w:sz w:val="16"/>
                <w:szCs w:val="16"/>
              </w:rPr>
            </w:pPr>
          </w:p>
        </w:tc>
      </w:tr>
      <w:tr w:rsidR="001E65DE" w:rsidRPr="004B14BD" w14:paraId="6A6CC2C2" w14:textId="77777777" w:rsidTr="00C073E8">
        <w:tc>
          <w:tcPr>
            <w:tcW w:w="9629" w:type="dxa"/>
          </w:tcPr>
          <w:p w14:paraId="13E2FF9A" w14:textId="77777777" w:rsidR="001E65DE" w:rsidRPr="004B14BD" w:rsidRDefault="001E65DE" w:rsidP="00C073E8">
            <w:pPr>
              <w:rPr>
                <w:b/>
                <w:bCs/>
                <w:color w:val="000000" w:themeColor="text1"/>
                <w:sz w:val="16"/>
                <w:szCs w:val="16"/>
              </w:rPr>
            </w:pPr>
          </w:p>
          <w:p w14:paraId="06746016" w14:textId="77777777" w:rsidR="001E65DE" w:rsidRPr="004B14BD" w:rsidRDefault="001E65DE" w:rsidP="00C073E8">
            <w:pPr>
              <w:rPr>
                <w:b/>
                <w:bCs/>
                <w:color w:val="000000" w:themeColor="text1"/>
                <w:sz w:val="16"/>
                <w:szCs w:val="16"/>
              </w:rPr>
            </w:pPr>
            <w:r w:rsidRPr="004B14BD">
              <w:rPr>
                <w:b/>
                <w:bCs/>
                <w:color w:val="000000" w:themeColor="text1"/>
                <w:sz w:val="16"/>
                <w:szCs w:val="16"/>
              </w:rPr>
              <w:t>Egenkontrol med luftforurening</w:t>
            </w:r>
          </w:p>
          <w:p w14:paraId="3996D4C1" w14:textId="77777777" w:rsidR="001E65DE" w:rsidRPr="004B14BD" w:rsidRDefault="001E65DE" w:rsidP="00C073E8">
            <w:pPr>
              <w:rPr>
                <w:b/>
                <w:bCs/>
                <w:color w:val="000000" w:themeColor="text1"/>
                <w:sz w:val="16"/>
                <w:szCs w:val="16"/>
              </w:rPr>
            </w:pPr>
          </w:p>
        </w:tc>
      </w:tr>
      <w:tr w:rsidR="001E65DE" w:rsidRPr="004B14BD" w14:paraId="0F91B9E7" w14:textId="77777777" w:rsidTr="00C073E8">
        <w:tc>
          <w:tcPr>
            <w:tcW w:w="9629" w:type="dxa"/>
          </w:tcPr>
          <w:p w14:paraId="697873BA" w14:textId="77777777" w:rsidR="001E65DE" w:rsidRPr="004B14BD" w:rsidRDefault="001E65DE" w:rsidP="00C073E8">
            <w:pPr>
              <w:rPr>
                <w:color w:val="000000" w:themeColor="text1"/>
                <w:sz w:val="16"/>
                <w:szCs w:val="16"/>
              </w:rPr>
            </w:pPr>
            <w:r w:rsidRPr="004B14BD">
              <w:rPr>
                <w:b/>
                <w:bCs/>
                <w:color w:val="000000" w:themeColor="text1"/>
                <w:sz w:val="16"/>
                <w:szCs w:val="16"/>
              </w:rPr>
              <w:t>§ 15.</w:t>
            </w:r>
            <w:r w:rsidRPr="004B14BD">
              <w:rPr>
                <w:color w:val="000000" w:themeColor="text1"/>
                <w:sz w:val="16"/>
                <w:szCs w:val="16"/>
              </w:rPr>
              <w:t xml:space="preserve"> Stk. 2. På nye mellemstore fyringsanlæg skal O</w:t>
            </w:r>
            <w:r w:rsidRPr="004B14BD">
              <w:rPr>
                <w:color w:val="000000" w:themeColor="text1"/>
                <w:sz w:val="16"/>
                <w:szCs w:val="16"/>
                <w:vertAlign w:val="subscript"/>
              </w:rPr>
              <w:t>2</w:t>
            </w:r>
            <w:r w:rsidRPr="004B14BD">
              <w:rPr>
                <w:color w:val="000000" w:themeColor="text1"/>
                <w:sz w:val="16"/>
                <w:szCs w:val="16"/>
              </w:rPr>
              <w:t>-koncentrationen i røggassen løbende måles og reguleres med henblik på styring af forbrændingsprocessen.</w:t>
            </w:r>
          </w:p>
          <w:p w14:paraId="4CFC8BF3" w14:textId="77777777" w:rsidR="001E65DE" w:rsidRPr="004B14BD" w:rsidRDefault="001E65DE" w:rsidP="00C073E8">
            <w:pPr>
              <w:rPr>
                <w:color w:val="000000" w:themeColor="text1"/>
                <w:sz w:val="16"/>
                <w:szCs w:val="16"/>
              </w:rPr>
            </w:pPr>
          </w:p>
        </w:tc>
      </w:tr>
      <w:tr w:rsidR="001E65DE" w:rsidRPr="004B14BD" w14:paraId="2884F23F" w14:textId="77777777" w:rsidTr="00C073E8">
        <w:tc>
          <w:tcPr>
            <w:tcW w:w="9629" w:type="dxa"/>
          </w:tcPr>
          <w:p w14:paraId="6495977A" w14:textId="77777777" w:rsidR="001E65DE" w:rsidRPr="004B14BD" w:rsidRDefault="001E65DE" w:rsidP="00C073E8">
            <w:pPr>
              <w:rPr>
                <w:color w:val="FF0000"/>
                <w:sz w:val="16"/>
                <w:szCs w:val="16"/>
              </w:rPr>
            </w:pPr>
            <w:r w:rsidRPr="004B14BD">
              <w:rPr>
                <w:b/>
                <w:bCs/>
                <w:color w:val="000000" w:themeColor="text1"/>
                <w:sz w:val="16"/>
                <w:szCs w:val="16"/>
              </w:rPr>
              <w:t>§ 16.</w:t>
            </w:r>
            <w:r w:rsidRPr="004B14BD">
              <w:rPr>
                <w:color w:val="000000" w:themeColor="text1"/>
                <w:sz w:val="16"/>
                <w:szCs w:val="16"/>
              </w:rPr>
              <w:t xml:space="preserve"> Måle- og registreringsudstyr for O</w:t>
            </w:r>
            <w:r w:rsidRPr="004B14BD">
              <w:rPr>
                <w:color w:val="000000" w:themeColor="text1"/>
                <w:sz w:val="16"/>
                <w:szCs w:val="16"/>
                <w:vertAlign w:val="subscript"/>
              </w:rPr>
              <w:t>2</w:t>
            </w:r>
            <w:r w:rsidRPr="004B14BD">
              <w:rPr>
                <w:color w:val="000000" w:themeColor="text1"/>
                <w:sz w:val="16"/>
                <w:szCs w:val="16"/>
              </w:rPr>
              <w:t xml:space="preserve"> skal kvalitetssikres efter retningslinjerne i bilag 6, del 1, afsnit 5</w:t>
            </w:r>
            <w:r w:rsidRPr="004B14BD">
              <w:rPr>
                <w:color w:val="FF0000"/>
                <w:sz w:val="16"/>
                <w:szCs w:val="16"/>
              </w:rPr>
              <w:t>.</w:t>
            </w:r>
          </w:p>
          <w:p w14:paraId="59E104E0" w14:textId="77777777" w:rsidR="001E65DE" w:rsidRPr="004B14BD" w:rsidRDefault="001E65DE" w:rsidP="00C073E8">
            <w:pPr>
              <w:rPr>
                <w:color w:val="FF0000"/>
                <w:sz w:val="16"/>
                <w:szCs w:val="16"/>
              </w:rPr>
            </w:pPr>
          </w:p>
        </w:tc>
      </w:tr>
      <w:tr w:rsidR="001E65DE" w:rsidRPr="004B14BD" w14:paraId="4335232D" w14:textId="77777777" w:rsidTr="00C073E8">
        <w:tc>
          <w:tcPr>
            <w:tcW w:w="9629" w:type="dxa"/>
          </w:tcPr>
          <w:p w14:paraId="0F4E31CF" w14:textId="77777777" w:rsidR="001E65DE" w:rsidRPr="004B14BD" w:rsidRDefault="001E65DE" w:rsidP="00C073E8">
            <w:pPr>
              <w:rPr>
                <w:color w:val="000000" w:themeColor="text1"/>
                <w:sz w:val="16"/>
                <w:szCs w:val="16"/>
              </w:rPr>
            </w:pPr>
            <w:r w:rsidRPr="004B14BD">
              <w:rPr>
                <w:b/>
                <w:bCs/>
                <w:color w:val="000000" w:themeColor="text1"/>
                <w:sz w:val="16"/>
                <w:szCs w:val="16"/>
              </w:rPr>
              <w:t>§ 19.</w:t>
            </w:r>
            <w:r w:rsidRPr="004B14BD">
              <w:rPr>
                <w:color w:val="000000" w:themeColor="text1"/>
                <w:sz w:val="16"/>
                <w:szCs w:val="16"/>
              </w:rPr>
              <w:t xml:space="preserve"> Afkast på mellemstore fyringsanlæg skal være indrettet med målested, som angivet i bilag 6, del 1, nr. 1.</w:t>
            </w:r>
          </w:p>
          <w:p w14:paraId="45D97A49" w14:textId="77777777" w:rsidR="001E65DE" w:rsidRPr="004B14BD" w:rsidRDefault="001E65DE" w:rsidP="00C073E8">
            <w:pPr>
              <w:rPr>
                <w:color w:val="FF0000"/>
                <w:sz w:val="16"/>
                <w:szCs w:val="16"/>
              </w:rPr>
            </w:pPr>
          </w:p>
        </w:tc>
      </w:tr>
      <w:tr w:rsidR="001E65DE" w:rsidRPr="004B14BD" w14:paraId="753F6E88" w14:textId="77777777" w:rsidTr="00C073E8">
        <w:tc>
          <w:tcPr>
            <w:tcW w:w="9629" w:type="dxa"/>
          </w:tcPr>
          <w:p w14:paraId="68935B53" w14:textId="77777777" w:rsidR="001E65DE" w:rsidRPr="004B14BD" w:rsidRDefault="001E65DE" w:rsidP="00C073E8">
            <w:pPr>
              <w:rPr>
                <w:color w:val="000000" w:themeColor="text1"/>
                <w:sz w:val="16"/>
                <w:szCs w:val="16"/>
              </w:rPr>
            </w:pPr>
            <w:r w:rsidRPr="004B14BD">
              <w:rPr>
                <w:b/>
                <w:bCs/>
                <w:color w:val="000000" w:themeColor="text1"/>
                <w:sz w:val="16"/>
                <w:szCs w:val="16"/>
              </w:rPr>
              <w:t>§ 20.</w:t>
            </w:r>
            <w:r w:rsidRPr="004B14BD">
              <w:rPr>
                <w:color w:val="000000" w:themeColor="text1"/>
                <w:sz w:val="16"/>
                <w:szCs w:val="16"/>
              </w:rPr>
              <w:t xml:space="preserve"> Stk. 2. Driftslederen skal ved præstationskontrol overvåge emissioner af CO fra nye og bestående mellemstore fyringsanlæg, der anvendes som nødanlæg, og emissioner af CO fra bestående mellemstore fyringsanlæg omfattet af § 11, stk. 2 og 5.</w:t>
            </w:r>
          </w:p>
          <w:p w14:paraId="78236128" w14:textId="77777777" w:rsidR="001E65DE" w:rsidRPr="004B14BD" w:rsidRDefault="001E65DE" w:rsidP="00C073E8">
            <w:pPr>
              <w:rPr>
                <w:color w:val="000000" w:themeColor="text1"/>
                <w:sz w:val="16"/>
                <w:szCs w:val="16"/>
              </w:rPr>
            </w:pPr>
          </w:p>
          <w:p w14:paraId="00532BDA" w14:textId="77777777" w:rsidR="001E65DE" w:rsidRPr="004B14BD" w:rsidRDefault="001E65DE" w:rsidP="00C073E8">
            <w:pPr>
              <w:rPr>
                <w:color w:val="000000" w:themeColor="text1"/>
                <w:sz w:val="16"/>
                <w:szCs w:val="16"/>
              </w:rPr>
            </w:pPr>
            <w:r w:rsidRPr="004B14BD">
              <w:rPr>
                <w:color w:val="000000" w:themeColor="text1"/>
                <w:sz w:val="16"/>
                <w:szCs w:val="16"/>
              </w:rPr>
              <w:t>Stk. 3. Præstationskontrollen efter stk. 2 skal ske i overensstemmelse med retningslinjerne i bilag 6, del 1, afsnit 2.</w:t>
            </w:r>
          </w:p>
          <w:p w14:paraId="11C60877" w14:textId="77777777" w:rsidR="001E65DE" w:rsidRPr="004B14BD" w:rsidRDefault="001E65DE" w:rsidP="00C073E8">
            <w:pPr>
              <w:rPr>
                <w:color w:val="FF0000"/>
                <w:sz w:val="16"/>
                <w:szCs w:val="16"/>
              </w:rPr>
            </w:pPr>
          </w:p>
        </w:tc>
      </w:tr>
      <w:tr w:rsidR="001E65DE" w:rsidRPr="004B14BD" w14:paraId="658FEE91" w14:textId="77777777" w:rsidTr="00C073E8">
        <w:tc>
          <w:tcPr>
            <w:tcW w:w="9629" w:type="dxa"/>
          </w:tcPr>
          <w:p w14:paraId="1D80538C" w14:textId="77777777" w:rsidR="001E65DE" w:rsidRPr="004B14BD" w:rsidRDefault="001E65DE" w:rsidP="00C073E8">
            <w:pPr>
              <w:rPr>
                <w:color w:val="000000" w:themeColor="text1"/>
                <w:sz w:val="16"/>
                <w:szCs w:val="16"/>
              </w:rPr>
            </w:pPr>
            <w:r w:rsidRPr="004B14BD">
              <w:rPr>
                <w:b/>
                <w:bCs/>
                <w:color w:val="000000" w:themeColor="text1"/>
                <w:sz w:val="16"/>
                <w:szCs w:val="16"/>
              </w:rPr>
              <w:t>§ 21.</w:t>
            </w:r>
            <w:r w:rsidRPr="004B14BD">
              <w:rPr>
                <w:color w:val="000000" w:themeColor="text1"/>
                <w:sz w:val="16"/>
                <w:szCs w:val="16"/>
              </w:rPr>
              <w:t xml:space="preserve"> Målinger, der udføres som led i præstationskontrol efter § 20, skal udføres som akkrediteret teknisk prøvning.</w:t>
            </w:r>
          </w:p>
          <w:p w14:paraId="5F11DC60" w14:textId="77777777" w:rsidR="001E65DE" w:rsidRPr="004B14BD" w:rsidRDefault="001E65DE" w:rsidP="00C073E8">
            <w:pPr>
              <w:rPr>
                <w:color w:val="000000" w:themeColor="text1"/>
                <w:sz w:val="16"/>
                <w:szCs w:val="16"/>
              </w:rPr>
            </w:pPr>
          </w:p>
          <w:p w14:paraId="4B4049C2" w14:textId="77777777" w:rsidR="001E65DE" w:rsidRPr="004B14BD" w:rsidRDefault="001E65DE" w:rsidP="00C073E8">
            <w:pPr>
              <w:rPr>
                <w:color w:val="000000" w:themeColor="text1"/>
                <w:sz w:val="16"/>
                <w:szCs w:val="16"/>
              </w:rPr>
            </w:pPr>
            <w:r w:rsidRPr="004B14BD">
              <w:rPr>
                <w:color w:val="000000" w:themeColor="text1"/>
                <w:sz w:val="16"/>
                <w:szCs w:val="16"/>
              </w:rPr>
              <w:lastRenderedPageBreak/>
              <w:t>Stk. 2. Målelaboratoriet skal være akkrediteret til bestemmelse af de aktuelle stoffer af DANAK (Den Danske Akkrediteringsfond) eller et tilsvarende akkrediteringsorgan, som er medunderskriver af EA’s (European cooperation for Accreditation) multilaterale aftale om gensidig anerkendelse.</w:t>
            </w:r>
          </w:p>
          <w:p w14:paraId="7C5A6D1E" w14:textId="77777777" w:rsidR="001E65DE" w:rsidRPr="004B14BD" w:rsidRDefault="001E65DE" w:rsidP="00C073E8">
            <w:pPr>
              <w:rPr>
                <w:color w:val="000000" w:themeColor="text1"/>
                <w:sz w:val="16"/>
                <w:szCs w:val="16"/>
              </w:rPr>
            </w:pPr>
          </w:p>
          <w:p w14:paraId="34190957" w14:textId="77777777" w:rsidR="001E65DE" w:rsidRPr="004B14BD" w:rsidRDefault="001E65DE" w:rsidP="00C073E8">
            <w:pPr>
              <w:rPr>
                <w:color w:val="000000" w:themeColor="text1"/>
                <w:sz w:val="16"/>
                <w:szCs w:val="16"/>
              </w:rPr>
            </w:pPr>
            <w:r w:rsidRPr="004B14BD">
              <w:rPr>
                <w:color w:val="000000" w:themeColor="text1"/>
                <w:sz w:val="16"/>
                <w:szCs w:val="16"/>
              </w:rPr>
              <w:t>Stk. 3. Målerapporterne skal udfærdiges som akkrediterede prøvningsrapporter.</w:t>
            </w:r>
          </w:p>
          <w:p w14:paraId="3F8828BF" w14:textId="77777777" w:rsidR="001E65DE" w:rsidRPr="004B14BD" w:rsidRDefault="001E65DE" w:rsidP="00C073E8">
            <w:pPr>
              <w:rPr>
                <w:color w:val="FF0000"/>
                <w:sz w:val="16"/>
                <w:szCs w:val="16"/>
              </w:rPr>
            </w:pPr>
          </w:p>
        </w:tc>
      </w:tr>
      <w:tr w:rsidR="001E65DE" w:rsidRPr="004B14BD" w14:paraId="58868F3E" w14:textId="77777777" w:rsidTr="00C073E8">
        <w:tc>
          <w:tcPr>
            <w:tcW w:w="9629" w:type="dxa"/>
          </w:tcPr>
          <w:p w14:paraId="5DC01FF1" w14:textId="77777777" w:rsidR="001E65DE" w:rsidRPr="004B14BD" w:rsidRDefault="001E65DE" w:rsidP="00C073E8">
            <w:pPr>
              <w:rPr>
                <w:color w:val="000000" w:themeColor="text1"/>
                <w:sz w:val="16"/>
                <w:szCs w:val="16"/>
              </w:rPr>
            </w:pPr>
            <w:r w:rsidRPr="004B14BD">
              <w:rPr>
                <w:b/>
                <w:bCs/>
                <w:color w:val="000000" w:themeColor="text1"/>
                <w:sz w:val="16"/>
                <w:szCs w:val="16"/>
              </w:rPr>
              <w:lastRenderedPageBreak/>
              <w:t xml:space="preserve">§ 22. </w:t>
            </w:r>
            <w:r w:rsidRPr="004B14BD">
              <w:rPr>
                <w:color w:val="000000" w:themeColor="text1"/>
                <w:sz w:val="16"/>
                <w:szCs w:val="16"/>
              </w:rPr>
              <w:t>På nye mellemstore fyringsanlæg udføres den første præstationskontrol senest fire måneder efter, at anlægget er taget i drift.</w:t>
            </w:r>
          </w:p>
          <w:p w14:paraId="2E9656A4" w14:textId="77777777" w:rsidR="001E65DE" w:rsidRPr="004B14BD" w:rsidRDefault="001E65DE" w:rsidP="00C073E8">
            <w:pPr>
              <w:rPr>
                <w:b/>
                <w:bCs/>
                <w:color w:val="000000" w:themeColor="text1"/>
                <w:sz w:val="16"/>
                <w:szCs w:val="16"/>
              </w:rPr>
            </w:pPr>
          </w:p>
        </w:tc>
      </w:tr>
      <w:tr w:rsidR="001E65DE" w:rsidRPr="004B14BD" w14:paraId="0F72F63F" w14:textId="77777777" w:rsidTr="00C073E8">
        <w:tc>
          <w:tcPr>
            <w:tcW w:w="9629" w:type="dxa"/>
          </w:tcPr>
          <w:p w14:paraId="3D322A2C" w14:textId="77777777" w:rsidR="001E65DE" w:rsidRPr="004B14BD" w:rsidRDefault="001E65DE" w:rsidP="00C073E8">
            <w:pPr>
              <w:rPr>
                <w:color w:val="000000" w:themeColor="text1"/>
                <w:sz w:val="16"/>
                <w:szCs w:val="16"/>
              </w:rPr>
            </w:pPr>
            <w:r w:rsidRPr="004B14BD">
              <w:rPr>
                <w:b/>
                <w:bCs/>
                <w:color w:val="000000" w:themeColor="text1"/>
                <w:sz w:val="16"/>
                <w:szCs w:val="16"/>
              </w:rPr>
              <w:t xml:space="preserve">§ 28. </w:t>
            </w:r>
            <w:r w:rsidRPr="004B14BD">
              <w:rPr>
                <w:color w:val="000000" w:themeColor="text1"/>
                <w:sz w:val="16"/>
                <w:szCs w:val="16"/>
              </w:rPr>
              <w:t>For nye mellemstore fyringsanlæg, der anvendes som nødanlæg, og bestående mellemstore fyringsanlæg, der anvendes som nødanlæg eller spidslastanlæg, udføres præstationskontroller med følgende hyppighed:</w:t>
            </w:r>
          </w:p>
          <w:p w14:paraId="48889BFF" w14:textId="77777777" w:rsidR="001E65DE" w:rsidRPr="004B14BD" w:rsidRDefault="001E65DE" w:rsidP="00C073E8">
            <w:pPr>
              <w:rPr>
                <w:color w:val="000000" w:themeColor="text1"/>
                <w:sz w:val="16"/>
                <w:szCs w:val="16"/>
              </w:rPr>
            </w:pPr>
          </w:p>
          <w:p w14:paraId="3BD56073" w14:textId="77777777" w:rsidR="001E65DE" w:rsidRPr="004B14BD" w:rsidRDefault="001E65DE" w:rsidP="00C073E8">
            <w:pPr>
              <w:rPr>
                <w:color w:val="000000" w:themeColor="text1"/>
                <w:sz w:val="16"/>
                <w:szCs w:val="16"/>
              </w:rPr>
            </w:pPr>
            <w:r w:rsidRPr="004B14BD">
              <w:rPr>
                <w:color w:val="000000" w:themeColor="text1"/>
                <w:sz w:val="16"/>
                <w:szCs w:val="16"/>
              </w:rPr>
              <w:t>1) Hver gang fyringsanlægget har været i drift i 1500 timer, dog mindst hvert 5. år, hvis fyringsanlægget har en nominel indfyret termisk effekt på mindre end eller lig med 20 MW.</w:t>
            </w:r>
          </w:p>
          <w:p w14:paraId="03E1FB51" w14:textId="77777777" w:rsidR="001E65DE" w:rsidRPr="004B14BD" w:rsidRDefault="001E65DE" w:rsidP="00C073E8">
            <w:pPr>
              <w:rPr>
                <w:b/>
                <w:bCs/>
                <w:color w:val="000000" w:themeColor="text1"/>
                <w:sz w:val="16"/>
                <w:szCs w:val="16"/>
              </w:rPr>
            </w:pPr>
          </w:p>
        </w:tc>
      </w:tr>
      <w:tr w:rsidR="001E65DE" w:rsidRPr="004B14BD" w14:paraId="73AC3D2A" w14:textId="77777777" w:rsidTr="00C073E8">
        <w:tc>
          <w:tcPr>
            <w:tcW w:w="9629" w:type="dxa"/>
          </w:tcPr>
          <w:p w14:paraId="485D7B9E" w14:textId="77777777" w:rsidR="001E65DE" w:rsidRPr="004B14BD" w:rsidRDefault="001E65DE" w:rsidP="00C073E8">
            <w:pPr>
              <w:rPr>
                <w:b/>
                <w:bCs/>
                <w:color w:val="000000" w:themeColor="text1"/>
                <w:sz w:val="16"/>
                <w:szCs w:val="16"/>
              </w:rPr>
            </w:pPr>
          </w:p>
          <w:p w14:paraId="455C4719" w14:textId="77777777" w:rsidR="001E65DE" w:rsidRPr="004B14BD" w:rsidRDefault="001E65DE" w:rsidP="00C073E8">
            <w:pPr>
              <w:rPr>
                <w:b/>
                <w:bCs/>
                <w:color w:val="000000" w:themeColor="text1"/>
                <w:sz w:val="16"/>
                <w:szCs w:val="16"/>
              </w:rPr>
            </w:pPr>
            <w:r w:rsidRPr="004B14BD">
              <w:rPr>
                <w:b/>
                <w:bCs/>
                <w:color w:val="000000" w:themeColor="text1"/>
                <w:sz w:val="16"/>
                <w:szCs w:val="16"/>
              </w:rPr>
              <w:t>Beskyttelse af jord, grundvand og overfladevand</w:t>
            </w:r>
          </w:p>
          <w:p w14:paraId="002056BD" w14:textId="77777777" w:rsidR="001E65DE" w:rsidRPr="004B14BD" w:rsidRDefault="001E65DE" w:rsidP="00C073E8">
            <w:pPr>
              <w:rPr>
                <w:b/>
                <w:bCs/>
                <w:color w:val="000000" w:themeColor="text1"/>
                <w:sz w:val="16"/>
                <w:szCs w:val="16"/>
              </w:rPr>
            </w:pPr>
          </w:p>
        </w:tc>
      </w:tr>
      <w:tr w:rsidR="001E65DE" w:rsidRPr="004B14BD" w14:paraId="580CE63E" w14:textId="77777777" w:rsidTr="00C073E8">
        <w:tc>
          <w:tcPr>
            <w:tcW w:w="9629" w:type="dxa"/>
          </w:tcPr>
          <w:p w14:paraId="31B3706B" w14:textId="77777777" w:rsidR="001E65DE" w:rsidRPr="004B14BD" w:rsidRDefault="001E65DE" w:rsidP="00C073E8">
            <w:pPr>
              <w:rPr>
                <w:color w:val="000000" w:themeColor="text1"/>
                <w:sz w:val="16"/>
                <w:szCs w:val="16"/>
              </w:rPr>
            </w:pPr>
            <w:r w:rsidRPr="004B14BD">
              <w:rPr>
                <w:b/>
                <w:bCs/>
                <w:color w:val="000000" w:themeColor="text1"/>
                <w:sz w:val="16"/>
                <w:szCs w:val="16"/>
              </w:rPr>
              <w:t xml:space="preserve">§ 43. </w:t>
            </w:r>
            <w:r w:rsidRPr="004B14BD">
              <w:rPr>
                <w:color w:val="000000" w:themeColor="text1"/>
                <w:sz w:val="16"/>
                <w:szCs w:val="16"/>
              </w:rPr>
              <w:t>Slam, spildolie, kemikalier og hjælpestoffer skal opbevares i egnede og tætte beholdere, der skal være mærket med indhold.</w:t>
            </w:r>
          </w:p>
          <w:p w14:paraId="4BEC79FC" w14:textId="77777777" w:rsidR="001E65DE" w:rsidRPr="004B14BD" w:rsidRDefault="001E65DE" w:rsidP="00C073E8">
            <w:pPr>
              <w:rPr>
                <w:color w:val="000000" w:themeColor="text1"/>
                <w:sz w:val="16"/>
                <w:szCs w:val="16"/>
              </w:rPr>
            </w:pPr>
          </w:p>
          <w:p w14:paraId="4A108C77" w14:textId="77777777" w:rsidR="001E65DE" w:rsidRPr="004B14BD" w:rsidRDefault="001E65DE" w:rsidP="00C073E8">
            <w:pPr>
              <w:rPr>
                <w:color w:val="000000" w:themeColor="text1"/>
                <w:sz w:val="16"/>
                <w:szCs w:val="16"/>
              </w:rPr>
            </w:pPr>
            <w:r w:rsidRPr="004B14BD">
              <w:rPr>
                <w:color w:val="000000" w:themeColor="text1"/>
                <w:sz w:val="16"/>
                <w:szCs w:val="16"/>
              </w:rPr>
              <w:t>Stk. 2. Beholdere skal placeres under tag og beskyttet mod vejrlig på en oplagsplads med tæt belægning uden afløb. Oplagspladsen skal være indrettet således, at spild kan holdes inden for et afgrænset område og uden mulighed for afledning til jord, grundvand, overfladevand og kloak. Området skal kunne rumme indholdet af den største beholder el. lign., der opbevares på det.</w:t>
            </w:r>
          </w:p>
          <w:p w14:paraId="77E99BDA" w14:textId="77777777" w:rsidR="001E65DE" w:rsidRPr="004B14BD" w:rsidRDefault="001E65DE" w:rsidP="00C073E8">
            <w:pPr>
              <w:rPr>
                <w:b/>
                <w:bCs/>
                <w:color w:val="000000" w:themeColor="text1"/>
                <w:sz w:val="16"/>
                <w:szCs w:val="16"/>
              </w:rPr>
            </w:pPr>
          </w:p>
        </w:tc>
      </w:tr>
      <w:tr w:rsidR="001E65DE" w:rsidRPr="004B14BD" w14:paraId="417C5CD5" w14:textId="77777777" w:rsidTr="00C073E8">
        <w:tc>
          <w:tcPr>
            <w:tcW w:w="9629" w:type="dxa"/>
          </w:tcPr>
          <w:p w14:paraId="01E9AFAB" w14:textId="77777777" w:rsidR="001E65DE" w:rsidRPr="004B14BD" w:rsidRDefault="001E65DE" w:rsidP="00C073E8">
            <w:pPr>
              <w:rPr>
                <w:color w:val="000000" w:themeColor="text1"/>
                <w:sz w:val="16"/>
                <w:szCs w:val="16"/>
              </w:rPr>
            </w:pPr>
            <w:r w:rsidRPr="004B14BD">
              <w:rPr>
                <w:b/>
                <w:bCs/>
                <w:color w:val="000000" w:themeColor="text1"/>
                <w:sz w:val="16"/>
                <w:szCs w:val="16"/>
              </w:rPr>
              <w:t xml:space="preserve">§ 44. </w:t>
            </w:r>
            <w:r w:rsidRPr="004B14BD">
              <w:rPr>
                <w:color w:val="000000" w:themeColor="text1"/>
                <w:sz w:val="16"/>
                <w:szCs w:val="16"/>
              </w:rPr>
              <w:t>Tætte belægninger skal være i god vedligeholdelsesstand. Utætheder skal udbedres så hurtigt som muligt, efter at de er konstateret.</w:t>
            </w:r>
          </w:p>
          <w:p w14:paraId="7D04F01C" w14:textId="77777777" w:rsidR="001E65DE" w:rsidRPr="004B14BD" w:rsidRDefault="001E65DE" w:rsidP="00C073E8">
            <w:pPr>
              <w:rPr>
                <w:b/>
                <w:bCs/>
                <w:color w:val="000000" w:themeColor="text1"/>
                <w:sz w:val="16"/>
                <w:szCs w:val="16"/>
              </w:rPr>
            </w:pPr>
          </w:p>
        </w:tc>
      </w:tr>
      <w:tr w:rsidR="001E65DE" w:rsidRPr="004B14BD" w14:paraId="29F7F4E8" w14:textId="77777777" w:rsidTr="00C073E8">
        <w:tc>
          <w:tcPr>
            <w:tcW w:w="9629" w:type="dxa"/>
          </w:tcPr>
          <w:p w14:paraId="5B022F1E" w14:textId="77777777" w:rsidR="001E65DE" w:rsidRPr="004B14BD" w:rsidRDefault="001E65DE" w:rsidP="00C073E8">
            <w:pPr>
              <w:rPr>
                <w:color w:val="000000" w:themeColor="text1"/>
                <w:sz w:val="16"/>
                <w:szCs w:val="16"/>
              </w:rPr>
            </w:pPr>
            <w:r w:rsidRPr="004B14BD">
              <w:rPr>
                <w:b/>
                <w:bCs/>
                <w:color w:val="000000" w:themeColor="text1"/>
                <w:sz w:val="16"/>
                <w:szCs w:val="16"/>
              </w:rPr>
              <w:t xml:space="preserve">§ 45. </w:t>
            </w:r>
            <w:r w:rsidRPr="004B14BD">
              <w:rPr>
                <w:color w:val="000000" w:themeColor="text1"/>
                <w:sz w:val="16"/>
                <w:szCs w:val="16"/>
              </w:rPr>
              <w:t>Driftslederen skal løbende og mindst én gang årligt foretage visuel kontrol for utætheder, revnedannelser og vedligeholdelsesstand af tætte belægninger herunder opsamlingskar, gruber, tankgrave og bassiner. Utætheder skal udbedres så hurtigt som muligt, efter at de er konstateret.</w:t>
            </w:r>
          </w:p>
          <w:p w14:paraId="7DD686A2" w14:textId="77777777" w:rsidR="001E65DE" w:rsidRPr="004B14BD" w:rsidRDefault="001E65DE" w:rsidP="00C073E8">
            <w:pPr>
              <w:rPr>
                <w:color w:val="000000" w:themeColor="text1"/>
                <w:sz w:val="16"/>
                <w:szCs w:val="16"/>
              </w:rPr>
            </w:pPr>
          </w:p>
        </w:tc>
      </w:tr>
      <w:tr w:rsidR="001E65DE" w:rsidRPr="004B14BD" w14:paraId="1626A298" w14:textId="77777777" w:rsidTr="00C073E8">
        <w:tc>
          <w:tcPr>
            <w:tcW w:w="9629" w:type="dxa"/>
          </w:tcPr>
          <w:p w14:paraId="287B2C18" w14:textId="77777777" w:rsidR="001E65DE" w:rsidRPr="004B14BD" w:rsidRDefault="001E65DE" w:rsidP="00C073E8">
            <w:pPr>
              <w:rPr>
                <w:b/>
                <w:bCs/>
                <w:color w:val="000000" w:themeColor="text1"/>
                <w:sz w:val="16"/>
                <w:szCs w:val="16"/>
              </w:rPr>
            </w:pPr>
          </w:p>
          <w:p w14:paraId="185756F5" w14:textId="77777777" w:rsidR="001E65DE" w:rsidRPr="004B14BD" w:rsidRDefault="001E65DE" w:rsidP="00C073E8">
            <w:pPr>
              <w:rPr>
                <w:b/>
                <w:bCs/>
                <w:color w:val="000000" w:themeColor="text1"/>
                <w:sz w:val="16"/>
                <w:szCs w:val="16"/>
              </w:rPr>
            </w:pPr>
            <w:r w:rsidRPr="004B14BD">
              <w:rPr>
                <w:b/>
                <w:bCs/>
                <w:color w:val="000000" w:themeColor="text1"/>
                <w:sz w:val="16"/>
                <w:szCs w:val="16"/>
              </w:rPr>
              <w:t>Driftsjournal</w:t>
            </w:r>
          </w:p>
          <w:p w14:paraId="69AFBE5B" w14:textId="77777777" w:rsidR="001E65DE" w:rsidRPr="004B14BD" w:rsidRDefault="001E65DE" w:rsidP="00C073E8">
            <w:pPr>
              <w:rPr>
                <w:b/>
                <w:bCs/>
                <w:color w:val="000000" w:themeColor="text1"/>
                <w:sz w:val="16"/>
                <w:szCs w:val="16"/>
              </w:rPr>
            </w:pPr>
          </w:p>
        </w:tc>
      </w:tr>
      <w:tr w:rsidR="001E65DE" w:rsidRPr="004B14BD" w14:paraId="1566D77B" w14:textId="77777777" w:rsidTr="00C073E8">
        <w:tc>
          <w:tcPr>
            <w:tcW w:w="9629" w:type="dxa"/>
          </w:tcPr>
          <w:p w14:paraId="63386C85" w14:textId="77777777" w:rsidR="001E65DE" w:rsidRPr="004B14BD" w:rsidRDefault="001E65DE" w:rsidP="00C073E8">
            <w:pPr>
              <w:rPr>
                <w:b/>
                <w:bCs/>
                <w:color w:val="000000" w:themeColor="text1"/>
                <w:sz w:val="16"/>
                <w:szCs w:val="16"/>
              </w:rPr>
            </w:pPr>
          </w:p>
          <w:p w14:paraId="06A81937" w14:textId="77777777" w:rsidR="001E65DE" w:rsidRPr="004B14BD" w:rsidRDefault="001E65DE" w:rsidP="00C073E8">
            <w:pPr>
              <w:rPr>
                <w:color w:val="000000" w:themeColor="text1"/>
                <w:sz w:val="16"/>
                <w:szCs w:val="16"/>
              </w:rPr>
            </w:pPr>
            <w:r w:rsidRPr="004B14BD">
              <w:rPr>
                <w:b/>
                <w:bCs/>
                <w:color w:val="000000" w:themeColor="text1"/>
                <w:sz w:val="16"/>
                <w:szCs w:val="16"/>
              </w:rPr>
              <w:t xml:space="preserve">§ 46. </w:t>
            </w:r>
            <w:r w:rsidRPr="004B14BD">
              <w:rPr>
                <w:color w:val="000000" w:themeColor="text1"/>
                <w:sz w:val="16"/>
                <w:szCs w:val="16"/>
              </w:rPr>
              <w:t>Driftslederen skal for hvert mellemstort fyringsanlæg føre driftsjournal over følgende:</w:t>
            </w:r>
          </w:p>
          <w:p w14:paraId="79DBFFDC" w14:textId="77777777" w:rsidR="001E65DE" w:rsidRPr="004B14BD" w:rsidRDefault="001E65DE" w:rsidP="00C073E8">
            <w:pPr>
              <w:rPr>
                <w:color w:val="000000" w:themeColor="text1"/>
                <w:sz w:val="16"/>
                <w:szCs w:val="16"/>
              </w:rPr>
            </w:pPr>
          </w:p>
          <w:p w14:paraId="07F3938F" w14:textId="77777777" w:rsidR="001E65DE" w:rsidRPr="004B14BD" w:rsidRDefault="001E65DE" w:rsidP="00C073E8">
            <w:pPr>
              <w:rPr>
                <w:color w:val="000000" w:themeColor="text1"/>
                <w:sz w:val="16"/>
                <w:szCs w:val="16"/>
              </w:rPr>
            </w:pPr>
            <w:r w:rsidRPr="004B14BD">
              <w:rPr>
                <w:color w:val="000000" w:themeColor="text1"/>
                <w:sz w:val="16"/>
                <w:szCs w:val="16"/>
              </w:rPr>
              <w:t>1) Resultater af overvågningen af emissioner af SO2, NOx, støv og CO, jf. §§ 20 og 31.</w:t>
            </w:r>
          </w:p>
          <w:p w14:paraId="26709983" w14:textId="77777777" w:rsidR="001E65DE" w:rsidRPr="004B14BD" w:rsidRDefault="001E65DE" w:rsidP="00C073E8">
            <w:pPr>
              <w:rPr>
                <w:color w:val="000000" w:themeColor="text1"/>
                <w:sz w:val="16"/>
                <w:szCs w:val="16"/>
              </w:rPr>
            </w:pPr>
          </w:p>
          <w:p w14:paraId="48BDF1C8" w14:textId="77777777" w:rsidR="001E65DE" w:rsidRPr="004B14BD" w:rsidRDefault="001E65DE" w:rsidP="00C073E8">
            <w:pPr>
              <w:rPr>
                <w:color w:val="000000" w:themeColor="text1"/>
                <w:sz w:val="16"/>
                <w:szCs w:val="16"/>
              </w:rPr>
            </w:pPr>
            <w:r w:rsidRPr="004B14BD">
              <w:rPr>
                <w:color w:val="000000" w:themeColor="text1"/>
                <w:sz w:val="16"/>
                <w:szCs w:val="16"/>
              </w:rPr>
              <w:t>2) Oplysninger, der demonstrerer den effektive løbende drift af sekundært emissionsbegrænsende udstyr, jf. § 33.</w:t>
            </w:r>
          </w:p>
          <w:p w14:paraId="39F17287" w14:textId="77777777" w:rsidR="001E65DE" w:rsidRPr="004B14BD" w:rsidRDefault="001E65DE" w:rsidP="00C073E8">
            <w:pPr>
              <w:rPr>
                <w:color w:val="000000" w:themeColor="text1"/>
                <w:sz w:val="16"/>
                <w:szCs w:val="16"/>
              </w:rPr>
            </w:pPr>
          </w:p>
          <w:p w14:paraId="7EC37BF5" w14:textId="77777777" w:rsidR="001E65DE" w:rsidRPr="004B14BD" w:rsidRDefault="001E65DE" w:rsidP="00C073E8">
            <w:pPr>
              <w:rPr>
                <w:color w:val="000000" w:themeColor="text1"/>
                <w:sz w:val="16"/>
                <w:szCs w:val="16"/>
              </w:rPr>
            </w:pPr>
            <w:r w:rsidRPr="004B14BD">
              <w:rPr>
                <w:color w:val="000000" w:themeColor="text1"/>
                <w:sz w:val="16"/>
                <w:szCs w:val="16"/>
              </w:rPr>
              <w:t>3) Antal årlige driftstimer for mellemstore fyringsanlæg omfattet af §§ 10-12.</w:t>
            </w:r>
          </w:p>
          <w:p w14:paraId="2C775AD2" w14:textId="77777777" w:rsidR="001E65DE" w:rsidRPr="004B14BD" w:rsidRDefault="001E65DE" w:rsidP="00C073E8">
            <w:pPr>
              <w:rPr>
                <w:color w:val="000000" w:themeColor="text1"/>
                <w:sz w:val="16"/>
                <w:szCs w:val="16"/>
              </w:rPr>
            </w:pPr>
          </w:p>
          <w:p w14:paraId="79E3E4A8" w14:textId="77777777" w:rsidR="001E65DE" w:rsidRPr="004B14BD" w:rsidRDefault="001E65DE" w:rsidP="00C073E8">
            <w:pPr>
              <w:rPr>
                <w:color w:val="000000" w:themeColor="text1"/>
                <w:sz w:val="16"/>
                <w:szCs w:val="16"/>
              </w:rPr>
            </w:pPr>
            <w:r w:rsidRPr="004B14BD">
              <w:rPr>
                <w:color w:val="000000" w:themeColor="text1"/>
                <w:sz w:val="16"/>
                <w:szCs w:val="16"/>
              </w:rPr>
              <w:t>4) Typen og mængden af brændsel, der anvendes i fyringsanlægget.</w:t>
            </w:r>
          </w:p>
          <w:p w14:paraId="36C7EDFA" w14:textId="77777777" w:rsidR="001E65DE" w:rsidRPr="004B14BD" w:rsidRDefault="001E65DE" w:rsidP="00C073E8">
            <w:pPr>
              <w:rPr>
                <w:color w:val="000000" w:themeColor="text1"/>
                <w:sz w:val="16"/>
                <w:szCs w:val="16"/>
              </w:rPr>
            </w:pPr>
          </w:p>
          <w:p w14:paraId="2F016DDB" w14:textId="77777777" w:rsidR="001E65DE" w:rsidRPr="004B14BD" w:rsidRDefault="001E65DE" w:rsidP="00C073E8">
            <w:pPr>
              <w:rPr>
                <w:color w:val="000000" w:themeColor="text1"/>
                <w:sz w:val="16"/>
                <w:szCs w:val="16"/>
              </w:rPr>
            </w:pPr>
            <w:r w:rsidRPr="004B14BD">
              <w:rPr>
                <w:color w:val="000000" w:themeColor="text1"/>
                <w:sz w:val="16"/>
                <w:szCs w:val="16"/>
              </w:rPr>
              <w:t>5) Eventuelle driftsforstyrrelser eller svigt i det sekundære emissionsbegrænsende udstyr.</w:t>
            </w:r>
          </w:p>
          <w:p w14:paraId="64E042D2" w14:textId="77777777" w:rsidR="001E65DE" w:rsidRPr="004B14BD" w:rsidRDefault="001E65DE" w:rsidP="00C073E8">
            <w:pPr>
              <w:rPr>
                <w:color w:val="000000" w:themeColor="text1"/>
                <w:sz w:val="16"/>
                <w:szCs w:val="16"/>
              </w:rPr>
            </w:pPr>
          </w:p>
          <w:p w14:paraId="0A707172" w14:textId="77777777" w:rsidR="001E65DE" w:rsidRPr="004B14BD" w:rsidRDefault="001E65DE" w:rsidP="00C073E8">
            <w:pPr>
              <w:rPr>
                <w:color w:val="000000" w:themeColor="text1"/>
                <w:sz w:val="16"/>
                <w:szCs w:val="16"/>
              </w:rPr>
            </w:pPr>
            <w:r w:rsidRPr="004B14BD">
              <w:rPr>
                <w:color w:val="000000" w:themeColor="text1"/>
                <w:sz w:val="16"/>
                <w:szCs w:val="16"/>
              </w:rPr>
              <w:t>6) Tilfælde af manglende overholdelse og trufne foranstaltninger, jf. § 34.</w:t>
            </w:r>
          </w:p>
          <w:p w14:paraId="16BCDF42" w14:textId="77777777" w:rsidR="001E65DE" w:rsidRPr="004B14BD" w:rsidRDefault="001E65DE" w:rsidP="00C073E8">
            <w:pPr>
              <w:rPr>
                <w:color w:val="000000" w:themeColor="text1"/>
                <w:sz w:val="16"/>
                <w:szCs w:val="16"/>
              </w:rPr>
            </w:pPr>
          </w:p>
          <w:p w14:paraId="66CDAD55" w14:textId="77777777" w:rsidR="001E65DE" w:rsidRPr="004B14BD" w:rsidRDefault="001E65DE" w:rsidP="00C073E8">
            <w:pPr>
              <w:rPr>
                <w:color w:val="000000" w:themeColor="text1"/>
                <w:sz w:val="16"/>
                <w:szCs w:val="16"/>
              </w:rPr>
            </w:pPr>
            <w:r w:rsidRPr="004B14BD">
              <w:rPr>
                <w:color w:val="000000" w:themeColor="text1"/>
                <w:sz w:val="16"/>
                <w:szCs w:val="16"/>
              </w:rPr>
              <w:t>7) Resultater af overvågningen af emissioner af spormetaller, jf. § 20, stk. 1, nr. 7.</w:t>
            </w:r>
          </w:p>
          <w:p w14:paraId="7B7F8538" w14:textId="77777777" w:rsidR="001E65DE" w:rsidRPr="004B14BD" w:rsidRDefault="001E65DE" w:rsidP="00C073E8">
            <w:pPr>
              <w:rPr>
                <w:color w:val="000000" w:themeColor="text1"/>
                <w:sz w:val="16"/>
                <w:szCs w:val="16"/>
              </w:rPr>
            </w:pPr>
          </w:p>
          <w:p w14:paraId="6626B266" w14:textId="77777777" w:rsidR="001E65DE" w:rsidRPr="004B14BD" w:rsidRDefault="001E65DE" w:rsidP="00C073E8">
            <w:pPr>
              <w:rPr>
                <w:color w:val="000000" w:themeColor="text1"/>
                <w:sz w:val="16"/>
                <w:szCs w:val="16"/>
              </w:rPr>
            </w:pPr>
            <w:r w:rsidRPr="004B14BD">
              <w:rPr>
                <w:color w:val="000000" w:themeColor="text1"/>
                <w:sz w:val="16"/>
                <w:szCs w:val="16"/>
              </w:rPr>
              <w:lastRenderedPageBreak/>
              <w:t>8) Dato for visuel kontrol for utætheder, revnedannelser og vedligeholdelsesstand af tætte belægninger, gruber, mv., samt dato for eventuelle udbedringer af revner eller andre skader, jf. § 45.</w:t>
            </w:r>
          </w:p>
          <w:p w14:paraId="7596D309" w14:textId="77777777" w:rsidR="001E65DE" w:rsidRPr="004B14BD" w:rsidRDefault="001E65DE" w:rsidP="00C073E8">
            <w:pPr>
              <w:rPr>
                <w:color w:val="000000" w:themeColor="text1"/>
                <w:sz w:val="16"/>
                <w:szCs w:val="16"/>
              </w:rPr>
            </w:pPr>
          </w:p>
          <w:p w14:paraId="362AF442" w14:textId="77777777" w:rsidR="001E65DE" w:rsidRPr="004B14BD" w:rsidRDefault="001E65DE" w:rsidP="00C073E8">
            <w:pPr>
              <w:rPr>
                <w:color w:val="000000" w:themeColor="text1"/>
                <w:sz w:val="16"/>
                <w:szCs w:val="16"/>
              </w:rPr>
            </w:pPr>
            <w:r w:rsidRPr="004B14BD">
              <w:rPr>
                <w:color w:val="000000" w:themeColor="text1"/>
                <w:sz w:val="16"/>
                <w:szCs w:val="16"/>
              </w:rPr>
              <w:t>9) Håndtering af affald fra forbrændingsprocessen.</w:t>
            </w:r>
          </w:p>
          <w:p w14:paraId="28E968B6" w14:textId="77777777" w:rsidR="001E65DE" w:rsidRPr="004B14BD" w:rsidRDefault="001E65DE" w:rsidP="00C073E8">
            <w:pPr>
              <w:rPr>
                <w:color w:val="000000" w:themeColor="text1"/>
                <w:sz w:val="16"/>
                <w:szCs w:val="16"/>
              </w:rPr>
            </w:pPr>
          </w:p>
          <w:p w14:paraId="1D62D4B4" w14:textId="77777777" w:rsidR="001E65DE" w:rsidRPr="004B14BD" w:rsidRDefault="001E65DE" w:rsidP="00C073E8">
            <w:pPr>
              <w:rPr>
                <w:color w:val="000000" w:themeColor="text1"/>
                <w:sz w:val="16"/>
                <w:szCs w:val="16"/>
              </w:rPr>
            </w:pPr>
            <w:r w:rsidRPr="004B14BD">
              <w:rPr>
                <w:color w:val="000000" w:themeColor="text1"/>
                <w:sz w:val="16"/>
                <w:szCs w:val="16"/>
              </w:rPr>
              <w:t>10) Resultat af kvalitetssikring af AMS-udstyr for NOx, jf. § 30.</w:t>
            </w:r>
          </w:p>
          <w:p w14:paraId="7386B4E9" w14:textId="77777777" w:rsidR="001E65DE" w:rsidRPr="004B14BD" w:rsidRDefault="001E65DE" w:rsidP="00C073E8">
            <w:pPr>
              <w:rPr>
                <w:color w:val="000000" w:themeColor="text1"/>
                <w:sz w:val="16"/>
                <w:szCs w:val="16"/>
              </w:rPr>
            </w:pPr>
          </w:p>
          <w:p w14:paraId="11D73F57" w14:textId="77777777" w:rsidR="001E65DE" w:rsidRPr="004B14BD" w:rsidRDefault="001E65DE" w:rsidP="00C073E8">
            <w:pPr>
              <w:rPr>
                <w:color w:val="000000" w:themeColor="text1"/>
                <w:sz w:val="16"/>
                <w:szCs w:val="16"/>
              </w:rPr>
            </w:pPr>
            <w:r w:rsidRPr="004B14BD">
              <w:rPr>
                <w:color w:val="000000" w:themeColor="text1"/>
                <w:sz w:val="16"/>
                <w:szCs w:val="16"/>
              </w:rPr>
              <w:t>11) Det årlige antal driftstimer for mellemstore fyringsanlæg omfattet af § 29, stk. 2.</w:t>
            </w:r>
          </w:p>
          <w:p w14:paraId="09A5A747" w14:textId="77777777" w:rsidR="001E65DE" w:rsidRPr="004B14BD" w:rsidRDefault="001E65DE" w:rsidP="00C073E8">
            <w:pPr>
              <w:rPr>
                <w:color w:val="000000" w:themeColor="text1"/>
                <w:sz w:val="16"/>
                <w:szCs w:val="16"/>
              </w:rPr>
            </w:pPr>
          </w:p>
          <w:p w14:paraId="330F0AE3" w14:textId="77777777" w:rsidR="001E65DE" w:rsidRPr="004B14BD" w:rsidRDefault="001E65DE" w:rsidP="00C073E8">
            <w:pPr>
              <w:rPr>
                <w:color w:val="000000" w:themeColor="text1"/>
                <w:sz w:val="16"/>
                <w:szCs w:val="16"/>
              </w:rPr>
            </w:pPr>
            <w:r w:rsidRPr="004B14BD">
              <w:rPr>
                <w:color w:val="000000" w:themeColor="text1"/>
                <w:sz w:val="16"/>
                <w:szCs w:val="16"/>
              </w:rPr>
              <w:t>Stk. 2. Driftsjournalen skal opbevares på virksomheden i mindst seks år.</w:t>
            </w:r>
          </w:p>
          <w:p w14:paraId="632173DD" w14:textId="77777777" w:rsidR="001E65DE" w:rsidRPr="004B14BD" w:rsidRDefault="001E65DE" w:rsidP="00C073E8">
            <w:pPr>
              <w:rPr>
                <w:b/>
                <w:bCs/>
                <w:color w:val="000000" w:themeColor="text1"/>
                <w:sz w:val="16"/>
                <w:szCs w:val="16"/>
              </w:rPr>
            </w:pPr>
          </w:p>
        </w:tc>
      </w:tr>
      <w:tr w:rsidR="001E65DE" w:rsidRPr="004B14BD" w14:paraId="4E4DA2BF" w14:textId="77777777" w:rsidTr="00C073E8">
        <w:tc>
          <w:tcPr>
            <w:tcW w:w="9629" w:type="dxa"/>
          </w:tcPr>
          <w:p w14:paraId="25653645" w14:textId="77777777" w:rsidR="001E65DE" w:rsidRPr="004B14BD" w:rsidRDefault="001E65DE" w:rsidP="00C073E8">
            <w:pPr>
              <w:rPr>
                <w:b/>
                <w:bCs/>
                <w:color w:val="000000" w:themeColor="text1"/>
                <w:sz w:val="16"/>
                <w:szCs w:val="16"/>
              </w:rPr>
            </w:pPr>
          </w:p>
          <w:p w14:paraId="36DFAB77" w14:textId="77777777" w:rsidR="001E65DE" w:rsidRPr="004B14BD" w:rsidRDefault="001E65DE" w:rsidP="00C073E8">
            <w:pPr>
              <w:rPr>
                <w:b/>
                <w:bCs/>
                <w:color w:val="000000" w:themeColor="text1"/>
                <w:sz w:val="16"/>
                <w:szCs w:val="16"/>
              </w:rPr>
            </w:pPr>
            <w:r w:rsidRPr="004B14BD">
              <w:rPr>
                <w:b/>
                <w:bCs/>
                <w:color w:val="000000" w:themeColor="text1"/>
                <w:sz w:val="16"/>
                <w:szCs w:val="16"/>
              </w:rPr>
              <w:t>Driftsophør</w:t>
            </w:r>
          </w:p>
          <w:p w14:paraId="3DC1C920" w14:textId="77777777" w:rsidR="001E65DE" w:rsidRPr="004B14BD" w:rsidRDefault="001E65DE" w:rsidP="00C073E8">
            <w:pPr>
              <w:rPr>
                <w:b/>
                <w:bCs/>
                <w:color w:val="000000" w:themeColor="text1"/>
                <w:sz w:val="16"/>
                <w:szCs w:val="16"/>
              </w:rPr>
            </w:pPr>
          </w:p>
        </w:tc>
      </w:tr>
      <w:tr w:rsidR="001E65DE" w:rsidRPr="004B14BD" w14:paraId="54FBB3D8" w14:textId="77777777" w:rsidTr="00C073E8">
        <w:tc>
          <w:tcPr>
            <w:tcW w:w="9629" w:type="dxa"/>
          </w:tcPr>
          <w:p w14:paraId="1369563A" w14:textId="77777777" w:rsidR="001E65DE" w:rsidRPr="004B14BD" w:rsidRDefault="001E65DE" w:rsidP="00C073E8">
            <w:pPr>
              <w:rPr>
                <w:b/>
                <w:bCs/>
                <w:color w:val="000000" w:themeColor="text1"/>
                <w:sz w:val="16"/>
                <w:szCs w:val="16"/>
              </w:rPr>
            </w:pPr>
          </w:p>
          <w:p w14:paraId="4B1DA492" w14:textId="77777777" w:rsidR="001E65DE" w:rsidRPr="004B14BD" w:rsidRDefault="001E65DE" w:rsidP="00C073E8">
            <w:pPr>
              <w:rPr>
                <w:color w:val="000000" w:themeColor="text1"/>
                <w:sz w:val="16"/>
                <w:szCs w:val="16"/>
              </w:rPr>
            </w:pPr>
            <w:r w:rsidRPr="004B14BD">
              <w:rPr>
                <w:color w:val="000000" w:themeColor="text1"/>
                <w:sz w:val="16"/>
                <w:szCs w:val="16"/>
              </w:rPr>
              <w:t>§ 47. Ved driftsophør af et mellemstort fyringsanlæg skal driftslederen forinden orientere tilsynsmyndigheden herom og træffe de nødvendige foranstaltninger for at undgå forureningsfare og for at efterlade stedet i tilfredsstillende tilstand.</w:t>
            </w:r>
          </w:p>
          <w:p w14:paraId="4B3F430A" w14:textId="77777777" w:rsidR="001E65DE" w:rsidRPr="004B14BD" w:rsidRDefault="001E65DE" w:rsidP="00C073E8">
            <w:pPr>
              <w:rPr>
                <w:color w:val="000000" w:themeColor="text1"/>
                <w:sz w:val="16"/>
                <w:szCs w:val="16"/>
              </w:rPr>
            </w:pPr>
          </w:p>
        </w:tc>
      </w:tr>
      <w:tr w:rsidR="001E65DE" w:rsidRPr="004B14BD" w14:paraId="13B5EC17" w14:textId="77777777" w:rsidTr="00C073E8">
        <w:tc>
          <w:tcPr>
            <w:tcW w:w="9629" w:type="dxa"/>
          </w:tcPr>
          <w:p w14:paraId="572F3DCF" w14:textId="77777777" w:rsidR="001E65DE" w:rsidRPr="004B14BD" w:rsidRDefault="001E65DE" w:rsidP="00C073E8">
            <w:pPr>
              <w:rPr>
                <w:b/>
                <w:bCs/>
                <w:color w:val="000000" w:themeColor="text1"/>
                <w:sz w:val="16"/>
                <w:szCs w:val="16"/>
              </w:rPr>
            </w:pPr>
          </w:p>
          <w:p w14:paraId="4A630DF5" w14:textId="77777777" w:rsidR="001E65DE" w:rsidRPr="004B14BD" w:rsidRDefault="001E65DE" w:rsidP="00C073E8">
            <w:pPr>
              <w:rPr>
                <w:b/>
                <w:bCs/>
                <w:color w:val="000000" w:themeColor="text1"/>
                <w:sz w:val="16"/>
                <w:szCs w:val="16"/>
              </w:rPr>
            </w:pPr>
            <w:r w:rsidRPr="004B14BD">
              <w:rPr>
                <w:b/>
                <w:bCs/>
                <w:color w:val="000000" w:themeColor="text1"/>
                <w:sz w:val="16"/>
                <w:szCs w:val="16"/>
              </w:rPr>
              <w:t xml:space="preserve">Bilag 6 </w:t>
            </w:r>
          </w:p>
          <w:p w14:paraId="551B4F16" w14:textId="77777777" w:rsidR="001E65DE" w:rsidRPr="004B14BD" w:rsidRDefault="001E65DE" w:rsidP="00C073E8">
            <w:pPr>
              <w:rPr>
                <w:b/>
                <w:bCs/>
                <w:color w:val="000000" w:themeColor="text1"/>
                <w:sz w:val="16"/>
                <w:szCs w:val="16"/>
              </w:rPr>
            </w:pPr>
          </w:p>
        </w:tc>
      </w:tr>
      <w:tr w:rsidR="001E65DE" w:rsidRPr="004B14BD" w14:paraId="76248472" w14:textId="77777777" w:rsidTr="00C073E8">
        <w:tc>
          <w:tcPr>
            <w:tcW w:w="9629" w:type="dxa"/>
          </w:tcPr>
          <w:p w14:paraId="452EF3D0" w14:textId="77777777" w:rsidR="001E65DE" w:rsidRPr="004B14BD" w:rsidRDefault="001E65DE" w:rsidP="00C073E8">
            <w:pPr>
              <w:rPr>
                <w:color w:val="000000" w:themeColor="text1"/>
                <w:sz w:val="16"/>
                <w:szCs w:val="16"/>
              </w:rPr>
            </w:pPr>
          </w:p>
          <w:p w14:paraId="354C5B03" w14:textId="77777777" w:rsidR="001E65DE" w:rsidRPr="004B14BD" w:rsidRDefault="001E65DE" w:rsidP="00C073E8">
            <w:pPr>
              <w:rPr>
                <w:b/>
                <w:bCs/>
                <w:color w:val="000000" w:themeColor="text1"/>
                <w:sz w:val="16"/>
                <w:szCs w:val="16"/>
              </w:rPr>
            </w:pPr>
            <w:r w:rsidRPr="004B14BD">
              <w:rPr>
                <w:b/>
                <w:bCs/>
                <w:color w:val="000000" w:themeColor="text1"/>
                <w:sz w:val="16"/>
                <w:szCs w:val="16"/>
              </w:rPr>
              <w:t>Del 1</w:t>
            </w:r>
          </w:p>
          <w:p w14:paraId="4D4C63DF" w14:textId="77777777" w:rsidR="001E65DE" w:rsidRPr="004B14BD" w:rsidRDefault="001E65DE" w:rsidP="00C073E8">
            <w:pPr>
              <w:rPr>
                <w:color w:val="FF0000"/>
                <w:sz w:val="16"/>
                <w:szCs w:val="16"/>
              </w:rPr>
            </w:pPr>
          </w:p>
          <w:p w14:paraId="06A03D6E" w14:textId="77777777" w:rsidR="001E65DE" w:rsidRPr="004B14BD" w:rsidRDefault="001E65DE" w:rsidP="00C073E8">
            <w:pPr>
              <w:rPr>
                <w:color w:val="000000" w:themeColor="text1"/>
                <w:sz w:val="16"/>
                <w:szCs w:val="16"/>
              </w:rPr>
            </w:pPr>
            <w:r w:rsidRPr="004B14BD">
              <w:rPr>
                <w:color w:val="000000" w:themeColor="text1"/>
                <w:sz w:val="16"/>
                <w:szCs w:val="16"/>
              </w:rPr>
              <w:t>Overvågning af emissioner</w:t>
            </w:r>
          </w:p>
          <w:p w14:paraId="4C614927" w14:textId="77777777" w:rsidR="001E65DE" w:rsidRPr="004B14BD" w:rsidRDefault="001E65DE" w:rsidP="00C073E8">
            <w:pPr>
              <w:rPr>
                <w:color w:val="000000" w:themeColor="text1"/>
                <w:sz w:val="16"/>
                <w:szCs w:val="16"/>
              </w:rPr>
            </w:pPr>
          </w:p>
          <w:p w14:paraId="4B402CBE" w14:textId="77777777" w:rsidR="001E65DE" w:rsidRPr="004B14BD" w:rsidRDefault="001E65DE" w:rsidP="00C073E8">
            <w:pPr>
              <w:rPr>
                <w:b/>
                <w:bCs/>
                <w:color w:val="000000" w:themeColor="text1"/>
                <w:sz w:val="16"/>
                <w:szCs w:val="16"/>
              </w:rPr>
            </w:pPr>
            <w:r w:rsidRPr="004B14BD">
              <w:rPr>
                <w:b/>
                <w:bCs/>
                <w:color w:val="000000" w:themeColor="text1"/>
                <w:sz w:val="16"/>
                <w:szCs w:val="16"/>
              </w:rPr>
              <w:t>1. Indretning af målesteder</w:t>
            </w:r>
          </w:p>
          <w:p w14:paraId="78014B1D" w14:textId="77777777" w:rsidR="001E65DE" w:rsidRPr="004B14BD" w:rsidRDefault="001E65DE" w:rsidP="00C073E8">
            <w:pPr>
              <w:rPr>
                <w:color w:val="000000" w:themeColor="text1"/>
                <w:sz w:val="16"/>
                <w:szCs w:val="16"/>
              </w:rPr>
            </w:pPr>
          </w:p>
          <w:p w14:paraId="64AB8C6C" w14:textId="77777777" w:rsidR="001E65DE" w:rsidRPr="004B14BD" w:rsidRDefault="001E65DE" w:rsidP="00C073E8">
            <w:pPr>
              <w:rPr>
                <w:color w:val="000000" w:themeColor="text1"/>
                <w:sz w:val="16"/>
                <w:szCs w:val="16"/>
              </w:rPr>
            </w:pPr>
            <w:r w:rsidRPr="004B14BD">
              <w:rPr>
                <w:color w:val="000000" w:themeColor="text1"/>
                <w:sz w:val="16"/>
                <w:szCs w:val="16"/>
              </w:rPr>
              <w:t>Målesteder skal indrettes og placeres, som anført i Metodeblad MEL 22- Kvalitet i emissionsmålinger, se hjemmesiden for Miljøstyrelsens Referencelaboratorium for måling af emissioner til luften (www.ref-lab.dk).</w:t>
            </w:r>
          </w:p>
          <w:p w14:paraId="2436F2DD" w14:textId="77777777" w:rsidR="001E65DE" w:rsidRPr="004B14BD" w:rsidRDefault="001E65DE" w:rsidP="00C073E8">
            <w:pPr>
              <w:rPr>
                <w:color w:val="FF0000"/>
                <w:sz w:val="16"/>
                <w:szCs w:val="16"/>
              </w:rPr>
            </w:pPr>
          </w:p>
          <w:p w14:paraId="6B0FC3C7" w14:textId="77777777" w:rsidR="001E65DE" w:rsidRPr="004B14BD" w:rsidRDefault="001E65DE" w:rsidP="00C073E8">
            <w:pPr>
              <w:rPr>
                <w:b/>
                <w:bCs/>
                <w:color w:val="000000" w:themeColor="text1"/>
                <w:sz w:val="16"/>
                <w:szCs w:val="16"/>
              </w:rPr>
            </w:pPr>
            <w:r w:rsidRPr="004B14BD">
              <w:rPr>
                <w:b/>
                <w:bCs/>
                <w:color w:val="000000" w:themeColor="text1"/>
                <w:sz w:val="16"/>
                <w:szCs w:val="16"/>
              </w:rPr>
              <w:t>2. Præstationskontrol</w:t>
            </w:r>
          </w:p>
          <w:p w14:paraId="56D68BAC" w14:textId="77777777" w:rsidR="001E65DE" w:rsidRPr="004B14BD" w:rsidRDefault="001E65DE" w:rsidP="00C073E8">
            <w:pPr>
              <w:rPr>
                <w:color w:val="FF0000"/>
                <w:sz w:val="16"/>
                <w:szCs w:val="16"/>
              </w:rPr>
            </w:pPr>
          </w:p>
          <w:p w14:paraId="7FB9325A" w14:textId="77777777" w:rsidR="001E65DE" w:rsidRPr="004B14BD" w:rsidRDefault="001E65DE" w:rsidP="00C073E8">
            <w:pPr>
              <w:rPr>
                <w:color w:val="000000" w:themeColor="text1"/>
                <w:sz w:val="16"/>
                <w:szCs w:val="16"/>
              </w:rPr>
            </w:pPr>
            <w:r w:rsidRPr="004B14BD">
              <w:rPr>
                <w:color w:val="000000" w:themeColor="text1"/>
                <w:sz w:val="16"/>
                <w:szCs w:val="16"/>
              </w:rPr>
              <w:t>2.1. Målemetode og -varighed</w:t>
            </w:r>
          </w:p>
          <w:p w14:paraId="7ECDA3F9" w14:textId="77777777" w:rsidR="001E65DE" w:rsidRPr="004B14BD" w:rsidRDefault="001E65DE" w:rsidP="00C073E8">
            <w:pPr>
              <w:rPr>
                <w:color w:val="000000" w:themeColor="text1"/>
                <w:sz w:val="16"/>
                <w:szCs w:val="16"/>
              </w:rPr>
            </w:pPr>
          </w:p>
          <w:p w14:paraId="32187C45" w14:textId="57DC12D5" w:rsidR="001E65DE" w:rsidRPr="004B14BD" w:rsidRDefault="001E65DE" w:rsidP="00C073E8">
            <w:pPr>
              <w:rPr>
                <w:color w:val="000000" w:themeColor="text1"/>
                <w:sz w:val="16"/>
                <w:szCs w:val="16"/>
              </w:rPr>
            </w:pPr>
            <w:r w:rsidRPr="004B14BD">
              <w:rPr>
                <w:color w:val="000000" w:themeColor="text1"/>
                <w:sz w:val="16"/>
                <w:szCs w:val="16"/>
              </w:rPr>
              <w:t>Ved præstationskontrol foretages 3 enkeltmålinger af hver mindst 1 times varighed. Dog foretages 2 enkeltmålinger af hver mindst 45 minutters varighed, hvis der er tale om følgende:</w:t>
            </w:r>
          </w:p>
          <w:p w14:paraId="706443CC" w14:textId="77777777" w:rsidR="001E65DE" w:rsidRPr="004B14BD" w:rsidRDefault="001E65DE" w:rsidP="00C073E8">
            <w:pPr>
              <w:rPr>
                <w:color w:val="000000" w:themeColor="text1"/>
                <w:sz w:val="16"/>
                <w:szCs w:val="16"/>
              </w:rPr>
            </w:pPr>
          </w:p>
          <w:p w14:paraId="5189D60E" w14:textId="77777777" w:rsidR="001E65DE" w:rsidRPr="004B14BD" w:rsidRDefault="001E65DE" w:rsidP="00C073E8">
            <w:pPr>
              <w:rPr>
                <w:color w:val="000000" w:themeColor="text1"/>
                <w:sz w:val="16"/>
                <w:szCs w:val="16"/>
              </w:rPr>
            </w:pPr>
            <w:r w:rsidRPr="004B14BD">
              <w:rPr>
                <w:color w:val="000000" w:themeColor="text1"/>
                <w:sz w:val="16"/>
                <w:szCs w:val="16"/>
              </w:rPr>
              <w:t>1) Motorer.</w:t>
            </w:r>
          </w:p>
          <w:p w14:paraId="2FE5B51F" w14:textId="77777777" w:rsidR="001E65DE" w:rsidRPr="004B14BD" w:rsidRDefault="001E65DE" w:rsidP="00C073E8">
            <w:pPr>
              <w:rPr>
                <w:color w:val="000000" w:themeColor="text1"/>
                <w:sz w:val="16"/>
                <w:szCs w:val="16"/>
              </w:rPr>
            </w:pPr>
          </w:p>
          <w:p w14:paraId="1A623E88" w14:textId="77777777" w:rsidR="001E65DE" w:rsidRPr="004B14BD" w:rsidRDefault="001E65DE" w:rsidP="00C073E8">
            <w:pPr>
              <w:rPr>
                <w:color w:val="000000" w:themeColor="text1"/>
                <w:sz w:val="16"/>
                <w:szCs w:val="16"/>
              </w:rPr>
            </w:pPr>
            <w:r w:rsidRPr="004B14BD">
              <w:rPr>
                <w:color w:val="000000" w:themeColor="text1"/>
                <w:sz w:val="16"/>
                <w:szCs w:val="16"/>
              </w:rPr>
              <w:t>2) Gasturbiner.</w:t>
            </w:r>
          </w:p>
          <w:p w14:paraId="460599D5" w14:textId="77777777" w:rsidR="001E65DE" w:rsidRPr="004B14BD" w:rsidRDefault="001E65DE" w:rsidP="00C073E8">
            <w:pPr>
              <w:rPr>
                <w:color w:val="000000" w:themeColor="text1"/>
                <w:sz w:val="16"/>
                <w:szCs w:val="16"/>
              </w:rPr>
            </w:pPr>
          </w:p>
          <w:p w14:paraId="5FEB6395" w14:textId="77777777" w:rsidR="001E65DE" w:rsidRPr="004B14BD" w:rsidRDefault="001E65DE" w:rsidP="00C073E8">
            <w:pPr>
              <w:rPr>
                <w:color w:val="000000" w:themeColor="text1"/>
                <w:sz w:val="16"/>
                <w:szCs w:val="16"/>
              </w:rPr>
            </w:pPr>
            <w:r w:rsidRPr="004B14BD">
              <w:rPr>
                <w:color w:val="000000" w:themeColor="text1"/>
                <w:sz w:val="16"/>
                <w:szCs w:val="16"/>
              </w:rPr>
              <w:t>3) Kedelanlæg, der anvender naturgas eller gasolie som brændsel.</w:t>
            </w:r>
          </w:p>
          <w:p w14:paraId="645837D9" w14:textId="77777777" w:rsidR="001E65DE" w:rsidRPr="004B14BD" w:rsidRDefault="001E65DE" w:rsidP="00C073E8">
            <w:pPr>
              <w:rPr>
                <w:color w:val="000000" w:themeColor="text1"/>
                <w:sz w:val="16"/>
                <w:szCs w:val="16"/>
              </w:rPr>
            </w:pPr>
          </w:p>
          <w:p w14:paraId="27636F2D" w14:textId="77777777" w:rsidR="001E65DE" w:rsidRPr="004B14BD" w:rsidRDefault="001E65DE" w:rsidP="00C073E8">
            <w:pPr>
              <w:rPr>
                <w:color w:val="000000" w:themeColor="text1"/>
                <w:sz w:val="16"/>
                <w:szCs w:val="16"/>
              </w:rPr>
            </w:pPr>
            <w:r w:rsidRPr="004B14BD">
              <w:rPr>
                <w:color w:val="000000" w:themeColor="text1"/>
                <w:sz w:val="16"/>
                <w:szCs w:val="16"/>
              </w:rPr>
              <w:t>Under hver måling skal anlægget være i drift under stabile forhold og med en repræsentativ jævn belastning. Opstarts- og nedlukningsperioder er i den forbindelse udelukket.</w:t>
            </w:r>
          </w:p>
          <w:p w14:paraId="2CACE80B" w14:textId="77777777" w:rsidR="001E65DE" w:rsidRPr="004B14BD" w:rsidRDefault="001E65DE" w:rsidP="00C073E8">
            <w:pPr>
              <w:rPr>
                <w:color w:val="000000" w:themeColor="text1"/>
                <w:sz w:val="16"/>
                <w:szCs w:val="16"/>
              </w:rPr>
            </w:pPr>
          </w:p>
          <w:p w14:paraId="004EA78C" w14:textId="77777777" w:rsidR="001E65DE" w:rsidRPr="004B14BD" w:rsidRDefault="001E65DE" w:rsidP="00C073E8">
            <w:pPr>
              <w:rPr>
                <w:color w:val="000000" w:themeColor="text1"/>
                <w:sz w:val="16"/>
                <w:szCs w:val="16"/>
              </w:rPr>
            </w:pPr>
            <w:r w:rsidRPr="004B14BD">
              <w:rPr>
                <w:color w:val="000000" w:themeColor="text1"/>
                <w:sz w:val="16"/>
                <w:szCs w:val="16"/>
              </w:rPr>
              <w:t>Prøveudtagning og analyse af forurenende stoffer og måling af procesparametre skal baseres på metoder, der giver pålidelige, repræsentative og sammenlignelige resultater. Metoder, som overholder harmoniserede EN-standarder og som er beskrevet i metodebladene i tabel 5, opfylder dette krav.</w:t>
            </w:r>
          </w:p>
          <w:p w14:paraId="647E4627" w14:textId="77777777" w:rsidR="001E65DE" w:rsidRPr="004B14BD" w:rsidRDefault="001E65DE" w:rsidP="00C073E8">
            <w:pPr>
              <w:rPr>
                <w:color w:val="000000" w:themeColor="text1"/>
                <w:sz w:val="16"/>
                <w:szCs w:val="16"/>
              </w:rPr>
            </w:pPr>
          </w:p>
          <w:p w14:paraId="5B562B06" w14:textId="77777777" w:rsidR="001E65DE" w:rsidRPr="004B14BD" w:rsidRDefault="001E65DE" w:rsidP="00C073E8">
            <w:pPr>
              <w:rPr>
                <w:b/>
                <w:bCs/>
                <w:color w:val="000000" w:themeColor="text1"/>
                <w:sz w:val="16"/>
                <w:szCs w:val="16"/>
              </w:rPr>
            </w:pPr>
            <w:r w:rsidRPr="004B14BD">
              <w:rPr>
                <w:b/>
                <w:bCs/>
                <w:color w:val="000000" w:themeColor="text1"/>
                <w:sz w:val="16"/>
                <w:szCs w:val="16"/>
              </w:rPr>
              <w:t>Tabel 5. Prøvetagnings- og analysemetoder</w:t>
            </w:r>
          </w:p>
          <w:tbl>
            <w:tblPr>
              <w:tblStyle w:val="Tabel-Gitter"/>
              <w:tblW w:w="0" w:type="auto"/>
              <w:tblLook w:val="04A0" w:firstRow="1" w:lastRow="0" w:firstColumn="1" w:lastColumn="0" w:noHBand="0" w:noVBand="1"/>
            </w:tblPr>
            <w:tblGrid>
              <w:gridCol w:w="2730"/>
              <w:gridCol w:w="2696"/>
              <w:gridCol w:w="2702"/>
            </w:tblGrid>
            <w:tr w:rsidR="001E65DE" w:rsidRPr="004B14BD" w14:paraId="515D1081" w14:textId="77777777" w:rsidTr="00C073E8">
              <w:tc>
                <w:tcPr>
                  <w:tcW w:w="3134" w:type="dxa"/>
                </w:tcPr>
                <w:p w14:paraId="13BD59C7" w14:textId="77777777" w:rsidR="001E65DE" w:rsidRPr="004B14BD" w:rsidRDefault="001E65DE" w:rsidP="00C073E8">
                  <w:pPr>
                    <w:rPr>
                      <w:color w:val="000000" w:themeColor="text1"/>
                      <w:sz w:val="16"/>
                      <w:szCs w:val="16"/>
                    </w:rPr>
                  </w:pPr>
                  <w:r w:rsidRPr="004B14BD">
                    <w:rPr>
                      <w:color w:val="000000" w:themeColor="text1"/>
                      <w:sz w:val="16"/>
                      <w:szCs w:val="16"/>
                    </w:rPr>
                    <w:lastRenderedPageBreak/>
                    <w:t>Navn</w:t>
                  </w:r>
                </w:p>
              </w:tc>
              <w:tc>
                <w:tcPr>
                  <w:tcW w:w="3134" w:type="dxa"/>
                </w:tcPr>
                <w:p w14:paraId="6229DD8A" w14:textId="77777777" w:rsidR="001E65DE" w:rsidRPr="004B14BD" w:rsidRDefault="001E65DE" w:rsidP="00C073E8">
                  <w:pPr>
                    <w:rPr>
                      <w:color w:val="000000" w:themeColor="text1"/>
                      <w:sz w:val="16"/>
                      <w:szCs w:val="16"/>
                    </w:rPr>
                  </w:pPr>
                  <w:r w:rsidRPr="004B14BD">
                    <w:rPr>
                      <w:color w:val="000000" w:themeColor="text1"/>
                      <w:sz w:val="16"/>
                      <w:szCs w:val="16"/>
                    </w:rPr>
                    <w:t>Parameter</w:t>
                  </w:r>
                </w:p>
              </w:tc>
              <w:tc>
                <w:tcPr>
                  <w:tcW w:w="3135" w:type="dxa"/>
                </w:tcPr>
                <w:p w14:paraId="7B24E473" w14:textId="77777777" w:rsidR="001E65DE" w:rsidRPr="004B14BD" w:rsidRDefault="001E65DE" w:rsidP="00C073E8">
                  <w:pPr>
                    <w:rPr>
                      <w:color w:val="000000" w:themeColor="text1"/>
                      <w:sz w:val="16"/>
                      <w:szCs w:val="16"/>
                    </w:rPr>
                  </w:pPr>
                  <w:r w:rsidRPr="004B14BD">
                    <w:rPr>
                      <w:color w:val="000000" w:themeColor="text1"/>
                      <w:sz w:val="16"/>
                      <w:szCs w:val="16"/>
                    </w:rPr>
                    <w:t>Metodeblad nr. 1)</w:t>
                  </w:r>
                </w:p>
              </w:tc>
            </w:tr>
            <w:tr w:rsidR="001E65DE" w:rsidRPr="004B14BD" w14:paraId="04746B3E" w14:textId="77777777" w:rsidTr="00C073E8">
              <w:tc>
                <w:tcPr>
                  <w:tcW w:w="3134" w:type="dxa"/>
                </w:tcPr>
                <w:p w14:paraId="7A4F0119" w14:textId="77777777" w:rsidR="001E65DE" w:rsidRPr="004B14BD" w:rsidRDefault="001E65DE" w:rsidP="00C073E8">
                  <w:pPr>
                    <w:rPr>
                      <w:color w:val="000000" w:themeColor="text1"/>
                      <w:sz w:val="16"/>
                      <w:szCs w:val="16"/>
                    </w:rPr>
                  </w:pPr>
                  <w:r w:rsidRPr="004B14BD">
                    <w:rPr>
                      <w:color w:val="000000" w:themeColor="text1"/>
                      <w:sz w:val="16"/>
                      <w:szCs w:val="16"/>
                    </w:rPr>
                    <w:t>Bestemmelse af koncentrationer af kvælstofoxider (NOX) i strømmende gas (chemiluminescens metode)</w:t>
                  </w:r>
                </w:p>
                <w:p w14:paraId="43EA0CED" w14:textId="77777777" w:rsidR="001E65DE" w:rsidRPr="004B14BD" w:rsidRDefault="001E65DE" w:rsidP="00C073E8">
                  <w:pPr>
                    <w:rPr>
                      <w:color w:val="000000" w:themeColor="text1"/>
                      <w:sz w:val="16"/>
                      <w:szCs w:val="16"/>
                    </w:rPr>
                  </w:pPr>
                </w:p>
              </w:tc>
              <w:tc>
                <w:tcPr>
                  <w:tcW w:w="3134" w:type="dxa"/>
                </w:tcPr>
                <w:p w14:paraId="04FEA8DB" w14:textId="77777777" w:rsidR="001E65DE" w:rsidRPr="004B14BD" w:rsidRDefault="001E65DE" w:rsidP="00C073E8">
                  <w:pPr>
                    <w:rPr>
                      <w:color w:val="000000" w:themeColor="text1"/>
                      <w:sz w:val="16"/>
                      <w:szCs w:val="16"/>
                    </w:rPr>
                  </w:pPr>
                  <w:r w:rsidRPr="004B14BD">
                    <w:rPr>
                      <w:color w:val="000000" w:themeColor="text1"/>
                      <w:sz w:val="16"/>
                      <w:szCs w:val="16"/>
                    </w:rPr>
                    <w:t>NOx</w:t>
                  </w:r>
                </w:p>
              </w:tc>
              <w:tc>
                <w:tcPr>
                  <w:tcW w:w="3135" w:type="dxa"/>
                </w:tcPr>
                <w:p w14:paraId="38A09B59" w14:textId="77777777" w:rsidR="001E65DE" w:rsidRPr="004B14BD" w:rsidRDefault="001E65DE" w:rsidP="00C073E8">
                  <w:pPr>
                    <w:rPr>
                      <w:color w:val="000000" w:themeColor="text1"/>
                      <w:sz w:val="16"/>
                      <w:szCs w:val="16"/>
                    </w:rPr>
                  </w:pPr>
                  <w:r w:rsidRPr="004B14BD">
                    <w:rPr>
                      <w:color w:val="000000" w:themeColor="text1"/>
                      <w:sz w:val="16"/>
                      <w:szCs w:val="16"/>
                    </w:rPr>
                    <w:t>MEL-03</w:t>
                  </w:r>
                </w:p>
              </w:tc>
            </w:tr>
            <w:tr w:rsidR="001E65DE" w:rsidRPr="004B14BD" w14:paraId="6DFB27B5" w14:textId="77777777" w:rsidTr="00C073E8">
              <w:tc>
                <w:tcPr>
                  <w:tcW w:w="3134" w:type="dxa"/>
                </w:tcPr>
                <w:p w14:paraId="0142EF10" w14:textId="77777777" w:rsidR="001E65DE" w:rsidRPr="004B14BD" w:rsidRDefault="001E65DE" w:rsidP="00C073E8">
                  <w:pPr>
                    <w:rPr>
                      <w:color w:val="000000" w:themeColor="text1"/>
                      <w:sz w:val="16"/>
                      <w:szCs w:val="16"/>
                    </w:rPr>
                  </w:pPr>
                  <w:r w:rsidRPr="004B14BD">
                    <w:rPr>
                      <w:color w:val="000000" w:themeColor="text1"/>
                      <w:sz w:val="16"/>
                      <w:szCs w:val="16"/>
                    </w:rPr>
                    <w:t>Bestemmelse af koncentrationer af svovldioxid (SO2) i strømmende gas (manuel opsamling i vandig brintperoxid)</w:t>
                  </w:r>
                </w:p>
                <w:p w14:paraId="7FD9DB80" w14:textId="77777777" w:rsidR="001E65DE" w:rsidRPr="004B14BD" w:rsidRDefault="001E65DE" w:rsidP="00C073E8">
                  <w:pPr>
                    <w:rPr>
                      <w:color w:val="000000" w:themeColor="text1"/>
                      <w:sz w:val="16"/>
                      <w:szCs w:val="16"/>
                    </w:rPr>
                  </w:pPr>
                </w:p>
              </w:tc>
              <w:tc>
                <w:tcPr>
                  <w:tcW w:w="3134" w:type="dxa"/>
                </w:tcPr>
                <w:p w14:paraId="63C6C186" w14:textId="77777777" w:rsidR="001E65DE" w:rsidRPr="004B14BD" w:rsidRDefault="001E65DE" w:rsidP="00C073E8">
                  <w:pPr>
                    <w:rPr>
                      <w:color w:val="000000" w:themeColor="text1"/>
                      <w:sz w:val="16"/>
                      <w:szCs w:val="16"/>
                    </w:rPr>
                  </w:pPr>
                  <w:r w:rsidRPr="004B14BD">
                    <w:rPr>
                      <w:color w:val="000000" w:themeColor="text1"/>
                      <w:sz w:val="16"/>
                      <w:szCs w:val="16"/>
                    </w:rPr>
                    <w:t>SO2</w:t>
                  </w:r>
                </w:p>
              </w:tc>
              <w:tc>
                <w:tcPr>
                  <w:tcW w:w="3135" w:type="dxa"/>
                </w:tcPr>
                <w:p w14:paraId="5AFB1901" w14:textId="77777777" w:rsidR="001E65DE" w:rsidRPr="004B14BD" w:rsidRDefault="001E65DE" w:rsidP="00C073E8">
                  <w:pPr>
                    <w:rPr>
                      <w:color w:val="000000" w:themeColor="text1"/>
                      <w:sz w:val="16"/>
                      <w:szCs w:val="16"/>
                    </w:rPr>
                  </w:pPr>
                  <w:r w:rsidRPr="004B14BD">
                    <w:rPr>
                      <w:color w:val="000000" w:themeColor="text1"/>
                      <w:sz w:val="16"/>
                      <w:szCs w:val="16"/>
                    </w:rPr>
                    <w:t>MEL-04</w:t>
                  </w:r>
                </w:p>
              </w:tc>
            </w:tr>
            <w:tr w:rsidR="001E65DE" w:rsidRPr="004B14BD" w14:paraId="0DAFA43E" w14:textId="77777777" w:rsidTr="00C073E8">
              <w:tc>
                <w:tcPr>
                  <w:tcW w:w="3134" w:type="dxa"/>
                </w:tcPr>
                <w:p w14:paraId="572F3D9E" w14:textId="77777777" w:rsidR="001E65DE" w:rsidRPr="004B14BD" w:rsidRDefault="001E65DE" w:rsidP="00C073E8">
                  <w:pPr>
                    <w:rPr>
                      <w:color w:val="000000" w:themeColor="text1"/>
                      <w:sz w:val="16"/>
                      <w:szCs w:val="16"/>
                    </w:rPr>
                  </w:pPr>
                  <w:r w:rsidRPr="004B14BD">
                    <w:rPr>
                      <w:color w:val="000000" w:themeColor="text1"/>
                      <w:sz w:val="16"/>
                      <w:szCs w:val="16"/>
                    </w:rPr>
                    <w:t>Bestemmelse af koncentrationen af totalt partikulært materiale i strømmende gas</w:t>
                  </w:r>
                  <w:r w:rsidRPr="004B14BD">
                    <w:rPr>
                      <w:color w:val="000000" w:themeColor="text1"/>
                      <w:sz w:val="16"/>
                      <w:szCs w:val="16"/>
                    </w:rPr>
                    <w:tab/>
                  </w:r>
                  <w:r w:rsidRPr="004B14BD">
                    <w:rPr>
                      <w:color w:val="000000" w:themeColor="text1"/>
                      <w:sz w:val="16"/>
                      <w:szCs w:val="16"/>
                    </w:rPr>
                    <w:tab/>
                  </w:r>
                </w:p>
                <w:p w14:paraId="4A5BC1C5" w14:textId="77777777" w:rsidR="001E65DE" w:rsidRPr="004B14BD" w:rsidRDefault="001E65DE" w:rsidP="00C073E8">
                  <w:pPr>
                    <w:rPr>
                      <w:color w:val="000000" w:themeColor="text1"/>
                      <w:sz w:val="16"/>
                      <w:szCs w:val="16"/>
                    </w:rPr>
                  </w:pPr>
                </w:p>
              </w:tc>
              <w:tc>
                <w:tcPr>
                  <w:tcW w:w="3134" w:type="dxa"/>
                </w:tcPr>
                <w:p w14:paraId="3D258792" w14:textId="77777777" w:rsidR="001E65DE" w:rsidRPr="004B14BD" w:rsidRDefault="001E65DE" w:rsidP="00C073E8">
                  <w:pPr>
                    <w:rPr>
                      <w:color w:val="000000" w:themeColor="text1"/>
                      <w:sz w:val="16"/>
                      <w:szCs w:val="16"/>
                    </w:rPr>
                  </w:pPr>
                  <w:r w:rsidRPr="004B14BD">
                    <w:rPr>
                      <w:color w:val="000000" w:themeColor="text1"/>
                      <w:sz w:val="16"/>
                      <w:szCs w:val="16"/>
                    </w:rPr>
                    <w:t>Støv</w:t>
                  </w:r>
                </w:p>
              </w:tc>
              <w:tc>
                <w:tcPr>
                  <w:tcW w:w="3135" w:type="dxa"/>
                </w:tcPr>
                <w:p w14:paraId="63CEC02F" w14:textId="77777777" w:rsidR="001E65DE" w:rsidRPr="004B14BD" w:rsidRDefault="001E65DE" w:rsidP="00C073E8">
                  <w:pPr>
                    <w:rPr>
                      <w:color w:val="000000" w:themeColor="text1"/>
                      <w:sz w:val="16"/>
                      <w:szCs w:val="16"/>
                    </w:rPr>
                  </w:pPr>
                  <w:r w:rsidRPr="004B14BD">
                    <w:rPr>
                      <w:color w:val="000000" w:themeColor="text1"/>
                      <w:sz w:val="16"/>
                      <w:szCs w:val="16"/>
                    </w:rPr>
                    <w:t>MEL-02</w:t>
                  </w:r>
                </w:p>
              </w:tc>
            </w:tr>
            <w:tr w:rsidR="001E65DE" w:rsidRPr="004B14BD" w14:paraId="7B89FF59" w14:textId="77777777" w:rsidTr="00C073E8">
              <w:tc>
                <w:tcPr>
                  <w:tcW w:w="3134" w:type="dxa"/>
                </w:tcPr>
                <w:p w14:paraId="263C97D8" w14:textId="77777777" w:rsidR="001E65DE" w:rsidRPr="004B14BD" w:rsidRDefault="001E65DE" w:rsidP="00C073E8">
                  <w:pPr>
                    <w:rPr>
                      <w:color w:val="000000" w:themeColor="text1"/>
                      <w:sz w:val="16"/>
                      <w:szCs w:val="16"/>
                    </w:rPr>
                  </w:pPr>
                  <w:r w:rsidRPr="004B14BD">
                    <w:rPr>
                      <w:color w:val="000000" w:themeColor="text1"/>
                      <w:sz w:val="16"/>
                      <w:szCs w:val="16"/>
                    </w:rPr>
                    <w:t>Bestemmelse af koncentrationer af kulmonooxid (CO) i strømmende gas (infrarød metode)</w:t>
                  </w:r>
                </w:p>
                <w:p w14:paraId="7D9A1195" w14:textId="77777777" w:rsidR="001E65DE" w:rsidRPr="004B14BD" w:rsidRDefault="001E65DE" w:rsidP="00C073E8">
                  <w:pPr>
                    <w:rPr>
                      <w:color w:val="000000" w:themeColor="text1"/>
                      <w:sz w:val="16"/>
                      <w:szCs w:val="16"/>
                    </w:rPr>
                  </w:pPr>
                </w:p>
              </w:tc>
              <w:tc>
                <w:tcPr>
                  <w:tcW w:w="3134" w:type="dxa"/>
                </w:tcPr>
                <w:p w14:paraId="1AA17259" w14:textId="77777777" w:rsidR="001E65DE" w:rsidRPr="004B14BD" w:rsidRDefault="001E65DE" w:rsidP="00C073E8">
                  <w:pPr>
                    <w:rPr>
                      <w:color w:val="000000" w:themeColor="text1"/>
                      <w:sz w:val="16"/>
                      <w:szCs w:val="16"/>
                    </w:rPr>
                  </w:pPr>
                  <w:r w:rsidRPr="004B14BD">
                    <w:rPr>
                      <w:color w:val="000000" w:themeColor="text1"/>
                      <w:sz w:val="16"/>
                      <w:szCs w:val="16"/>
                    </w:rPr>
                    <w:t>CO</w:t>
                  </w:r>
                </w:p>
              </w:tc>
              <w:tc>
                <w:tcPr>
                  <w:tcW w:w="3135" w:type="dxa"/>
                </w:tcPr>
                <w:p w14:paraId="3EAC857E" w14:textId="77777777" w:rsidR="001E65DE" w:rsidRPr="004B14BD" w:rsidRDefault="001E65DE" w:rsidP="00C073E8">
                  <w:pPr>
                    <w:rPr>
                      <w:color w:val="000000" w:themeColor="text1"/>
                      <w:sz w:val="16"/>
                      <w:szCs w:val="16"/>
                    </w:rPr>
                  </w:pPr>
                  <w:r w:rsidRPr="004B14BD">
                    <w:rPr>
                      <w:color w:val="000000" w:themeColor="text1"/>
                      <w:sz w:val="16"/>
                      <w:szCs w:val="16"/>
                    </w:rPr>
                    <w:t>MEL-06</w:t>
                  </w:r>
                </w:p>
              </w:tc>
            </w:tr>
          </w:tbl>
          <w:p w14:paraId="7815EB98" w14:textId="77777777" w:rsidR="001E65DE" w:rsidRPr="004B14BD" w:rsidRDefault="001E65DE" w:rsidP="00C073E8">
            <w:pPr>
              <w:rPr>
                <w:color w:val="000000" w:themeColor="text1"/>
                <w:sz w:val="16"/>
                <w:szCs w:val="16"/>
              </w:rPr>
            </w:pPr>
            <w:r w:rsidRPr="004B14BD">
              <w:rPr>
                <w:color w:val="000000" w:themeColor="text1"/>
                <w:sz w:val="16"/>
                <w:szCs w:val="16"/>
              </w:rPr>
              <w:t>1) Se hjemmesiden for Miljøstyrelsens Referencelaboratorium for måling af emissioner til luften. (www.ref-lab.dk).</w:t>
            </w:r>
          </w:p>
          <w:p w14:paraId="7BFC2691" w14:textId="77777777" w:rsidR="001E65DE" w:rsidRPr="004B14BD" w:rsidRDefault="001E65DE" w:rsidP="00C073E8">
            <w:pPr>
              <w:rPr>
                <w:color w:val="FF0000"/>
                <w:sz w:val="16"/>
                <w:szCs w:val="16"/>
              </w:rPr>
            </w:pPr>
          </w:p>
          <w:p w14:paraId="13608EBA" w14:textId="77777777" w:rsidR="001E65DE" w:rsidRPr="004B14BD" w:rsidRDefault="001E65DE" w:rsidP="00C073E8">
            <w:pPr>
              <w:rPr>
                <w:b/>
                <w:bCs/>
                <w:color w:val="000000" w:themeColor="text1"/>
                <w:sz w:val="16"/>
                <w:szCs w:val="16"/>
              </w:rPr>
            </w:pPr>
            <w:r w:rsidRPr="004B14BD">
              <w:rPr>
                <w:b/>
                <w:bCs/>
                <w:color w:val="000000" w:themeColor="text1"/>
                <w:sz w:val="16"/>
                <w:szCs w:val="16"/>
              </w:rPr>
              <w:t>5. Måle- og reguleringsudstyr for O</w:t>
            </w:r>
            <w:r w:rsidRPr="004B14BD">
              <w:rPr>
                <w:b/>
                <w:bCs/>
                <w:color w:val="000000" w:themeColor="text1"/>
                <w:sz w:val="16"/>
                <w:szCs w:val="16"/>
                <w:vertAlign w:val="subscript"/>
              </w:rPr>
              <w:t>2</w:t>
            </w:r>
          </w:p>
          <w:p w14:paraId="7A502765" w14:textId="77777777" w:rsidR="001E65DE" w:rsidRPr="004B14BD" w:rsidRDefault="001E65DE" w:rsidP="00C073E8">
            <w:pPr>
              <w:rPr>
                <w:color w:val="000000" w:themeColor="text1"/>
                <w:sz w:val="16"/>
                <w:szCs w:val="16"/>
              </w:rPr>
            </w:pPr>
          </w:p>
          <w:p w14:paraId="700445E0" w14:textId="77777777" w:rsidR="001E65DE" w:rsidRPr="004B14BD" w:rsidRDefault="001E65DE" w:rsidP="00C073E8">
            <w:pPr>
              <w:rPr>
                <w:color w:val="000000" w:themeColor="text1"/>
                <w:sz w:val="16"/>
                <w:szCs w:val="16"/>
              </w:rPr>
            </w:pPr>
            <w:r w:rsidRPr="004B14BD">
              <w:rPr>
                <w:color w:val="000000" w:themeColor="text1"/>
                <w:sz w:val="16"/>
                <w:szCs w:val="16"/>
              </w:rPr>
              <w:t>Måle- og reguleringsudstyr for O</w:t>
            </w:r>
            <w:r w:rsidRPr="004B14BD">
              <w:rPr>
                <w:color w:val="000000" w:themeColor="text1"/>
                <w:sz w:val="16"/>
                <w:szCs w:val="16"/>
                <w:vertAlign w:val="subscript"/>
              </w:rPr>
              <w:t xml:space="preserve">2 </w:t>
            </w:r>
            <w:r w:rsidRPr="004B14BD">
              <w:rPr>
                <w:color w:val="000000" w:themeColor="text1"/>
                <w:sz w:val="16"/>
                <w:szCs w:val="16"/>
              </w:rPr>
              <w:t>skal gennemgå en årlig kontrol og et årligt serviceeftersyn (funktionstest uden linearisering), og skal efterses og justeres med kalibreringsgasser efter leverandørens anvisninger.</w:t>
            </w:r>
          </w:p>
          <w:p w14:paraId="6EF989B3" w14:textId="77777777" w:rsidR="001E65DE" w:rsidRPr="004B14BD" w:rsidRDefault="001E65DE" w:rsidP="00C073E8">
            <w:pPr>
              <w:rPr>
                <w:color w:val="000000" w:themeColor="text1"/>
                <w:sz w:val="16"/>
                <w:szCs w:val="16"/>
              </w:rPr>
            </w:pPr>
          </w:p>
        </w:tc>
      </w:tr>
    </w:tbl>
    <w:p w14:paraId="2ECB42A7" w14:textId="7DAE804A" w:rsidR="00EC6B0F" w:rsidRPr="004B14BD" w:rsidRDefault="00E10390" w:rsidP="00EC6B0F">
      <w:pPr>
        <w:pStyle w:val="Overskrift2"/>
      </w:pPr>
      <w:bookmarkStart w:id="29" w:name="_Toc120196513"/>
      <w:r w:rsidRPr="004B14BD">
        <w:lastRenderedPageBreak/>
        <w:t xml:space="preserve">2.2 </w:t>
      </w:r>
      <w:r w:rsidR="00EC6B0F" w:rsidRPr="004B14BD">
        <w:t>Øvrig lovgivning</w:t>
      </w:r>
      <w:bookmarkEnd w:id="29"/>
    </w:p>
    <w:p w14:paraId="1097E867" w14:textId="77777777" w:rsidR="001B4450" w:rsidRPr="004B14BD" w:rsidRDefault="001B4450" w:rsidP="001B4450"/>
    <w:p w14:paraId="1CF58C53" w14:textId="6BE43EBB" w:rsidR="001A4581" w:rsidRPr="004B14BD" w:rsidRDefault="001A4581" w:rsidP="00EC6B0F">
      <w:pPr>
        <w:rPr>
          <w:b/>
          <w:bCs/>
        </w:rPr>
      </w:pPr>
      <w:r w:rsidRPr="004B14BD">
        <w:rPr>
          <w:b/>
          <w:bCs/>
        </w:rPr>
        <w:t>Afgørelse om basistilstandsrapport</w:t>
      </w:r>
    </w:p>
    <w:p w14:paraId="2E4777FB" w14:textId="77777777" w:rsidR="0029424B" w:rsidRPr="004B14BD" w:rsidRDefault="0029424B" w:rsidP="00EC6B0F">
      <w:pPr>
        <w:rPr>
          <w:b/>
          <w:bCs/>
        </w:rPr>
      </w:pPr>
    </w:p>
    <w:p w14:paraId="06AFAFBD" w14:textId="1B451104" w:rsidR="001A4581" w:rsidRPr="004B14BD" w:rsidRDefault="001A4581" w:rsidP="001A4581">
      <w:r w:rsidRPr="004B14BD">
        <w:t>Efter godkendelsesbekendtgørelsens §16 stk. 1, jf. §15 stk.</w:t>
      </w:r>
      <w:r w:rsidR="0027046E">
        <w:t xml:space="preserve"> </w:t>
      </w:r>
      <w:r w:rsidRPr="004B14BD">
        <w:t>1 træffer Høje-Taastrup Kommune afgørelse om, at virksomheden ikke skal udarbejde basistilstandsrapport i forbindelse med udarbejdelse af miljøgodkendelse. Begrundelsen for ikke at udarbejde basistilstandsrapport er angivet i den miljøtekniske beskrivelse og vurdering under afsnittet ”Forhold omkring basistilstandsrapport”.</w:t>
      </w:r>
    </w:p>
    <w:p w14:paraId="5E7BCBC8" w14:textId="77777777" w:rsidR="00EC6B0F" w:rsidRPr="004B14BD" w:rsidRDefault="00EC6B0F" w:rsidP="001A4581"/>
    <w:p w14:paraId="00498402" w14:textId="06D2AF54" w:rsidR="000B6712" w:rsidRPr="004B14BD" w:rsidRDefault="00A74C02" w:rsidP="00EC6B0F">
      <w:pPr>
        <w:rPr>
          <w:b/>
          <w:bCs/>
        </w:rPr>
      </w:pPr>
      <w:r w:rsidRPr="004B14BD">
        <w:rPr>
          <w:b/>
          <w:bCs/>
        </w:rPr>
        <w:t>Miljøvurderingsloven</w:t>
      </w:r>
      <w:r w:rsidR="00AB17C6" w:rsidRPr="004B14BD">
        <w:rPr>
          <w:b/>
          <w:bCs/>
        </w:rPr>
        <w:t xml:space="preserve"> (VVM)</w:t>
      </w:r>
    </w:p>
    <w:p w14:paraId="5B9CE682" w14:textId="77777777" w:rsidR="0029424B" w:rsidRPr="004B14BD" w:rsidRDefault="0029424B" w:rsidP="00EC6B0F">
      <w:pPr>
        <w:rPr>
          <w:b/>
          <w:bCs/>
        </w:rPr>
      </w:pPr>
    </w:p>
    <w:p w14:paraId="4D0C3316" w14:textId="7656E5A4" w:rsidR="00D930F9" w:rsidRPr="004B14BD" w:rsidRDefault="00D930F9" w:rsidP="004C086E">
      <w:bookmarkStart w:id="30" w:name="_Toc424893128"/>
      <w:bookmarkStart w:id="31" w:name="_Toc326588485"/>
      <w:r w:rsidRPr="004B14BD">
        <w:t>Ansøgningen er vurderet i forhold til VVM-reglerne i Miljøvurderingsloven</w:t>
      </w:r>
      <w:r w:rsidR="006934B1" w:rsidRPr="004B14BD">
        <w:rPr>
          <w:rStyle w:val="Fodnotehenvisning"/>
          <w:szCs w:val="24"/>
        </w:rPr>
        <w:footnoteReference w:id="14"/>
      </w:r>
      <w:r w:rsidRPr="004B14BD">
        <w:t>. Virksomheden er omfattet af punkt 3a: Industrianlæg til fremstilling af elektricitet, damp og varmt vand (projekter som ikke er omfattet af bilag 1) samt punkt 10a: Anlægsarbejder i erhvervsområder til industriformål.</w:t>
      </w:r>
    </w:p>
    <w:p w14:paraId="6810ACE7" w14:textId="77777777" w:rsidR="00D930F9" w:rsidRPr="004B14BD" w:rsidRDefault="00D930F9" w:rsidP="004C086E"/>
    <w:p w14:paraId="38BBFD34" w14:textId="2A1BD4DA" w:rsidR="00D930F9" w:rsidRPr="004B14BD" w:rsidRDefault="00D930F9" w:rsidP="004C086E">
      <w:r w:rsidRPr="004B14BD">
        <w:t xml:space="preserve">Høje-Taastrup Kommune har på baggrund af virksomhedens VVM-anmeldelse pr. </w:t>
      </w:r>
      <w:r w:rsidR="006934B1" w:rsidRPr="004B14BD">
        <w:t>7. april 2022</w:t>
      </w:r>
      <w:r w:rsidRPr="004B14BD">
        <w:t xml:space="preserve"> udarbejdet en VVM-screening, hvor det er vurderet, at det </w:t>
      </w:r>
      <w:r w:rsidR="00897D7F" w:rsidRPr="004B14BD">
        <w:t>ansøgte,</w:t>
      </w:r>
      <w:r w:rsidRPr="004B14BD">
        <w:t xml:space="preserve"> ikke vil kunne få en væsentlig indvirkning på miljøet. Der skal således ikke udarbejdes en </w:t>
      </w:r>
      <w:r w:rsidRPr="004B14BD">
        <w:lastRenderedPageBreak/>
        <w:t>VVM-redegørelse. Afgørelsen</w:t>
      </w:r>
      <w:r w:rsidR="006934B1" w:rsidRPr="004B14BD">
        <w:t xml:space="preserve"> </w:t>
      </w:r>
      <w:r w:rsidR="007059AB" w:rsidRPr="004B14BD">
        <w:t>blev</w:t>
      </w:r>
      <w:r w:rsidRPr="004B14BD">
        <w:t xml:space="preserve"> offentliggjort på Høje-Taastrup Kommunes hjemmeside den </w:t>
      </w:r>
      <w:r w:rsidR="006934B1" w:rsidRPr="004B14BD">
        <w:t>11. juli 2022</w:t>
      </w:r>
      <w:r w:rsidRPr="004B14BD">
        <w:t xml:space="preserve">. </w:t>
      </w:r>
      <w:r w:rsidR="006934B1" w:rsidRPr="004B14BD">
        <w:t xml:space="preserve">Klagefristen er udløbet. </w:t>
      </w:r>
      <w:r w:rsidRPr="004B14BD">
        <w:t xml:space="preserve">Der er ikke indkommet klager. </w:t>
      </w:r>
    </w:p>
    <w:p w14:paraId="7FCB19A8" w14:textId="77777777" w:rsidR="00EC6B0F" w:rsidRPr="004B14BD" w:rsidRDefault="00EC6B0F" w:rsidP="00EC6B0F">
      <w:pPr>
        <w:rPr>
          <w:u w:val="single"/>
        </w:rPr>
      </w:pPr>
    </w:p>
    <w:p w14:paraId="44162948" w14:textId="2D43DD86" w:rsidR="00D930F9" w:rsidRPr="004B14BD" w:rsidRDefault="00D930F9" w:rsidP="00EC6B0F">
      <w:pPr>
        <w:rPr>
          <w:b/>
          <w:bCs/>
        </w:rPr>
      </w:pPr>
      <w:r w:rsidRPr="004B14BD">
        <w:rPr>
          <w:b/>
          <w:bCs/>
        </w:rPr>
        <w:t xml:space="preserve">Forudgående offentlighed </w:t>
      </w:r>
    </w:p>
    <w:p w14:paraId="1F961E6C" w14:textId="77777777" w:rsidR="0029424B" w:rsidRPr="004B14BD" w:rsidRDefault="0029424B" w:rsidP="00EC6B0F">
      <w:pPr>
        <w:rPr>
          <w:b/>
          <w:bCs/>
        </w:rPr>
      </w:pPr>
    </w:p>
    <w:p w14:paraId="5C02C330" w14:textId="3C493BC8" w:rsidR="00D930F9" w:rsidRPr="004B14BD" w:rsidRDefault="00D930F9" w:rsidP="004C086E">
      <w:r w:rsidRPr="004B14BD">
        <w:t xml:space="preserve">Høje-Taastrup Kommune har </w:t>
      </w:r>
      <w:r w:rsidR="008E3B2F" w:rsidRPr="004B14BD">
        <w:t xml:space="preserve">den </w:t>
      </w:r>
      <w:r w:rsidR="00587E75" w:rsidRPr="004B14BD">
        <w:t>1. juni 2022</w:t>
      </w:r>
      <w:r w:rsidR="008E3B2F" w:rsidRPr="004B14BD">
        <w:t xml:space="preserve"> </w:t>
      </w:r>
      <w:r w:rsidRPr="004B14BD">
        <w:t>annonceret ansøgning om miljøgodkendelse af Microsoft Ap</w:t>
      </w:r>
      <w:r w:rsidR="004C7807" w:rsidRPr="004B14BD">
        <w:t>S</w:t>
      </w:r>
      <w:r w:rsidRPr="004B14BD">
        <w:t xml:space="preserve"> nødstrømsanlæg på </w:t>
      </w:r>
      <w:r w:rsidR="008E3B2F" w:rsidRPr="004B14BD">
        <w:t>Høje-Taastrup</w:t>
      </w:r>
      <w:r w:rsidRPr="004B14BD">
        <w:t xml:space="preserve"> Kommunes hjemmeside</w:t>
      </w:r>
      <w:r w:rsidR="00587E75" w:rsidRPr="004B14BD">
        <w:t xml:space="preserve"> og i Lokalavisen Taastrup</w:t>
      </w:r>
      <w:r w:rsidRPr="004B14BD">
        <w:t xml:space="preserve">. </w:t>
      </w:r>
      <w:r w:rsidR="00587E75" w:rsidRPr="004B14BD">
        <w:t>Det blev hér oplyst, at enhver havde ret til at se og kommentere sagens akter frem til 29. juni 2022 og herunder anmode om at få tilsendt et udkast til afgørelse om miljøgodkendelse.</w:t>
      </w:r>
    </w:p>
    <w:p w14:paraId="5311E128" w14:textId="77777777" w:rsidR="00587E75" w:rsidRPr="004B14BD" w:rsidRDefault="00587E75" w:rsidP="004C086E"/>
    <w:p w14:paraId="050BD662" w14:textId="4AD47178" w:rsidR="00D930F9" w:rsidRPr="004B14BD" w:rsidRDefault="008E3B2F" w:rsidP="004C086E">
      <w:r w:rsidRPr="004B14BD">
        <w:t>Høje-Taastrup</w:t>
      </w:r>
      <w:r w:rsidR="00D930F9" w:rsidRPr="004B14BD">
        <w:t xml:space="preserve"> Kommune har ikke modtaget henvendelser fra offentligheden</w:t>
      </w:r>
      <w:r w:rsidR="00587E75" w:rsidRPr="004B14BD">
        <w:t>.</w:t>
      </w:r>
    </w:p>
    <w:p w14:paraId="2049EB02" w14:textId="77777777" w:rsidR="00475A7B" w:rsidRPr="004B14BD" w:rsidRDefault="00475A7B" w:rsidP="00475A7B">
      <w:pPr>
        <w:rPr>
          <w:u w:val="single"/>
        </w:rPr>
      </w:pPr>
    </w:p>
    <w:p w14:paraId="48F845D7" w14:textId="65603F4A" w:rsidR="00D930F9" w:rsidRPr="004B14BD" w:rsidRDefault="00D930F9" w:rsidP="00475A7B">
      <w:pPr>
        <w:rPr>
          <w:b/>
          <w:bCs/>
        </w:rPr>
      </w:pPr>
      <w:r w:rsidRPr="004B14BD">
        <w:rPr>
          <w:b/>
          <w:bCs/>
        </w:rPr>
        <w:t>Risikobekendtgørelsen</w:t>
      </w:r>
    </w:p>
    <w:p w14:paraId="3868E482" w14:textId="77777777" w:rsidR="004425B9" w:rsidRPr="004B14BD" w:rsidRDefault="004425B9" w:rsidP="00475A7B">
      <w:pPr>
        <w:rPr>
          <w:b/>
          <w:bCs/>
        </w:rPr>
      </w:pPr>
    </w:p>
    <w:p w14:paraId="3A20E4AB" w14:textId="2DD6D7A0" w:rsidR="00D930F9" w:rsidRPr="004B14BD" w:rsidRDefault="00D930F9" w:rsidP="00F714C2">
      <w:r w:rsidRPr="004B14BD">
        <w:t xml:space="preserve">Der vil </w:t>
      </w:r>
      <w:r w:rsidR="00780593" w:rsidRPr="004B14BD">
        <w:t xml:space="preserve">i </w:t>
      </w:r>
      <w:r w:rsidRPr="004B14BD">
        <w:t>forbindelse med nødstrømsanlægget være oplag af dieselolie. Dieselolie er omfattet af</w:t>
      </w:r>
      <w:r w:rsidR="00152E35" w:rsidRPr="004B14BD">
        <w:t xml:space="preserve"> </w:t>
      </w:r>
      <w:r w:rsidRPr="004B14BD">
        <w:t>risikobekendtgørelsens</w:t>
      </w:r>
      <w:r w:rsidR="00C96B3B" w:rsidRPr="004B14BD">
        <w:rPr>
          <w:rStyle w:val="Fodnotehenvisning"/>
        </w:rPr>
        <w:footnoteReference w:id="15"/>
      </w:r>
      <w:r w:rsidR="00D23488" w:rsidRPr="004B14BD">
        <w:t xml:space="preserve"> </w:t>
      </w:r>
      <w:r w:rsidRPr="004B14BD">
        <w:t xml:space="preserve">bilag 1, del 2. Oplaget er fordelt på tankanlæg placeret ved hver dieselgenerator. Der oplagres i alt op til </w:t>
      </w:r>
      <w:r w:rsidR="005370A7" w:rsidRPr="004B14BD">
        <w:t>453</w:t>
      </w:r>
      <w:r w:rsidRPr="004B14BD">
        <w:t xml:space="preserve"> m</w:t>
      </w:r>
      <w:r w:rsidRPr="004B14BD">
        <w:rPr>
          <w:vertAlign w:val="superscript"/>
        </w:rPr>
        <w:t>3</w:t>
      </w:r>
      <w:r w:rsidRPr="004B14BD">
        <w:t xml:space="preserve"> dieselolie svarende til </w:t>
      </w:r>
      <w:r w:rsidR="005370A7" w:rsidRPr="004B14BD">
        <w:t>408</w:t>
      </w:r>
      <w:r w:rsidRPr="004B14BD">
        <w:t xml:space="preserve"> ton. Det samlede oplag af dieselolie, er dermed mindre end 2.500 ton, der er tærskelmængden for dieseloplag, som er omfattet af </w:t>
      </w:r>
      <w:r w:rsidR="00496C31" w:rsidRPr="004B14BD">
        <w:t>r</w:t>
      </w:r>
      <w:r w:rsidRPr="004B14BD">
        <w:t>isikobekendtgørelsen</w:t>
      </w:r>
      <w:r w:rsidR="00D354F6" w:rsidRPr="004B14BD">
        <w:t>.</w:t>
      </w:r>
    </w:p>
    <w:p w14:paraId="1AF13AC8" w14:textId="77777777" w:rsidR="00D930F9" w:rsidRPr="004B14BD" w:rsidRDefault="00D930F9" w:rsidP="00F714C2">
      <w:pPr>
        <w:rPr>
          <w:color w:val="FF0000"/>
        </w:rPr>
      </w:pPr>
    </w:p>
    <w:p w14:paraId="1B1AD667" w14:textId="3FB4F741" w:rsidR="00704260" w:rsidRPr="004B14BD" w:rsidRDefault="00704260" w:rsidP="00F714C2">
      <w:r w:rsidRPr="004B14BD">
        <w:t>Kølesystemer til administrationsbygning og batterirum indeholder kølemidlerne R4</w:t>
      </w:r>
      <w:r w:rsidR="00773BA9">
        <w:t>10A</w:t>
      </w:r>
      <w:r w:rsidR="0052319A" w:rsidRPr="004B14BD">
        <w:t xml:space="preserve"> </w:t>
      </w:r>
      <w:r w:rsidRPr="004B14BD">
        <w:t>og R32 (difluorometan). Begge kølemidler er brandfarlige gasser i kategori 1, der skal mærkes med H220. I kølesystemerne vil der totalt være 155,2 kg R32 og 1,6 kg R4</w:t>
      </w:r>
      <w:r w:rsidR="006A22DB">
        <w:t>10A</w:t>
      </w:r>
      <w:r w:rsidRPr="004B14BD">
        <w:t>.</w:t>
      </w:r>
      <w:r w:rsidR="0052319A" w:rsidRPr="004B14BD">
        <w:t xml:space="preserve"> </w:t>
      </w:r>
      <w:r w:rsidRPr="004B14BD">
        <w:t>Kolonne 2 tærskelværdien for brandfarlige gasser i risikobekendtgørelsen er 10</w:t>
      </w:r>
      <w:r w:rsidR="0052319A" w:rsidRPr="004B14BD">
        <w:t xml:space="preserve"> </w:t>
      </w:r>
      <w:r w:rsidRPr="004B14BD">
        <w:t>tons, og mængden af brandfarlige gasser på anlægget ligger dermed langt under</w:t>
      </w:r>
    </w:p>
    <w:p w14:paraId="6F9FE9A9" w14:textId="64A89FDB" w:rsidR="00704260" w:rsidRPr="004B14BD" w:rsidRDefault="00704260" w:rsidP="00F714C2">
      <w:r w:rsidRPr="004B14BD">
        <w:t>tærskelværdien.</w:t>
      </w:r>
    </w:p>
    <w:p w14:paraId="34098E18" w14:textId="77777777" w:rsidR="000E6706" w:rsidRPr="004B14BD" w:rsidRDefault="000E6706" w:rsidP="00F714C2"/>
    <w:p w14:paraId="64D3EABC" w14:textId="6D9CFA05" w:rsidR="00704260" w:rsidRPr="004B14BD" w:rsidRDefault="00704260" w:rsidP="00F714C2">
      <w:r w:rsidRPr="004B14BD">
        <w:t>Der oplagres ikke andre risikostoffer på virksomheden.</w:t>
      </w:r>
    </w:p>
    <w:p w14:paraId="6AF6570E" w14:textId="77777777" w:rsidR="000E6706" w:rsidRPr="004B14BD" w:rsidRDefault="000E6706" w:rsidP="00F714C2">
      <w:pPr>
        <w:rPr>
          <w:color w:val="FF0000"/>
        </w:rPr>
      </w:pPr>
    </w:p>
    <w:p w14:paraId="5D8EB669" w14:textId="1E109C08" w:rsidR="000E6706" w:rsidRPr="004B14BD" w:rsidRDefault="000E6706" w:rsidP="00F714C2">
      <w:r w:rsidRPr="004B14BD">
        <w:t>Høje-Taastrup Kommune vurderer</w:t>
      </w:r>
      <w:r w:rsidR="00A06BD1" w:rsidRPr="004B14BD">
        <w:t xml:space="preserve"> ud fra ovenstående</w:t>
      </w:r>
      <w:r w:rsidRPr="004B14BD">
        <w:t>, at Microsoft Ap</w:t>
      </w:r>
      <w:r w:rsidR="00E16ECA" w:rsidRPr="004B14BD">
        <w:t>S</w:t>
      </w:r>
      <w:r w:rsidRPr="004B14BD">
        <w:t xml:space="preserve"> ikke </w:t>
      </w:r>
      <w:r w:rsidR="00B751A3">
        <w:t xml:space="preserve">er </w:t>
      </w:r>
      <w:r w:rsidRPr="004B14BD">
        <w:t xml:space="preserve">omfattet af </w:t>
      </w:r>
      <w:r w:rsidR="005141B6" w:rsidRPr="004B14BD">
        <w:t>r</w:t>
      </w:r>
      <w:r w:rsidRPr="004B14BD">
        <w:t xml:space="preserve">isikobekendtgørelsen, da oplag af risikostoffer er mindre end tærskelværdien. </w:t>
      </w:r>
    </w:p>
    <w:p w14:paraId="66F95447" w14:textId="5526EBC2" w:rsidR="000B6712" w:rsidRPr="004B14BD" w:rsidRDefault="00F477A5" w:rsidP="0042027B">
      <w:pPr>
        <w:pStyle w:val="Overskrift2"/>
      </w:pPr>
      <w:bookmarkStart w:id="32" w:name="_Toc384208152"/>
      <w:bookmarkStart w:id="33" w:name="_Toc120196514"/>
      <w:bookmarkEnd w:id="30"/>
      <w:r w:rsidRPr="004B14BD">
        <w:t xml:space="preserve">2.3 </w:t>
      </w:r>
      <w:r w:rsidR="000B6712" w:rsidRPr="004B14BD">
        <w:t>Beliggenhed og planforhold</w:t>
      </w:r>
      <w:bookmarkEnd w:id="31"/>
      <w:bookmarkEnd w:id="32"/>
      <w:bookmarkEnd w:id="33"/>
    </w:p>
    <w:p w14:paraId="512F4DA3" w14:textId="4C759F48" w:rsidR="00AF47E5" w:rsidRPr="004B14BD" w:rsidRDefault="00AF47E5" w:rsidP="00AF47E5"/>
    <w:p w14:paraId="0B9BBC0A" w14:textId="4D3A9E6A" w:rsidR="000B6712" w:rsidRPr="004B14BD" w:rsidRDefault="000B6712" w:rsidP="00310F4C">
      <w:r w:rsidRPr="004B14BD">
        <w:t>Virksomheden etableres på</w:t>
      </w:r>
      <w:r w:rsidR="00EE7993" w:rsidRPr="004B14BD">
        <w:t xml:space="preserve"> Bohus Boulevard 2, 2630 Taastrup (matrikel nr. 3b </w:t>
      </w:r>
      <w:r w:rsidR="004B43F1">
        <w:t xml:space="preserve">og 12ch </w:t>
      </w:r>
      <w:r w:rsidR="00EE7993" w:rsidRPr="004B14BD">
        <w:t xml:space="preserve">Høje-Taastrup By, Høje-Taastrup). </w:t>
      </w:r>
    </w:p>
    <w:p w14:paraId="042D462F" w14:textId="77777777" w:rsidR="007A2AF1" w:rsidRPr="004B14BD" w:rsidRDefault="007A2AF1" w:rsidP="00310F4C">
      <w:pPr>
        <w:rPr>
          <w:bCs/>
          <w:color w:val="FF0000"/>
          <w:szCs w:val="19"/>
        </w:rPr>
      </w:pPr>
    </w:p>
    <w:p w14:paraId="689007CE" w14:textId="5A6F5E9C" w:rsidR="000B6712" w:rsidRPr="004B14BD" w:rsidRDefault="000B6712" w:rsidP="00310F4C">
      <w:pPr>
        <w:rPr>
          <w:bCs/>
          <w:szCs w:val="19"/>
        </w:rPr>
      </w:pPr>
      <w:r w:rsidRPr="004B14BD">
        <w:rPr>
          <w:bCs/>
          <w:szCs w:val="19"/>
        </w:rPr>
        <w:t xml:space="preserve">Ejendommen ligger i byzone og er omfattet af </w:t>
      </w:r>
      <w:r w:rsidR="00B80C4A" w:rsidRPr="004B14BD">
        <w:rPr>
          <w:bCs/>
          <w:szCs w:val="19"/>
        </w:rPr>
        <w:t xml:space="preserve">rammeområde 2.E.14 – Erhvervsområde ved Skåne og Bohus Boulevard, Høje Taastrup. </w:t>
      </w:r>
      <w:r w:rsidRPr="004B14BD">
        <w:rPr>
          <w:bCs/>
          <w:szCs w:val="19"/>
        </w:rPr>
        <w:t>Derudover er ejendommen omfattet af lokalplan 2.</w:t>
      </w:r>
      <w:r w:rsidR="00B80C4A" w:rsidRPr="004B14BD">
        <w:rPr>
          <w:bCs/>
          <w:szCs w:val="19"/>
        </w:rPr>
        <w:t>36</w:t>
      </w:r>
      <w:r w:rsidRPr="004B14BD">
        <w:rPr>
          <w:bCs/>
          <w:szCs w:val="19"/>
        </w:rPr>
        <w:t xml:space="preserve"> </w:t>
      </w:r>
      <w:r w:rsidR="00B80C4A" w:rsidRPr="004B14BD">
        <w:rPr>
          <w:bCs/>
          <w:szCs w:val="19"/>
        </w:rPr>
        <w:t>Datacenter og rekreativt område i Høje Taastrup</w:t>
      </w:r>
      <w:r w:rsidRPr="004B14BD">
        <w:rPr>
          <w:bCs/>
          <w:szCs w:val="19"/>
        </w:rPr>
        <w:t xml:space="preserve">. </w:t>
      </w:r>
    </w:p>
    <w:p w14:paraId="78884BC4" w14:textId="77777777" w:rsidR="000B6712" w:rsidRPr="004B14BD" w:rsidRDefault="000B6712" w:rsidP="00310F4C">
      <w:pPr>
        <w:rPr>
          <w:bCs/>
          <w:color w:val="FF0000"/>
          <w:szCs w:val="19"/>
        </w:rPr>
      </w:pPr>
    </w:p>
    <w:p w14:paraId="1FCF878E" w14:textId="3215B0E4" w:rsidR="000B6712" w:rsidRPr="004B14BD" w:rsidRDefault="000B6712" w:rsidP="00310F4C">
      <w:pPr>
        <w:rPr>
          <w:bCs/>
          <w:szCs w:val="19"/>
        </w:rPr>
      </w:pPr>
      <w:r w:rsidRPr="004B14BD">
        <w:rPr>
          <w:bCs/>
          <w:szCs w:val="19"/>
        </w:rPr>
        <w:t xml:space="preserve">I henhold til lokalplanen må området anvendes til </w:t>
      </w:r>
      <w:r w:rsidR="00B80C4A" w:rsidRPr="004B14BD">
        <w:rPr>
          <w:bCs/>
          <w:szCs w:val="19"/>
        </w:rPr>
        <w:t>datacenter samt et rekreativt område med regnvandsbassiner.</w:t>
      </w:r>
    </w:p>
    <w:p w14:paraId="325C2820" w14:textId="77777777" w:rsidR="0051151B" w:rsidRPr="004B14BD" w:rsidRDefault="0051151B" w:rsidP="00310F4C">
      <w:pPr>
        <w:rPr>
          <w:bCs/>
          <w:szCs w:val="19"/>
        </w:rPr>
      </w:pPr>
    </w:p>
    <w:p w14:paraId="11AA32ED" w14:textId="7BFF4A28" w:rsidR="0051151B" w:rsidRPr="004B14BD" w:rsidRDefault="0051151B" w:rsidP="00310F4C">
      <w:r w:rsidRPr="004B14BD">
        <w:rPr>
          <w:bCs/>
          <w:szCs w:val="19"/>
        </w:rPr>
        <w:t xml:space="preserve">I bilag </w:t>
      </w:r>
      <w:r w:rsidR="00A24C13">
        <w:rPr>
          <w:bCs/>
          <w:szCs w:val="19"/>
        </w:rPr>
        <w:t>3</w:t>
      </w:r>
      <w:r w:rsidR="00DB2351">
        <w:rPr>
          <w:bCs/>
          <w:szCs w:val="19"/>
        </w:rPr>
        <w:t xml:space="preserve"> til denne miljøgodkendelse</w:t>
      </w:r>
      <w:r w:rsidRPr="004B14BD">
        <w:rPr>
          <w:bCs/>
          <w:szCs w:val="19"/>
        </w:rPr>
        <w:t xml:space="preserve"> ses i øvrigt gældende lokalplanområder omkring virksomheden.</w:t>
      </w:r>
    </w:p>
    <w:p w14:paraId="0755D9B9" w14:textId="77777777" w:rsidR="000B6712" w:rsidRPr="004B14BD" w:rsidRDefault="000B6712" w:rsidP="00310F4C">
      <w:pPr>
        <w:rPr>
          <w:rFonts w:cs="Calibri"/>
          <w:szCs w:val="19"/>
        </w:rPr>
      </w:pPr>
    </w:p>
    <w:p w14:paraId="038E4249" w14:textId="77B59ED8" w:rsidR="000B6712" w:rsidRPr="004B14BD" w:rsidRDefault="000B6712" w:rsidP="00310F4C">
      <w:pPr>
        <w:rPr>
          <w:rFonts w:cs="Calibri"/>
          <w:szCs w:val="19"/>
        </w:rPr>
      </w:pPr>
      <w:r w:rsidRPr="004B14BD">
        <w:rPr>
          <w:rFonts w:cs="Calibri"/>
          <w:szCs w:val="19"/>
        </w:rPr>
        <w:t>Kommunen vurdere</w:t>
      </w:r>
      <w:r w:rsidR="0038599C" w:rsidRPr="004B14BD">
        <w:rPr>
          <w:rFonts w:cs="Calibri"/>
          <w:szCs w:val="19"/>
        </w:rPr>
        <w:t>r</w:t>
      </w:r>
      <w:r w:rsidRPr="004B14BD">
        <w:rPr>
          <w:rFonts w:cs="Calibri"/>
          <w:szCs w:val="19"/>
        </w:rPr>
        <w:t>, at virksomheden kan etableres inden for den anvendelse, som området er udlagt til i lokalplanen.</w:t>
      </w:r>
    </w:p>
    <w:p w14:paraId="199FD174" w14:textId="2C2DF356" w:rsidR="00707CDB" w:rsidRPr="004B14BD" w:rsidRDefault="00F477A5" w:rsidP="00707CDB">
      <w:pPr>
        <w:pStyle w:val="Overskrift2"/>
      </w:pPr>
      <w:bookmarkStart w:id="34" w:name="_Toc120196515"/>
      <w:r w:rsidRPr="004B14BD">
        <w:lastRenderedPageBreak/>
        <w:t xml:space="preserve">2.4 </w:t>
      </w:r>
      <w:r w:rsidR="00707CDB" w:rsidRPr="004B14BD">
        <w:t>Drikkevandsinteresser</w:t>
      </w:r>
      <w:bookmarkEnd w:id="34"/>
    </w:p>
    <w:p w14:paraId="73D0285F" w14:textId="679C0EC5" w:rsidR="000B6712" w:rsidRPr="004B14BD" w:rsidRDefault="00707CDB" w:rsidP="004C086E">
      <w:bookmarkStart w:id="35" w:name="_Toc384208154"/>
      <w:bookmarkStart w:id="36" w:name="_Toc326588487"/>
      <w:r w:rsidRPr="004B14BD">
        <w:t>Virksomheden er beliggende i et område med særlige drikkevandsinteresser (OSD)</w:t>
      </w:r>
      <w:r w:rsidR="00E01D84" w:rsidRPr="004B14BD">
        <w:t xml:space="preserve"> og indenfor </w:t>
      </w:r>
      <w:r w:rsidR="00FF759C" w:rsidRPr="004B14BD">
        <w:t xml:space="preserve">Ishøj og Solhøj </w:t>
      </w:r>
      <w:r w:rsidR="00E01D84" w:rsidRPr="004B14BD">
        <w:t>indsatsplan for grundvandsbeskyttelse</w:t>
      </w:r>
      <w:r w:rsidRPr="004B14BD">
        <w:t>.</w:t>
      </w:r>
      <w:r w:rsidR="00FF759C" w:rsidRPr="004B14BD">
        <w:t xml:space="preserve"> Der skal derfor tages særligt hensyn til beskyttelse af grundvandet i dette område.</w:t>
      </w:r>
    </w:p>
    <w:p w14:paraId="5E71FB6B" w14:textId="55C72D48" w:rsidR="00FF759C" w:rsidRPr="004B14BD" w:rsidRDefault="00FF759C" w:rsidP="004C086E"/>
    <w:p w14:paraId="35863674" w14:textId="3BD9185C" w:rsidR="00D34BC6" w:rsidRPr="004B14BD" w:rsidRDefault="00FF759C" w:rsidP="004C086E">
      <w:r w:rsidRPr="004B14BD">
        <w:t xml:space="preserve">Der vil blive stillet </w:t>
      </w:r>
      <w:r w:rsidR="00A25CDC" w:rsidRPr="004B14BD">
        <w:t xml:space="preserve">vilkår om </w:t>
      </w:r>
      <w:r w:rsidRPr="004B14BD">
        <w:t>forebyggende tiltag til sikring af jord og grundvand i forhold til indretning, drift og vedligehold af tanke, installationer, belægninger mv. i forbindelse med nødstrømsanlægget.</w:t>
      </w:r>
    </w:p>
    <w:p w14:paraId="5426EE1F" w14:textId="5A52817C" w:rsidR="00C906BA" w:rsidRPr="004B14BD" w:rsidRDefault="00F477A5" w:rsidP="00C906BA">
      <w:pPr>
        <w:pStyle w:val="Overskrift2"/>
      </w:pPr>
      <w:bookmarkStart w:id="37" w:name="_Toc120196516"/>
      <w:r w:rsidRPr="004B14BD">
        <w:t xml:space="preserve">2.5 </w:t>
      </w:r>
      <w:r w:rsidR="00D34BC6" w:rsidRPr="004B14BD">
        <w:t>Indretning og drift</w:t>
      </w:r>
      <w:bookmarkEnd w:id="37"/>
    </w:p>
    <w:p w14:paraId="2B9144BF" w14:textId="77777777" w:rsidR="00285367" w:rsidRPr="00285367" w:rsidRDefault="00285367" w:rsidP="00285367">
      <w:pPr>
        <w:rPr>
          <w:color w:val="FF0000"/>
        </w:rPr>
      </w:pPr>
    </w:p>
    <w:p w14:paraId="13A9C551" w14:textId="49B3D398" w:rsidR="000B6712" w:rsidRPr="004B14BD" w:rsidRDefault="005B34C6" w:rsidP="004C086E">
      <w:pPr>
        <w:rPr>
          <w:b/>
          <w:bCs/>
        </w:rPr>
      </w:pPr>
      <w:r w:rsidRPr="004B14BD">
        <w:rPr>
          <w:b/>
          <w:bCs/>
        </w:rPr>
        <w:t>Indretning</w:t>
      </w:r>
      <w:r w:rsidR="0068166E" w:rsidRPr="004B14BD">
        <w:rPr>
          <w:b/>
          <w:bCs/>
        </w:rPr>
        <w:t xml:space="preserve"> af </w:t>
      </w:r>
      <w:bookmarkEnd w:id="35"/>
      <w:bookmarkEnd w:id="36"/>
      <w:r w:rsidR="00D34BC6" w:rsidRPr="004B14BD">
        <w:rPr>
          <w:b/>
          <w:bCs/>
        </w:rPr>
        <w:t>datacentret</w:t>
      </w:r>
    </w:p>
    <w:p w14:paraId="333A0336" w14:textId="77777777" w:rsidR="00FD62B8" w:rsidRPr="004B14BD" w:rsidRDefault="00FD62B8" w:rsidP="004C086E">
      <w:pPr>
        <w:rPr>
          <w:b/>
          <w:bCs/>
        </w:rPr>
      </w:pPr>
    </w:p>
    <w:p w14:paraId="74353A48" w14:textId="111D952D" w:rsidR="00992CAC" w:rsidRPr="004B14BD" w:rsidRDefault="00992CAC" w:rsidP="00992CAC">
      <w:pPr>
        <w:rPr>
          <w:szCs w:val="24"/>
        </w:rPr>
      </w:pPr>
      <w:r w:rsidRPr="004B14BD">
        <w:rPr>
          <w:szCs w:val="24"/>
        </w:rPr>
        <w:t xml:space="preserve">Microsoft Danmark ApS ønsker opført et nyt datacenter på Bohus Boulevard 2 i Høje-Taastrup. Projektet </w:t>
      </w:r>
      <w:r w:rsidR="00B943E2">
        <w:rPr>
          <w:szCs w:val="24"/>
        </w:rPr>
        <w:t>vil, når det er færdigt, bestå</w:t>
      </w:r>
      <w:r w:rsidRPr="004B14BD">
        <w:rPr>
          <w:szCs w:val="24"/>
        </w:rPr>
        <w:t xml:space="preserve"> af 4 datahaller</w:t>
      </w:r>
      <w:r w:rsidR="000E041C">
        <w:rPr>
          <w:szCs w:val="24"/>
        </w:rPr>
        <w:t xml:space="preserve"> (colo 1-4)</w:t>
      </w:r>
      <w:r w:rsidRPr="004B14BD">
        <w:rPr>
          <w:szCs w:val="24"/>
        </w:rPr>
        <w:t xml:space="preserve">, administrationsbygning, nødstrømsanlæg, interne veje og parkeringsarealer, transformerstation, 2 regnvandsbassiner mv. </w:t>
      </w:r>
    </w:p>
    <w:p w14:paraId="49775141" w14:textId="77777777" w:rsidR="00992CAC" w:rsidRPr="004B14BD" w:rsidRDefault="00992CAC" w:rsidP="004C086E">
      <w:pPr>
        <w:rPr>
          <w:szCs w:val="24"/>
        </w:rPr>
      </w:pPr>
    </w:p>
    <w:p w14:paraId="5B3ADF80" w14:textId="1AA03DAE" w:rsidR="003E5400" w:rsidRDefault="003E5400" w:rsidP="003E5400">
      <w:pPr>
        <w:rPr>
          <w:szCs w:val="24"/>
        </w:rPr>
      </w:pPr>
      <w:r w:rsidRPr="004B14BD">
        <w:rPr>
          <w:szCs w:val="24"/>
        </w:rPr>
        <w:t xml:space="preserve">Transformerstationen er ikke medtaget i ansøgning om miljøgodkendelse, da den anlægges af en anden part. Dog er støj fra den kommende transformerstation medtaget i den støjberegning, der er vedlagt som bilag 4 </w:t>
      </w:r>
      <w:r w:rsidR="004560D5">
        <w:rPr>
          <w:szCs w:val="24"/>
        </w:rPr>
        <w:t xml:space="preserve">”Støjredegørelse” </w:t>
      </w:r>
      <w:r w:rsidRPr="004B14BD">
        <w:rPr>
          <w:szCs w:val="24"/>
        </w:rPr>
        <w:t>til ansøgning om miljøgodkendelse. Se yderligere om støj i afsnit</w:t>
      </w:r>
      <w:r w:rsidR="000D7308">
        <w:rPr>
          <w:szCs w:val="24"/>
        </w:rPr>
        <w:t xml:space="preserve"> 2.6 Støj i</w:t>
      </w:r>
      <w:r w:rsidRPr="004B14BD">
        <w:rPr>
          <w:szCs w:val="24"/>
        </w:rPr>
        <w:t xml:space="preserve"> denne miljøgodkendelse.</w:t>
      </w:r>
    </w:p>
    <w:p w14:paraId="25810FC9" w14:textId="77777777" w:rsidR="003E5400" w:rsidRPr="004B14BD" w:rsidRDefault="003E5400" w:rsidP="003E5400">
      <w:pPr>
        <w:rPr>
          <w:szCs w:val="24"/>
        </w:rPr>
      </w:pPr>
    </w:p>
    <w:p w14:paraId="35DE6EC1" w14:textId="3909D684" w:rsidR="00D34BC6" w:rsidRPr="004B14BD" w:rsidRDefault="00D34BC6" w:rsidP="004C086E">
      <w:pPr>
        <w:rPr>
          <w:szCs w:val="24"/>
        </w:rPr>
      </w:pPr>
      <w:r w:rsidRPr="004B14BD">
        <w:rPr>
          <w:szCs w:val="24"/>
        </w:rPr>
        <w:t>Datacenteret er som helhed ikke omfattet af godkendelsespligt, men nødstrømsanlægget er en godkendelsespligtig biaktivitet. Ansøgning om miljøgodkendelse omhandler derfor kun nødstrømsanlægget samt d</w:t>
      </w:r>
      <w:r w:rsidR="007A3D08" w:rsidRPr="004B14BD">
        <w:rPr>
          <w:szCs w:val="24"/>
        </w:rPr>
        <w:t>e</w:t>
      </w:r>
      <w:r w:rsidRPr="004B14BD">
        <w:rPr>
          <w:szCs w:val="24"/>
        </w:rPr>
        <w:t xml:space="preserve"> aktiviteter</w:t>
      </w:r>
      <w:r w:rsidR="007A3D08" w:rsidRPr="004B14BD">
        <w:rPr>
          <w:szCs w:val="24"/>
        </w:rPr>
        <w:t>,</w:t>
      </w:r>
      <w:r w:rsidRPr="004B14BD">
        <w:rPr>
          <w:szCs w:val="24"/>
        </w:rPr>
        <w:t xml:space="preserve"> der er forbundet hermed.</w:t>
      </w:r>
    </w:p>
    <w:p w14:paraId="6797EF25" w14:textId="3560C1EC" w:rsidR="00992CAC" w:rsidRPr="00A23D90" w:rsidRDefault="00992CAC" w:rsidP="00992CAC">
      <w:pPr>
        <w:rPr>
          <w:szCs w:val="24"/>
        </w:rPr>
      </w:pPr>
    </w:p>
    <w:p w14:paraId="763D6B80" w14:textId="77777777" w:rsidR="00281D8A" w:rsidRPr="00A23D90" w:rsidRDefault="00281D8A" w:rsidP="00281D8A">
      <w:r w:rsidRPr="00A23D90">
        <w:t>Nødstrømsanlægget vil fuldt udbygget bestå af 16 dieseldrevne generatorer til selve datacentret med en indfyret effekt på hver 7,5 MW samt et selvstændigt nødstrømsanlæg til administrationsbygningen med en indfyret effekt på 1,21 MW. Nødstrømsanlægget til datacentret og administrationsbygningen har en samlet indfyret effekt på 121,21 MW og placeres dermed under Godkendelsesbekendtgørelsens</w:t>
      </w:r>
      <w:r w:rsidRPr="00A23D90">
        <w:rPr>
          <w:rStyle w:val="Fodnotehenvisning"/>
        </w:rPr>
        <w:footnoteReference w:id="16"/>
      </w:r>
      <w:r w:rsidRPr="00A23D90">
        <w:t xml:space="preserve"> bilag 1:</w:t>
      </w:r>
    </w:p>
    <w:p w14:paraId="2D51FC8C" w14:textId="77777777" w:rsidR="00281D8A" w:rsidRPr="00A23D90" w:rsidRDefault="00281D8A" w:rsidP="00281D8A"/>
    <w:p w14:paraId="3D5241D4" w14:textId="77777777" w:rsidR="00281D8A" w:rsidRPr="00A23D90" w:rsidRDefault="00281D8A" w:rsidP="00281D8A">
      <w:r w:rsidRPr="00A23D90">
        <w:rPr>
          <w:i/>
        </w:rPr>
        <w:t>Punkt 1.1B: Forbrænding af brændsel i anlæg med en samlet nominel indfyret termisk effekt på 50 MW eller derover, hvor brændslet er andet end kul og/eller orimulsion.</w:t>
      </w:r>
    </w:p>
    <w:p w14:paraId="5BFC39AC" w14:textId="77777777" w:rsidR="00281D8A" w:rsidRPr="00A23D90" w:rsidRDefault="00281D8A" w:rsidP="00992CAC">
      <w:pPr>
        <w:rPr>
          <w:szCs w:val="24"/>
        </w:rPr>
      </w:pPr>
    </w:p>
    <w:p w14:paraId="1426F3B9" w14:textId="269D83C6" w:rsidR="00281D8A" w:rsidRPr="00A23D90" w:rsidRDefault="00281D8A" w:rsidP="00992CAC">
      <w:r w:rsidRPr="00A23D90">
        <w:t>Nødstrømsanlægget vil være i drift ved svigt i elforsyningen og ved periodiske test i dagtimerne; i alt 96 timer pr. år.</w:t>
      </w:r>
    </w:p>
    <w:p w14:paraId="75A5BE51" w14:textId="77777777" w:rsidR="00C906BA" w:rsidRPr="004B14BD" w:rsidRDefault="00C906BA" w:rsidP="004C086E"/>
    <w:p w14:paraId="53BCAC88" w14:textId="07A2DC7D" w:rsidR="00C906BA" w:rsidRPr="004B14BD" w:rsidRDefault="00C906BA" w:rsidP="00245339">
      <w:r w:rsidRPr="004B14BD">
        <w:t xml:space="preserve">Ansøgningen vil blive vurderet i de følgende afsnit. For yderligere </w:t>
      </w:r>
      <w:r w:rsidR="002A3CC2" w:rsidRPr="004B14BD">
        <w:t xml:space="preserve">og mere uddybende </w:t>
      </w:r>
      <w:r w:rsidRPr="004B14BD">
        <w:t>oplysninger</w:t>
      </w:r>
      <w:r w:rsidR="002A3CC2" w:rsidRPr="004B14BD">
        <w:t>,</w:t>
      </w:r>
      <w:r w:rsidRPr="004B14BD">
        <w:t xml:space="preserve"> end hvad der fremgår af miljøgodkendelsen, henvises der til ansøgningsmaterialet, jf. bilag </w:t>
      </w:r>
      <w:r w:rsidR="00DB2351">
        <w:t xml:space="preserve">1 </w:t>
      </w:r>
      <w:r w:rsidR="00CA188F">
        <w:t xml:space="preserve">og 2 </w:t>
      </w:r>
      <w:r w:rsidR="005D4265">
        <w:t>til</w:t>
      </w:r>
      <w:r w:rsidR="00DB2351">
        <w:t xml:space="preserve"> denne miljøgodkendelse</w:t>
      </w:r>
      <w:r w:rsidR="003F4501">
        <w:t>:</w:t>
      </w:r>
      <w:r w:rsidR="00245339">
        <w:t xml:space="preserve"> ”Ansøgning om miljøgodkendelse af 20. december 2022” og ”Bilag til ansøgning om miljøgodkendelse af 20. december 2022.”</w:t>
      </w:r>
    </w:p>
    <w:p w14:paraId="74366453" w14:textId="27B1D999" w:rsidR="003D5859" w:rsidRPr="004B14BD" w:rsidRDefault="003D5859" w:rsidP="004C086E">
      <w:pPr>
        <w:rPr>
          <w:color w:val="FF0000"/>
          <w:szCs w:val="24"/>
        </w:rPr>
      </w:pPr>
    </w:p>
    <w:p w14:paraId="6CB7C53E" w14:textId="77084426" w:rsidR="00A23D90" w:rsidRPr="00A23D90" w:rsidRDefault="00A23D90" w:rsidP="00A23D90">
      <w:r w:rsidRPr="00A23D90">
        <w:t xml:space="preserve">Det samlede projekt vil være faseopdelt for de 4 datahaller (colo’er). </w:t>
      </w:r>
    </w:p>
    <w:p w14:paraId="3C7AE911" w14:textId="77777777" w:rsidR="003D5859" w:rsidRPr="004B14BD" w:rsidRDefault="003D5859" w:rsidP="00A60292">
      <w:pPr>
        <w:rPr>
          <w:color w:val="FF0000"/>
          <w:szCs w:val="24"/>
        </w:rPr>
      </w:pPr>
    </w:p>
    <w:p w14:paraId="38A9FCE8" w14:textId="34CC3D19" w:rsidR="008A5A36" w:rsidRPr="004B14BD" w:rsidRDefault="008A5A36" w:rsidP="008A5A36">
      <w:pPr>
        <w:rPr>
          <w:szCs w:val="24"/>
        </w:rPr>
      </w:pPr>
      <w:r w:rsidRPr="004B14BD">
        <w:rPr>
          <w:b/>
          <w:szCs w:val="24"/>
          <w:u w:val="single"/>
        </w:rPr>
        <w:t>I fase 1</w:t>
      </w:r>
      <w:r w:rsidRPr="004B14BD">
        <w:rPr>
          <w:szCs w:val="24"/>
        </w:rPr>
        <w:t xml:space="preserve"> opføres 4 identiske bygninger/datahaller</w:t>
      </w:r>
      <w:r w:rsidR="000E041C">
        <w:rPr>
          <w:szCs w:val="24"/>
        </w:rPr>
        <w:t xml:space="preserve"> (colo 1-4)</w:t>
      </w:r>
      <w:r w:rsidRPr="004B14BD">
        <w:rPr>
          <w:szCs w:val="24"/>
        </w:rPr>
        <w:t xml:space="preserve">. Der sker udelukkende fuld installation i to bygninger, de resterende to </w:t>
      </w:r>
      <w:r w:rsidR="003D468C" w:rsidRPr="004B14BD">
        <w:rPr>
          <w:szCs w:val="24"/>
        </w:rPr>
        <w:t xml:space="preserve">haller </w:t>
      </w:r>
      <w:r w:rsidRPr="004B14BD">
        <w:rPr>
          <w:szCs w:val="24"/>
        </w:rPr>
        <w:t>etableres som en tom bygningsskal. Derudover opføres administrationsbygning, interne veje og parkeringsarealer, to forsinkelsesbassiner samt en række mindre</w:t>
      </w:r>
      <w:r w:rsidR="0044212B">
        <w:rPr>
          <w:szCs w:val="24"/>
        </w:rPr>
        <w:t xml:space="preserve"> </w:t>
      </w:r>
      <w:r w:rsidRPr="004B14BD">
        <w:rPr>
          <w:szCs w:val="24"/>
        </w:rPr>
        <w:t>tekniske bygninger. Der opføres desuden en park i den østlige del af projektområdet.</w:t>
      </w:r>
    </w:p>
    <w:p w14:paraId="6C583056" w14:textId="77777777" w:rsidR="008A5A36" w:rsidRPr="004B14BD" w:rsidRDefault="008A5A36" w:rsidP="008A5A36">
      <w:pPr>
        <w:rPr>
          <w:color w:val="FF0000"/>
          <w:szCs w:val="24"/>
        </w:rPr>
      </w:pPr>
    </w:p>
    <w:p w14:paraId="0E434E34" w14:textId="3B804FCE" w:rsidR="008A5A36" w:rsidRPr="004B14BD" w:rsidRDefault="00FB4E47" w:rsidP="008A5A36">
      <w:pPr>
        <w:rPr>
          <w:szCs w:val="24"/>
        </w:rPr>
      </w:pPr>
      <w:r w:rsidRPr="004B14BD">
        <w:rPr>
          <w:szCs w:val="24"/>
        </w:rPr>
        <w:t xml:space="preserve">Hertil </w:t>
      </w:r>
      <w:r w:rsidR="008A5A36" w:rsidRPr="004B14BD">
        <w:rPr>
          <w:szCs w:val="24"/>
        </w:rPr>
        <w:t>opføres et dieseldrevet nødstrømsanlæg på 60 MW indfyret effekt (2 datahaller med hver 4 generatorer á 7,5 MW indfyret effekt). Samt en mindre generator (1,21 MW indfyret effekt) til nødforsyning af administrationsbygningen.</w:t>
      </w:r>
    </w:p>
    <w:p w14:paraId="471BD737" w14:textId="77777777" w:rsidR="008A5A36" w:rsidRPr="004B14BD" w:rsidRDefault="008A5A36" w:rsidP="008A5A36">
      <w:pPr>
        <w:rPr>
          <w:szCs w:val="24"/>
        </w:rPr>
      </w:pPr>
    </w:p>
    <w:p w14:paraId="6010C2DA" w14:textId="7E10004E" w:rsidR="003974AC" w:rsidRPr="00A23D90" w:rsidRDefault="008A5A36" w:rsidP="008A5A36">
      <w:pPr>
        <w:rPr>
          <w:b/>
          <w:szCs w:val="24"/>
          <w:u w:val="single"/>
        </w:rPr>
      </w:pPr>
      <w:r w:rsidRPr="00A23D90">
        <w:rPr>
          <w:b/>
          <w:szCs w:val="24"/>
          <w:u w:val="single"/>
        </w:rPr>
        <w:t>Fase 2</w:t>
      </w:r>
    </w:p>
    <w:p w14:paraId="671E7976" w14:textId="144EF322" w:rsidR="008A5A36" w:rsidRPr="004B14BD" w:rsidRDefault="00A23D90" w:rsidP="008A5A36">
      <w:pPr>
        <w:rPr>
          <w:szCs w:val="24"/>
        </w:rPr>
      </w:pPr>
      <w:r w:rsidRPr="00A23D90">
        <w:t>I løbet af en kortere årrække forventes det</w:t>
      </w:r>
      <w:r w:rsidR="003F6BF1">
        <w:t>,</w:t>
      </w:r>
      <w:r w:rsidRPr="00A23D90">
        <w:t xml:space="preserve"> at fase 2 påbegyndes</w:t>
      </w:r>
      <w:r w:rsidRPr="00A23D90">
        <w:rPr>
          <w:szCs w:val="24"/>
        </w:rPr>
        <w:t xml:space="preserve">. </w:t>
      </w:r>
      <w:r w:rsidR="008A5A36" w:rsidRPr="00A23D90">
        <w:rPr>
          <w:szCs w:val="24"/>
        </w:rPr>
        <w:t xml:space="preserve">De </w:t>
      </w:r>
      <w:r w:rsidR="008A5A36" w:rsidRPr="004B14BD">
        <w:rPr>
          <w:szCs w:val="24"/>
        </w:rPr>
        <w:t>2 tomme bygningsskaller installeres</w:t>
      </w:r>
      <w:r w:rsidR="003938FC" w:rsidRPr="004B14BD">
        <w:rPr>
          <w:szCs w:val="24"/>
        </w:rPr>
        <w:t>,</w:t>
      </w:r>
      <w:r w:rsidR="008A5A36" w:rsidRPr="004B14BD">
        <w:rPr>
          <w:szCs w:val="24"/>
        </w:rPr>
        <w:t xml:space="preserve"> og der etableres nødstrømsanlæg til disse</w:t>
      </w:r>
      <w:r w:rsidR="000E4BE9">
        <w:rPr>
          <w:szCs w:val="24"/>
        </w:rPr>
        <w:t xml:space="preserve"> </w:t>
      </w:r>
      <w:r w:rsidR="008A5A36" w:rsidRPr="004B14BD">
        <w:rPr>
          <w:szCs w:val="24"/>
        </w:rPr>
        <w:t>på i alt 60 MW indfyret effekt (2 datahaller med hver 4 generatorer á 7,5 MW</w:t>
      </w:r>
      <w:r w:rsidR="000E4BE9">
        <w:rPr>
          <w:szCs w:val="24"/>
        </w:rPr>
        <w:t xml:space="preserve"> </w:t>
      </w:r>
      <w:r w:rsidR="008A5A36" w:rsidRPr="004B14BD">
        <w:rPr>
          <w:szCs w:val="24"/>
        </w:rPr>
        <w:t>indfyret effekt). Det samlede nødstrømsanlæg vil i fase 1+2 i alt have en nominel indfyret effekt på 121,21</w:t>
      </w:r>
      <w:r w:rsidR="000E4BE9">
        <w:rPr>
          <w:szCs w:val="24"/>
        </w:rPr>
        <w:t xml:space="preserve"> </w:t>
      </w:r>
      <w:r w:rsidR="008A5A36" w:rsidRPr="004B14BD">
        <w:rPr>
          <w:szCs w:val="24"/>
        </w:rPr>
        <w:t>MW.</w:t>
      </w:r>
    </w:p>
    <w:p w14:paraId="22A2C3E5" w14:textId="4344EA0C" w:rsidR="00A13417" w:rsidRPr="004B14BD" w:rsidRDefault="00A13417" w:rsidP="00A60292">
      <w:pPr>
        <w:rPr>
          <w:color w:val="FF0000"/>
          <w:szCs w:val="24"/>
        </w:rPr>
      </w:pPr>
    </w:p>
    <w:tbl>
      <w:tblPr>
        <w:tblStyle w:val="Tabel-Gitter"/>
        <w:tblW w:w="5000" w:type="pct"/>
        <w:tblLook w:val="04A0" w:firstRow="1" w:lastRow="0" w:firstColumn="1" w:lastColumn="0" w:noHBand="0" w:noVBand="1"/>
      </w:tblPr>
      <w:tblGrid>
        <w:gridCol w:w="8354"/>
      </w:tblGrid>
      <w:tr w:rsidR="000006E9" w:rsidRPr="004B14BD" w14:paraId="76A58686" w14:textId="77777777" w:rsidTr="0017790E">
        <w:trPr>
          <w:trHeight w:val="6989"/>
        </w:trPr>
        <w:tc>
          <w:tcPr>
            <w:tcW w:w="5000" w:type="pct"/>
          </w:tcPr>
          <w:p w14:paraId="431E2606" w14:textId="32E462E2" w:rsidR="000006E9" w:rsidRPr="004B14BD" w:rsidRDefault="000006E9" w:rsidP="00A60292">
            <w:pPr>
              <w:rPr>
                <w:color w:val="FF0000"/>
                <w:szCs w:val="24"/>
              </w:rPr>
            </w:pPr>
            <w:r w:rsidRPr="004B14BD">
              <w:rPr>
                <w:noProof/>
                <w:color w:val="FF0000"/>
                <w:szCs w:val="24"/>
              </w:rPr>
              <w:drawing>
                <wp:inline distT="0" distB="0" distL="0" distR="0" wp14:anchorId="7EB25529" wp14:editId="62F95632">
                  <wp:extent cx="5206121" cy="3904591"/>
                  <wp:effectExtent l="0" t="0" r="0" b="127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crosoft.jpg"/>
                          <pic:cNvPicPr/>
                        </pic:nvPicPr>
                        <pic:blipFill>
                          <a:blip r:embed="rId12">
                            <a:extLst>
                              <a:ext uri="{28A0092B-C50C-407E-A947-70E740481C1C}">
                                <a14:useLocalDpi xmlns:a14="http://schemas.microsoft.com/office/drawing/2010/main" val="0"/>
                              </a:ext>
                            </a:extLst>
                          </a:blip>
                          <a:stretch>
                            <a:fillRect/>
                          </a:stretch>
                        </pic:blipFill>
                        <pic:spPr>
                          <a:xfrm>
                            <a:off x="0" y="0"/>
                            <a:ext cx="5227510" cy="3920633"/>
                          </a:xfrm>
                          <a:prstGeom prst="rect">
                            <a:avLst/>
                          </a:prstGeom>
                        </pic:spPr>
                      </pic:pic>
                    </a:graphicData>
                  </a:graphic>
                </wp:inline>
              </w:drawing>
            </w:r>
          </w:p>
        </w:tc>
      </w:tr>
    </w:tbl>
    <w:p w14:paraId="429902DC" w14:textId="450B4BDB" w:rsidR="000006E9" w:rsidRPr="004B14BD" w:rsidRDefault="000006E9" w:rsidP="00A60292">
      <w:pPr>
        <w:rPr>
          <w:szCs w:val="24"/>
        </w:rPr>
      </w:pPr>
      <w:r w:rsidRPr="004B14BD">
        <w:rPr>
          <w:szCs w:val="24"/>
        </w:rPr>
        <w:t xml:space="preserve">Figur </w:t>
      </w:r>
      <w:r w:rsidR="006E1EFB">
        <w:rPr>
          <w:szCs w:val="24"/>
        </w:rPr>
        <w:t>1.</w:t>
      </w:r>
      <w:r w:rsidRPr="004B14BD">
        <w:rPr>
          <w:szCs w:val="24"/>
        </w:rPr>
        <w:t xml:space="preserve"> Oversigtsplan af datacenter </w:t>
      </w:r>
      <w:r w:rsidR="00AE6D9E" w:rsidRPr="004B14BD">
        <w:rPr>
          <w:szCs w:val="24"/>
        </w:rPr>
        <w:t>med nødstrømsanlæg</w:t>
      </w:r>
    </w:p>
    <w:p w14:paraId="0A845327" w14:textId="77777777" w:rsidR="00CD0A9A" w:rsidRPr="004B14BD" w:rsidRDefault="00CD0A9A" w:rsidP="00A60292">
      <w:pPr>
        <w:rPr>
          <w:szCs w:val="24"/>
        </w:rPr>
      </w:pPr>
    </w:p>
    <w:p w14:paraId="09077113" w14:textId="7D89988D" w:rsidR="00820A51" w:rsidRPr="004B14BD" w:rsidRDefault="00820A51" w:rsidP="00BC6275">
      <w:pPr>
        <w:rPr>
          <w:color w:val="FF0000"/>
          <w:szCs w:val="24"/>
        </w:rPr>
      </w:pPr>
    </w:p>
    <w:p w14:paraId="25B2D7AB" w14:textId="4DB0A38C" w:rsidR="00A60292" w:rsidRPr="004B14BD" w:rsidRDefault="00820A51" w:rsidP="00A60292">
      <w:pPr>
        <w:rPr>
          <w:b/>
          <w:szCs w:val="24"/>
          <w:u w:val="single"/>
        </w:rPr>
      </w:pPr>
      <w:r w:rsidRPr="004B14BD">
        <w:rPr>
          <w:b/>
          <w:szCs w:val="24"/>
          <w:u w:val="single"/>
        </w:rPr>
        <w:t>Fase 1 og 2</w:t>
      </w:r>
    </w:p>
    <w:p w14:paraId="4D920F31" w14:textId="3B935D67" w:rsidR="00030EEA" w:rsidRPr="004B14BD" w:rsidRDefault="00030EEA" w:rsidP="00030EEA">
      <w:pPr>
        <w:rPr>
          <w:szCs w:val="24"/>
        </w:rPr>
      </w:pPr>
      <w:r w:rsidRPr="004B14BD">
        <w:rPr>
          <w:szCs w:val="24"/>
        </w:rPr>
        <w:t xml:space="preserve">Til hver nødstrømsgenerator er der etableret </w:t>
      </w:r>
      <w:r w:rsidR="00240745">
        <w:rPr>
          <w:szCs w:val="24"/>
        </w:rPr>
        <w:t xml:space="preserve">en </w:t>
      </w:r>
      <w:r w:rsidRPr="004B14BD">
        <w:rPr>
          <w:szCs w:val="24"/>
        </w:rPr>
        <w:t>overjordisk dobbeltvægge</w:t>
      </w:r>
      <w:r w:rsidR="00240745">
        <w:rPr>
          <w:szCs w:val="24"/>
        </w:rPr>
        <w:t>t</w:t>
      </w:r>
      <w:r w:rsidRPr="004B14BD">
        <w:rPr>
          <w:szCs w:val="24"/>
        </w:rPr>
        <w:t xml:space="preserve"> ståltan</w:t>
      </w:r>
      <w:r w:rsidR="00240745">
        <w:rPr>
          <w:szCs w:val="24"/>
        </w:rPr>
        <w:t xml:space="preserve">k </w:t>
      </w:r>
      <w:r w:rsidRPr="004B14BD">
        <w:rPr>
          <w:szCs w:val="24"/>
        </w:rPr>
        <w:t>med lækagedetektion til oplag af diesel. Hver tank har en kapacitet på 3</w:t>
      </w:r>
      <w:r w:rsidR="00B31DDE" w:rsidRPr="004B14BD">
        <w:rPr>
          <w:szCs w:val="24"/>
        </w:rPr>
        <w:t>3,6</w:t>
      </w:r>
      <w:r w:rsidRPr="004B14BD">
        <w:rPr>
          <w:szCs w:val="24"/>
        </w:rPr>
        <w:t xml:space="preserve"> m</w:t>
      </w:r>
      <w:r w:rsidRPr="004B14BD">
        <w:rPr>
          <w:szCs w:val="24"/>
          <w:vertAlign w:val="superscript"/>
        </w:rPr>
        <w:t>3</w:t>
      </w:r>
      <w:r w:rsidRPr="004B14BD">
        <w:rPr>
          <w:szCs w:val="24"/>
        </w:rPr>
        <w:t xml:space="preserve"> </w:t>
      </w:r>
      <w:r w:rsidR="00B6707A" w:rsidRPr="004B14BD">
        <w:rPr>
          <w:szCs w:val="24"/>
        </w:rPr>
        <w:t xml:space="preserve">og et brændstof volumen på </w:t>
      </w:r>
      <w:r w:rsidR="00B31DDE" w:rsidRPr="004B14BD">
        <w:rPr>
          <w:szCs w:val="24"/>
        </w:rPr>
        <w:t>28</w:t>
      </w:r>
      <w:r w:rsidR="00B6707A" w:rsidRPr="004B14BD">
        <w:rPr>
          <w:szCs w:val="24"/>
        </w:rPr>
        <w:t xml:space="preserve"> m</w:t>
      </w:r>
      <w:r w:rsidR="00B6707A" w:rsidRPr="004B14BD">
        <w:rPr>
          <w:szCs w:val="24"/>
          <w:vertAlign w:val="superscript"/>
        </w:rPr>
        <w:t>3</w:t>
      </w:r>
      <w:r w:rsidR="00B6707A" w:rsidRPr="004B14BD">
        <w:rPr>
          <w:szCs w:val="24"/>
        </w:rPr>
        <w:t xml:space="preserve"> </w:t>
      </w:r>
      <w:r w:rsidRPr="004B14BD">
        <w:rPr>
          <w:szCs w:val="24"/>
        </w:rPr>
        <w:t>samt et mindre tankanlæg på</w:t>
      </w:r>
      <w:r w:rsidR="00B31DDE" w:rsidRPr="004B14BD">
        <w:rPr>
          <w:szCs w:val="24"/>
        </w:rPr>
        <w:t xml:space="preserve"> 6</w:t>
      </w:r>
      <w:r w:rsidRPr="004B14BD">
        <w:rPr>
          <w:szCs w:val="24"/>
        </w:rPr>
        <w:t xml:space="preserve"> m</w:t>
      </w:r>
      <w:r w:rsidRPr="004B14BD">
        <w:rPr>
          <w:szCs w:val="24"/>
          <w:vertAlign w:val="superscript"/>
        </w:rPr>
        <w:t>3</w:t>
      </w:r>
      <w:r w:rsidR="00B6707A" w:rsidRPr="004B14BD">
        <w:rPr>
          <w:szCs w:val="24"/>
        </w:rPr>
        <w:t xml:space="preserve"> og et brændstof volumen på </w:t>
      </w:r>
      <w:r w:rsidR="00B31DDE" w:rsidRPr="004B14BD">
        <w:rPr>
          <w:szCs w:val="24"/>
        </w:rPr>
        <w:t>5</w:t>
      </w:r>
      <w:r w:rsidR="00B6707A" w:rsidRPr="004B14BD">
        <w:rPr>
          <w:szCs w:val="24"/>
        </w:rPr>
        <w:t xml:space="preserve"> m</w:t>
      </w:r>
      <w:r w:rsidR="00B6707A" w:rsidRPr="004B14BD">
        <w:rPr>
          <w:szCs w:val="24"/>
          <w:vertAlign w:val="superscript"/>
        </w:rPr>
        <w:t>3</w:t>
      </w:r>
      <w:r w:rsidRPr="004B14BD">
        <w:rPr>
          <w:szCs w:val="24"/>
        </w:rPr>
        <w:t xml:space="preserve"> til administrationsbygning</w:t>
      </w:r>
      <w:r w:rsidR="00556DEA" w:rsidRPr="004B14BD">
        <w:rPr>
          <w:szCs w:val="24"/>
        </w:rPr>
        <w:t>en</w:t>
      </w:r>
      <w:r w:rsidRPr="004B14BD">
        <w:rPr>
          <w:szCs w:val="24"/>
        </w:rPr>
        <w:t xml:space="preserve">. </w:t>
      </w:r>
    </w:p>
    <w:p w14:paraId="52B825D4" w14:textId="77777777" w:rsidR="00030EEA" w:rsidRPr="004B14BD" w:rsidRDefault="00030EEA" w:rsidP="00A60292">
      <w:pPr>
        <w:rPr>
          <w:color w:val="FF0000"/>
          <w:szCs w:val="24"/>
        </w:rPr>
      </w:pPr>
    </w:p>
    <w:p w14:paraId="328734FD" w14:textId="58C53CC0" w:rsidR="00A60292" w:rsidRPr="004B14BD" w:rsidRDefault="00A60292" w:rsidP="00811674">
      <w:r w:rsidRPr="004B14BD">
        <w:t xml:space="preserve">Nødstrømsgeneratorerne er placeret i lukkede generatorgårde, der er sammenbygget med hver datahal. Hver generatorgård indeholder 2 nødgeneratorer med hver </w:t>
      </w:r>
      <w:r w:rsidR="00DF042C" w:rsidRPr="004B14BD">
        <w:t xml:space="preserve">deres </w:t>
      </w:r>
      <w:r w:rsidRPr="004B14BD">
        <w:t xml:space="preserve">brændstoftank samt et fælles afkast på </w:t>
      </w:r>
      <w:r w:rsidR="00030EEA" w:rsidRPr="004B14BD">
        <w:t>21</w:t>
      </w:r>
      <w:r w:rsidRPr="004B14BD">
        <w:t xml:space="preserve"> m. </w:t>
      </w:r>
      <w:r w:rsidR="00030EEA" w:rsidRPr="004B14BD">
        <w:t>Hver datahal har to af disse generatorgård</w:t>
      </w:r>
      <w:r w:rsidR="00DF042C" w:rsidRPr="004B14BD">
        <w:t>e</w:t>
      </w:r>
      <w:r w:rsidR="00030EEA" w:rsidRPr="004B14BD">
        <w:t xml:space="preserve">. </w:t>
      </w:r>
      <w:r w:rsidR="00B35AE9" w:rsidRPr="004B14BD">
        <w:t>A</w:t>
      </w:r>
      <w:r w:rsidR="00DF042C" w:rsidRPr="004B14BD">
        <w:t xml:space="preserve">fkast fra nødgeneratoren til administrationsbygningen </w:t>
      </w:r>
      <w:r w:rsidR="002E515A" w:rsidRPr="004B14BD">
        <w:t>føres sammen med afkastet fra de to nærmeste nødgeneratorer</w:t>
      </w:r>
      <w:r w:rsidR="00DF042C" w:rsidRPr="004B14BD">
        <w:t>. I alt er er der</w:t>
      </w:r>
      <w:r w:rsidR="002E515A" w:rsidRPr="004B14BD">
        <w:t xml:space="preserve"> 8 </w:t>
      </w:r>
      <w:r w:rsidR="00DF042C" w:rsidRPr="004B14BD">
        <w:t>afkast.</w:t>
      </w:r>
    </w:p>
    <w:p w14:paraId="0808A3C8" w14:textId="77777777" w:rsidR="00A60292" w:rsidRPr="004B14BD" w:rsidRDefault="00A60292" w:rsidP="00811674">
      <w:pPr>
        <w:rPr>
          <w:color w:val="FF0000"/>
        </w:rPr>
      </w:pPr>
    </w:p>
    <w:p w14:paraId="4E7FE947" w14:textId="60E0447B" w:rsidR="00A60292" w:rsidRPr="004B14BD" w:rsidRDefault="00A60292" w:rsidP="00F91E04">
      <w:r w:rsidRPr="004B14BD">
        <w:t xml:space="preserve">Under normale driftsforhold for datacenteret vil nødstrømsanlægget ikke være i drift, da datacenteret forsynes med elektricitet fra elnettet. Nødstrømsanlægget vil kun være i drift til test og vedligeholdelse af anlægget løbende samt under den reelle nøddrift, hvor der er driftsforstyrrelser i elnettet. Test og vedligeholdelse af anlægget er planlagt til </w:t>
      </w:r>
      <w:r w:rsidR="00745B6B" w:rsidRPr="004B14BD">
        <w:t>ialt</w:t>
      </w:r>
      <w:r w:rsidRPr="004B14BD">
        <w:t xml:space="preserve"> </w:t>
      </w:r>
      <w:r w:rsidR="004143B9" w:rsidRPr="004B14BD">
        <w:t>96</w:t>
      </w:r>
      <w:r w:rsidRPr="004B14BD">
        <w:t xml:space="preserve"> timer om året.</w:t>
      </w:r>
      <w:r w:rsidR="0089175A" w:rsidRPr="004B14BD">
        <w:t xml:space="preserve"> Alle test af generatorsæt vil finde sted mellem 7-18 på hverdage (mandag til fredag).</w:t>
      </w:r>
      <w:r w:rsidR="00F5690D">
        <w:t xml:space="preserve"> Der testes altid kun 1 generator ad gangen. Det udførlige testprogram fremgår af ansøgning om miljøgodkendelse</w:t>
      </w:r>
      <w:r w:rsidR="00752311">
        <w:t xml:space="preserve"> vedlagt i bilag </w:t>
      </w:r>
      <w:r w:rsidR="005D4265">
        <w:t>1</w:t>
      </w:r>
      <w:r w:rsidR="00CA188F">
        <w:t xml:space="preserve"> og 2</w:t>
      </w:r>
      <w:r w:rsidR="005D4265">
        <w:t xml:space="preserve"> til denne miljøgodkendelse</w:t>
      </w:r>
      <w:r w:rsidR="00A61A8A">
        <w:t>:</w:t>
      </w:r>
      <w:r w:rsidR="00F91E04">
        <w:t xml:space="preserve"> ”Ansøgning om miljøgodkendelse af 20. december 2022” og ”Bilag til ansøgning om miljøgodkendelse af 20. december 2022.”</w:t>
      </w:r>
    </w:p>
    <w:p w14:paraId="1C25166C" w14:textId="77777777" w:rsidR="00A60292" w:rsidRPr="004B14BD" w:rsidRDefault="00A60292" w:rsidP="00811674">
      <w:pPr>
        <w:rPr>
          <w:color w:val="FF0000"/>
        </w:rPr>
      </w:pPr>
    </w:p>
    <w:p w14:paraId="2F1E2CAD" w14:textId="77777777" w:rsidR="00902919" w:rsidRPr="004B14BD" w:rsidRDefault="008C51F3" w:rsidP="00811674">
      <w:pPr>
        <w:rPr>
          <w:color w:val="000000" w:themeColor="text1"/>
        </w:rPr>
      </w:pPr>
      <w:r w:rsidRPr="004B14BD">
        <w:t>Generelle krav om indretning og drift af anlægget indeholder vilkår om</w:t>
      </w:r>
      <w:r w:rsidR="00ED432D" w:rsidRPr="004B14BD">
        <w:t xml:space="preserve"> udnyttelse af godkendelsen</w:t>
      </w:r>
      <w:r w:rsidR="009E01ED" w:rsidRPr="004B14BD">
        <w:t xml:space="preserve"> i henhold til godkendelsesbekendtgørelsen. </w:t>
      </w:r>
      <w:r w:rsidR="00524CDB" w:rsidRPr="004B14BD">
        <w:rPr>
          <w:color w:val="000000" w:themeColor="text1"/>
        </w:rPr>
        <w:t xml:space="preserve">Jævnfør godkendelsesbekendtgørelsens § 37, stk. 1 skal der fastsættes en frist for udnyttelse af godkendelsen. Normalt fastsættes fristen ikke længere end to år fra meddelelse af godkendelsen. </w:t>
      </w:r>
    </w:p>
    <w:p w14:paraId="514C7CF0" w14:textId="77777777" w:rsidR="00902919" w:rsidRPr="004B14BD" w:rsidRDefault="00902919" w:rsidP="00811674">
      <w:pPr>
        <w:rPr>
          <w:color w:val="000000" w:themeColor="text1"/>
        </w:rPr>
      </w:pPr>
    </w:p>
    <w:p w14:paraId="5F312C6B" w14:textId="0D9C8DDF" w:rsidR="00524CDB" w:rsidRPr="004B14BD" w:rsidRDefault="00524CDB" w:rsidP="00811674">
      <w:pPr>
        <w:rPr>
          <w:color w:val="000000" w:themeColor="text1"/>
        </w:rPr>
      </w:pPr>
      <w:r w:rsidRPr="004B14BD">
        <w:rPr>
          <w:color w:val="000000" w:themeColor="text1"/>
        </w:rPr>
        <w:t>Virksomheden har i ansøgningen oplyst</w:t>
      </w:r>
      <w:r w:rsidR="00E438D1" w:rsidRPr="004B14BD">
        <w:rPr>
          <w:color w:val="000000" w:themeColor="text1"/>
        </w:rPr>
        <w:t>, at f</w:t>
      </w:r>
      <w:r w:rsidRPr="004B14BD">
        <w:rPr>
          <w:color w:val="000000" w:themeColor="text1"/>
        </w:rPr>
        <w:t>ase 1 forventes at være gennemført i løbet af sommeren 2024.</w:t>
      </w:r>
      <w:r w:rsidR="00E438D1" w:rsidRPr="004B14BD">
        <w:rPr>
          <w:color w:val="000000" w:themeColor="text1"/>
        </w:rPr>
        <w:t xml:space="preserve"> </w:t>
      </w:r>
      <w:r w:rsidRPr="004B14BD">
        <w:rPr>
          <w:color w:val="000000" w:themeColor="text1"/>
        </w:rPr>
        <w:t>I løbet af en kortere årrække forventes det at fase 2 påbegyndes</w:t>
      </w:r>
      <w:r w:rsidR="00E438D1" w:rsidRPr="004B14BD">
        <w:rPr>
          <w:color w:val="000000" w:themeColor="text1"/>
        </w:rPr>
        <w:t>. Datacentret forventes færdigopført og i fuld drift i 2027.</w:t>
      </w:r>
      <w:r w:rsidR="00902919" w:rsidRPr="004B14BD">
        <w:rPr>
          <w:color w:val="000000" w:themeColor="text1"/>
        </w:rPr>
        <w:t xml:space="preserve"> </w:t>
      </w:r>
      <w:r w:rsidRPr="004B14BD">
        <w:rPr>
          <w:color w:val="000000" w:themeColor="text1"/>
        </w:rPr>
        <w:t xml:space="preserve">Fristen for udnyttelse af fase 1 i godkendelsen, fastsættes </w:t>
      </w:r>
      <w:r w:rsidR="00E438D1" w:rsidRPr="004B14BD">
        <w:rPr>
          <w:color w:val="000000" w:themeColor="text1"/>
        </w:rPr>
        <w:t xml:space="preserve">ud fra ovenstående </w:t>
      </w:r>
      <w:r w:rsidRPr="004B14BD">
        <w:rPr>
          <w:color w:val="000000" w:themeColor="text1"/>
        </w:rPr>
        <w:t xml:space="preserve">til 2 år. </w:t>
      </w:r>
    </w:p>
    <w:p w14:paraId="59A028D3" w14:textId="77777777" w:rsidR="00524CDB" w:rsidRPr="004B14BD" w:rsidRDefault="00524CDB" w:rsidP="00811674">
      <w:pPr>
        <w:rPr>
          <w:color w:val="FF0000"/>
        </w:rPr>
      </w:pPr>
    </w:p>
    <w:p w14:paraId="717DAE00" w14:textId="240F9DD8" w:rsidR="00524CDB" w:rsidRPr="004B14BD" w:rsidRDefault="00524CDB" w:rsidP="00811674">
      <w:pPr>
        <w:rPr>
          <w:color w:val="000000" w:themeColor="text1"/>
        </w:rPr>
      </w:pPr>
      <w:r w:rsidRPr="004B14BD">
        <w:rPr>
          <w:color w:val="000000" w:themeColor="text1"/>
        </w:rPr>
        <w:t xml:space="preserve">Miljøbeskyttelseslovens § 37, stk. 2 giver mulighed for at godkende en planlagt udvidelse med en udnyttelsesfrist på fem år. </w:t>
      </w:r>
      <w:r w:rsidR="007C3045" w:rsidRPr="004B14BD">
        <w:rPr>
          <w:color w:val="000000" w:themeColor="text1"/>
        </w:rPr>
        <w:t>Høje-Taastrup</w:t>
      </w:r>
      <w:r w:rsidRPr="004B14BD">
        <w:rPr>
          <w:color w:val="000000" w:themeColor="text1"/>
        </w:rPr>
        <w:t xml:space="preserve"> Kommune vurderer, at ansøgningsmaterialet er dækkende for en udvidelse med </w:t>
      </w:r>
      <w:r w:rsidR="007C3045" w:rsidRPr="004B14BD">
        <w:rPr>
          <w:color w:val="000000" w:themeColor="text1"/>
        </w:rPr>
        <w:t>colo 3 og 4</w:t>
      </w:r>
      <w:r w:rsidRPr="004B14BD">
        <w:rPr>
          <w:color w:val="000000" w:themeColor="text1"/>
        </w:rPr>
        <w:t xml:space="preserve"> og fastsætter derfor en frist på 5 år for udnyttelse af godkendelsen </w:t>
      </w:r>
      <w:r w:rsidR="007C3045" w:rsidRPr="004B14BD">
        <w:rPr>
          <w:color w:val="000000" w:themeColor="text1"/>
        </w:rPr>
        <w:t>til fase 2</w:t>
      </w:r>
      <w:r w:rsidRPr="004B14BD">
        <w:rPr>
          <w:color w:val="000000" w:themeColor="text1"/>
        </w:rPr>
        <w:t xml:space="preserve">. </w:t>
      </w:r>
    </w:p>
    <w:p w14:paraId="1A95D663" w14:textId="77777777" w:rsidR="00524CDB" w:rsidRPr="004B14BD" w:rsidRDefault="00524CDB" w:rsidP="00811674">
      <w:pPr>
        <w:rPr>
          <w:color w:val="000000" w:themeColor="text1"/>
        </w:rPr>
      </w:pPr>
    </w:p>
    <w:p w14:paraId="7B59F17B" w14:textId="04CA2BB2" w:rsidR="00C6715C" w:rsidRPr="004B14BD" w:rsidRDefault="00524CDB" w:rsidP="00811674">
      <w:pPr>
        <w:rPr>
          <w:color w:val="000000" w:themeColor="text1"/>
        </w:rPr>
      </w:pPr>
      <w:r w:rsidRPr="004B14BD">
        <w:rPr>
          <w:color w:val="000000" w:themeColor="text1"/>
        </w:rPr>
        <w:t>Det skal bemærkes, at Miljøstyrelsen oplyser følgende på deres hjemmeside: ”For at en godkendelse kan anses for udnyttet, skal driften være påbegyndt inden for fristen. Det er ikke tilstrækkeligt efter miljøbeskyttelsesloven, at byggeriet er påbegyndt”.</w:t>
      </w:r>
      <w:r w:rsidRPr="004B14BD">
        <w:rPr>
          <w:rStyle w:val="Fodnotehenvisning"/>
          <w:color w:val="000000" w:themeColor="text1"/>
        </w:rPr>
        <w:footnoteReference w:id="17"/>
      </w:r>
    </w:p>
    <w:p w14:paraId="2E171FD0" w14:textId="77777777" w:rsidR="00C6715C" w:rsidRPr="004B14BD" w:rsidRDefault="00C6715C" w:rsidP="00811674"/>
    <w:p w14:paraId="5210DFD0" w14:textId="5A32E4CB" w:rsidR="008C51F3" w:rsidRPr="004B14BD" w:rsidRDefault="007C3045" w:rsidP="006A48A6">
      <w:r w:rsidRPr="004B14BD">
        <w:t>Der er stillet vilkår om, at d</w:t>
      </w:r>
      <w:r w:rsidR="00135BF8" w:rsidRPr="004B14BD">
        <w:t>er skal etableres timetæller på anlægget</w:t>
      </w:r>
      <w:r w:rsidRPr="004B14BD">
        <w:t>,</w:t>
      </w:r>
      <w:r w:rsidR="00135BF8" w:rsidRPr="004B14BD">
        <w:t xml:space="preserve"> da </w:t>
      </w:r>
      <w:r w:rsidR="004A4952">
        <w:t xml:space="preserve">det enkelte </w:t>
      </w:r>
      <w:r w:rsidR="00135BF8" w:rsidRPr="004B14BD">
        <w:t xml:space="preserve">nødstrømsanlæg kun må være i drift max. 500 timer </w:t>
      </w:r>
      <w:r w:rsidR="00FA5037" w:rsidRPr="004B14BD">
        <w:t>om</w:t>
      </w:r>
      <w:r w:rsidR="00135BF8" w:rsidRPr="004B14BD">
        <w:t xml:space="preserve"> året</w:t>
      </w:r>
      <w:r w:rsidR="00FA5037" w:rsidRPr="004B14BD">
        <w:t>, jf. MCP-bekendtgørelsens krav til</w:t>
      </w:r>
      <w:r w:rsidR="00075F41" w:rsidRPr="004B14BD">
        <w:t xml:space="preserve"> højst 500 timers årlig drift for nødstrømsanlæg</w:t>
      </w:r>
      <w:r w:rsidR="00135BF8" w:rsidRPr="004B14BD">
        <w:t xml:space="preserve">. Driftstiden opgøres rullende over </w:t>
      </w:r>
      <w:r w:rsidR="00371A70">
        <w:t xml:space="preserve">en </w:t>
      </w:r>
      <w:r w:rsidR="00135BF8" w:rsidRPr="004B14BD">
        <w:t>3</w:t>
      </w:r>
      <w:r w:rsidR="00FA5037" w:rsidRPr="004B14BD">
        <w:t>-</w:t>
      </w:r>
      <w:r w:rsidR="00135BF8" w:rsidRPr="004B14BD">
        <w:t>årig periode.</w:t>
      </w:r>
      <w:r w:rsidR="00455625" w:rsidRPr="004B14BD">
        <w:t xml:space="preserve"> </w:t>
      </w:r>
      <w:r w:rsidR="00075F41" w:rsidRPr="004B14BD">
        <w:t>Desuden er der stillet vilkår</w:t>
      </w:r>
      <w:r w:rsidR="00E76508" w:rsidRPr="004B14BD">
        <w:t>,</w:t>
      </w:r>
      <w:r w:rsidR="00075F41" w:rsidRPr="004B14BD">
        <w:t xml:space="preserve"> </w:t>
      </w:r>
      <w:r w:rsidR="008C218D" w:rsidRPr="004B14BD">
        <w:t>der sikrer</w:t>
      </w:r>
      <w:r w:rsidR="00075F41" w:rsidRPr="004B14BD">
        <w:t xml:space="preserve">, at tilsynsmyndigheden </w:t>
      </w:r>
      <w:r w:rsidR="008C218D" w:rsidRPr="004B14BD">
        <w:t xml:space="preserve">straks </w:t>
      </w:r>
      <w:r w:rsidR="00075F41" w:rsidRPr="004B14BD">
        <w:t xml:space="preserve">underrettes, hvis vilkår i godkendelsen </w:t>
      </w:r>
      <w:r w:rsidR="0065648D" w:rsidRPr="004B14BD">
        <w:t>ikke overholdes</w:t>
      </w:r>
      <w:r w:rsidR="008C218D" w:rsidRPr="004B14BD">
        <w:t>.</w:t>
      </w:r>
      <w:r w:rsidR="0065648D" w:rsidRPr="004B14BD">
        <w:t xml:space="preserve"> Vilkåret er fastsat med udgangspunkt i godkendelsesbekendtgørelsens § 2</w:t>
      </w:r>
      <w:r w:rsidR="00375526">
        <w:t>2</w:t>
      </w:r>
      <w:r w:rsidR="0065648D" w:rsidRPr="004B14BD">
        <w:t xml:space="preserve">, stk. 1 nr. 6. </w:t>
      </w:r>
      <w:r w:rsidR="008C218D" w:rsidRPr="004B14BD">
        <w:t xml:space="preserve">Desuden er </w:t>
      </w:r>
      <w:r w:rsidR="006A48A6" w:rsidRPr="004B14BD">
        <w:t xml:space="preserve">der stillet </w:t>
      </w:r>
      <w:r w:rsidR="008C218D" w:rsidRPr="004B14BD">
        <w:t>v</w:t>
      </w:r>
      <w:r w:rsidR="00FE1EBA" w:rsidRPr="004B14BD">
        <w:t xml:space="preserve">ilkår om udarbejdelse af en </w:t>
      </w:r>
      <w:r w:rsidR="00A00B42" w:rsidRPr="004B14BD">
        <w:t>skriftlig instruks</w:t>
      </w:r>
      <w:r w:rsidR="00FE1EBA" w:rsidRPr="004B14BD">
        <w:t>, som beskriver forebyggelse af uheld og afbødende foranstaltninger</w:t>
      </w:r>
      <w:r w:rsidR="008C218D" w:rsidRPr="004B14BD">
        <w:t>,</w:t>
      </w:r>
      <w:r w:rsidR="00FE1EBA" w:rsidRPr="004B14BD">
        <w:t xml:space="preserve"> da kommunen vurderer, at dette kan være med til at sikre mod </w:t>
      </w:r>
      <w:r w:rsidR="00473DCF" w:rsidRPr="004B14BD">
        <w:t xml:space="preserve">væsentlig </w:t>
      </w:r>
      <w:r w:rsidR="00FE1EBA" w:rsidRPr="004B14BD">
        <w:t xml:space="preserve">forurening i tilfælde af spild eller lækage. </w:t>
      </w:r>
      <w:r w:rsidR="006A48A6" w:rsidRPr="004B14BD">
        <w:t>Instruksen skal desuden sikre, at driftspersonale</w:t>
      </w:r>
      <w:r w:rsidR="009D110D">
        <w:t>t</w:t>
      </w:r>
      <w:r w:rsidR="006A48A6" w:rsidRPr="004B14BD">
        <w:t xml:space="preserve"> er bekendt med forureningsbegrænsende procedurer og ved, hvad de skal gøre i forbindelse med et eventuelt uheld. Der er desuden stillet vilkår om registrering af uheld, og om at anmelde det til kommunen.</w:t>
      </w:r>
    </w:p>
    <w:p w14:paraId="47610D19" w14:textId="77777777" w:rsidR="008C51F3" w:rsidRPr="004B14BD" w:rsidRDefault="008C51F3" w:rsidP="00811674">
      <w:pPr>
        <w:rPr>
          <w:color w:val="FF0000"/>
        </w:rPr>
      </w:pPr>
    </w:p>
    <w:p w14:paraId="71405E35" w14:textId="6E338A26" w:rsidR="008C51F3" w:rsidRPr="004B14BD" w:rsidRDefault="002402D5" w:rsidP="00811674">
      <w:pPr>
        <w:rPr>
          <w:color w:val="000000" w:themeColor="text1"/>
        </w:rPr>
      </w:pPr>
      <w:r w:rsidRPr="004B14BD">
        <w:rPr>
          <w:color w:val="000000" w:themeColor="text1"/>
        </w:rPr>
        <w:t>For at sikre at der i en helt ekstrem situation ikke er risiko for, at der er drift i et omfang, hvor omboende vil opleve gener, skal virksomheden udarbejde en beredskabsplan, der sættes i værk ved opstart af nøddrift. Beredskabsplanen skal sikre, at der løbende sker en vurdering af konsekvenserne ved driften. Således skal der indledes med en vurdering af</w:t>
      </w:r>
      <w:r w:rsidR="003B760F" w:rsidRPr="004B14BD">
        <w:rPr>
          <w:color w:val="000000" w:themeColor="text1"/>
        </w:rPr>
        <w:t>,</w:t>
      </w:r>
      <w:r w:rsidRPr="004B14BD">
        <w:rPr>
          <w:color w:val="000000" w:themeColor="text1"/>
        </w:rPr>
        <w:t xml:space="preserve"> hvor lang tid strømudfaldet vil strække sig over. Hvis strømudfaldet vurderes at være af en vis varighed, skal der desuden vurderes på parametre som vejrforhold o.l. Beredskabsplanen skal opstille de kritiske parametre</w:t>
      </w:r>
      <w:r w:rsidR="005F02AE" w:rsidRPr="004B14BD">
        <w:rPr>
          <w:color w:val="000000" w:themeColor="text1"/>
        </w:rPr>
        <w:t>,</w:t>
      </w:r>
      <w:r w:rsidRPr="004B14BD">
        <w:rPr>
          <w:color w:val="000000" w:themeColor="text1"/>
        </w:rPr>
        <w:t xml:space="preserve"> der skal indgå i vurderingen, samt ved hvilke betingelser</w:t>
      </w:r>
      <w:r w:rsidR="005F02AE" w:rsidRPr="004B14BD">
        <w:rPr>
          <w:color w:val="000000" w:themeColor="text1"/>
        </w:rPr>
        <w:t xml:space="preserve"> en</w:t>
      </w:r>
      <w:r w:rsidRPr="004B14BD">
        <w:rPr>
          <w:color w:val="000000" w:themeColor="text1"/>
        </w:rPr>
        <w:t xml:space="preserve"> udfasning/neddrosling af </w:t>
      </w:r>
      <w:r w:rsidR="003B760F" w:rsidRPr="004B14BD">
        <w:rPr>
          <w:color w:val="000000" w:themeColor="text1"/>
        </w:rPr>
        <w:t>driften med</w:t>
      </w:r>
      <w:r w:rsidRPr="004B14BD">
        <w:rPr>
          <w:color w:val="000000" w:themeColor="text1"/>
        </w:rPr>
        <w:t xml:space="preserve"> nødstrømsanlægget</w:t>
      </w:r>
      <w:r w:rsidR="005F02AE" w:rsidRPr="004B14BD">
        <w:rPr>
          <w:color w:val="000000" w:themeColor="text1"/>
        </w:rPr>
        <w:t xml:space="preserve"> skal overvejes.</w:t>
      </w:r>
    </w:p>
    <w:p w14:paraId="4A47CF5C" w14:textId="77777777" w:rsidR="00DC506D" w:rsidRPr="004B14BD" w:rsidRDefault="00DC506D" w:rsidP="00811674">
      <w:pPr>
        <w:rPr>
          <w:color w:val="000000" w:themeColor="text1"/>
        </w:rPr>
      </w:pPr>
    </w:p>
    <w:p w14:paraId="6FC33B1E" w14:textId="6A99BB67" w:rsidR="00EE4B95" w:rsidRPr="004B14BD" w:rsidRDefault="00EE4B95" w:rsidP="00811674">
      <w:pPr>
        <w:rPr>
          <w:b/>
          <w:bCs/>
        </w:rPr>
      </w:pPr>
      <w:r w:rsidRPr="004B14BD">
        <w:rPr>
          <w:b/>
          <w:bCs/>
        </w:rPr>
        <w:lastRenderedPageBreak/>
        <w:t>Til- og frakørselsforhold</w:t>
      </w:r>
    </w:p>
    <w:p w14:paraId="26B754A8" w14:textId="77777777" w:rsidR="004B3810" w:rsidRPr="004B14BD" w:rsidRDefault="004B3810" w:rsidP="00811674">
      <w:pPr>
        <w:rPr>
          <w:b/>
          <w:bCs/>
          <w:color w:val="FF0000"/>
        </w:rPr>
      </w:pPr>
    </w:p>
    <w:p w14:paraId="434F9C5A" w14:textId="7D2B71C1" w:rsidR="00E26031" w:rsidRPr="004B14BD" w:rsidRDefault="00E26031" w:rsidP="00811674">
      <w:pPr>
        <w:rPr>
          <w:color w:val="000000" w:themeColor="text1"/>
        </w:rPr>
      </w:pPr>
      <w:r w:rsidRPr="004B14BD">
        <w:rPr>
          <w:color w:val="000000" w:themeColor="text1"/>
        </w:rPr>
        <w:t xml:space="preserve">Der vil i forbindelse med projektet blive etableret en adgangsvej fra Bohus </w:t>
      </w:r>
      <w:r w:rsidR="00BD6825" w:rsidRPr="004B14BD">
        <w:rPr>
          <w:color w:val="000000" w:themeColor="text1"/>
        </w:rPr>
        <w:t>B</w:t>
      </w:r>
      <w:r w:rsidRPr="004B14BD">
        <w:rPr>
          <w:color w:val="000000" w:themeColor="text1"/>
        </w:rPr>
        <w:t>oulevard.</w:t>
      </w:r>
      <w:r w:rsidR="00887D36" w:rsidRPr="004B14BD">
        <w:rPr>
          <w:color w:val="000000" w:themeColor="text1"/>
        </w:rPr>
        <w:t xml:space="preserve"> </w:t>
      </w:r>
      <w:r w:rsidRPr="004B14BD">
        <w:rPr>
          <w:color w:val="000000" w:themeColor="text1"/>
        </w:rPr>
        <w:t>Der etableres en sekundær adgangsvej nord for projektområdet</w:t>
      </w:r>
      <w:r w:rsidR="00887D36" w:rsidRPr="004B14BD">
        <w:rPr>
          <w:color w:val="000000" w:themeColor="text1"/>
        </w:rPr>
        <w:t>. D</w:t>
      </w:r>
      <w:r w:rsidRPr="004B14BD">
        <w:rPr>
          <w:color w:val="000000" w:themeColor="text1"/>
        </w:rPr>
        <w:t xml:space="preserve">en sekundære adgang er ikke åben for daglig trafik. Adgangsvejene kan ses på situationsplanen, </w:t>
      </w:r>
      <w:r w:rsidR="000A33A8" w:rsidRPr="004B14BD">
        <w:rPr>
          <w:color w:val="000000" w:themeColor="text1"/>
        </w:rPr>
        <w:t xml:space="preserve">figur </w:t>
      </w:r>
      <w:r w:rsidR="006E1EFB">
        <w:rPr>
          <w:color w:val="000000" w:themeColor="text1"/>
        </w:rPr>
        <w:t>1</w:t>
      </w:r>
      <w:r w:rsidRPr="004B14BD">
        <w:rPr>
          <w:color w:val="000000" w:themeColor="text1"/>
        </w:rPr>
        <w:t xml:space="preserve">. </w:t>
      </w:r>
    </w:p>
    <w:p w14:paraId="602DF6B2" w14:textId="77777777" w:rsidR="00E26031" w:rsidRPr="004B14BD" w:rsidRDefault="00E26031" w:rsidP="00811674">
      <w:pPr>
        <w:rPr>
          <w:color w:val="000000" w:themeColor="text1"/>
        </w:rPr>
      </w:pPr>
    </w:p>
    <w:p w14:paraId="623C7FCE" w14:textId="4F601854" w:rsidR="000A33A8" w:rsidRPr="004B14BD" w:rsidRDefault="000A33A8" w:rsidP="00811674">
      <w:pPr>
        <w:rPr>
          <w:color w:val="FF0000"/>
        </w:rPr>
      </w:pPr>
      <w:r w:rsidRPr="004B14BD">
        <w:t xml:space="preserve">De forventede støjforhold er beskrevet </w:t>
      </w:r>
      <w:r w:rsidR="0082209C" w:rsidRPr="004B14BD">
        <w:t xml:space="preserve">i </w:t>
      </w:r>
      <w:r w:rsidRPr="004B14BD">
        <w:t xml:space="preserve">rapport </w:t>
      </w:r>
      <w:r w:rsidR="00727E97">
        <w:t xml:space="preserve">”Støjredegørelse” </w:t>
      </w:r>
      <w:r w:rsidRPr="004B14BD">
        <w:t xml:space="preserve">vedlagt </w:t>
      </w:r>
      <w:r w:rsidR="00727E97">
        <w:t>som</w:t>
      </w:r>
      <w:r w:rsidRPr="004B14BD">
        <w:t xml:space="preserve"> bilag 4</w:t>
      </w:r>
      <w:r w:rsidR="00861A60">
        <w:t xml:space="preserve"> </w:t>
      </w:r>
      <w:r w:rsidRPr="004B14BD">
        <w:t xml:space="preserve"> til ansøgning om</w:t>
      </w:r>
      <w:r w:rsidR="007916FD" w:rsidRPr="004B14BD">
        <w:t xml:space="preserve"> </w:t>
      </w:r>
      <w:r w:rsidRPr="004B14BD">
        <w:t>miljøgodkendelse. I rapporten er det beskrevet, hvor meget trafik fra personbiler og varetransporter, der forventes. Det forventes, at der i timerne fra kl. 07–08 og kl. 15–16 forekommer 52 kørsler med personbiler. I øvrige tidsrum i hverdagsperioden, er der regnet med 10 kørsler med personbiler pr time. Til beregningerne er det forudsat</w:t>
      </w:r>
      <w:r w:rsidR="00DF1913" w:rsidRPr="004B14BD">
        <w:t>,</w:t>
      </w:r>
      <w:r w:rsidRPr="004B14BD">
        <w:t xml:space="preserve"> at der forekommer 4 stk. vareleverancer med lastvogn i timen i tidsrummet mellem kl. 07-18 på hverdage. Der er derudover planlagt op til to leverancer af dieselolie med lastbil om året.</w:t>
      </w:r>
    </w:p>
    <w:p w14:paraId="0D52E8F9" w14:textId="0B495564" w:rsidR="000A33A8" w:rsidRPr="004B14BD" w:rsidRDefault="000A33A8" w:rsidP="00811674">
      <w:pPr>
        <w:rPr>
          <w:color w:val="FF0000"/>
          <w:szCs w:val="24"/>
        </w:rPr>
      </w:pPr>
    </w:p>
    <w:p w14:paraId="3CB02C48" w14:textId="4F35896A" w:rsidR="007A557B" w:rsidRPr="004B14BD" w:rsidRDefault="00A05FF1" w:rsidP="00811674">
      <w:r w:rsidRPr="004B14BD">
        <w:t>Kommunen vurderer, at til- og frakørsel til virksomheden i det beskrevne omfang, kan</w:t>
      </w:r>
      <w:r w:rsidR="00074092" w:rsidRPr="004B14BD">
        <w:t xml:space="preserve"> </w:t>
      </w:r>
      <w:r w:rsidRPr="004B14BD">
        <w:t>foregå uden væsentlige miljømæssige gener for omgivelserne. Kommunen har især</w:t>
      </w:r>
      <w:r w:rsidR="00074092" w:rsidRPr="004B14BD">
        <w:t xml:space="preserve"> </w:t>
      </w:r>
      <w:r w:rsidRPr="004B14BD">
        <w:t>lagt vægt på, at antallet af varetransporter er meget begrænset, og at denne kørsel foregår i dagtimerne</w:t>
      </w:r>
      <w:r w:rsidR="005267C1" w:rsidRPr="004B14BD">
        <w:t>. Desuden er begge ind-</w:t>
      </w:r>
      <w:r w:rsidR="00BA709A">
        <w:t xml:space="preserve"> </w:t>
      </w:r>
      <w:r w:rsidR="005267C1" w:rsidRPr="004B14BD">
        <w:t>og udkørselsadgange</w:t>
      </w:r>
      <w:r w:rsidR="0082209C" w:rsidRPr="004B14BD">
        <w:t xml:space="preserve"> på ejendommen</w:t>
      </w:r>
      <w:r w:rsidR="005267C1" w:rsidRPr="004B14BD">
        <w:t xml:space="preserve"> placeret i god afstand fra boliger (mindst 250</w:t>
      </w:r>
      <w:r w:rsidR="00BA709A">
        <w:t xml:space="preserve"> </w:t>
      </w:r>
      <w:r w:rsidR="005267C1" w:rsidRPr="004B14BD">
        <w:t>m).</w:t>
      </w:r>
    </w:p>
    <w:p w14:paraId="4AA409C8" w14:textId="1890F041" w:rsidR="000B6712" w:rsidRPr="004B14BD" w:rsidRDefault="00F477A5" w:rsidP="00F35E9F">
      <w:pPr>
        <w:pStyle w:val="Overskrift2"/>
      </w:pPr>
      <w:bookmarkStart w:id="38" w:name="_Toc384208166"/>
      <w:bookmarkStart w:id="39" w:name="_Toc120196517"/>
      <w:r w:rsidRPr="004B14BD">
        <w:t xml:space="preserve">2.6 </w:t>
      </w:r>
      <w:r w:rsidR="000B6712" w:rsidRPr="004B14BD">
        <w:t>Støj</w:t>
      </w:r>
      <w:bookmarkEnd w:id="38"/>
      <w:bookmarkEnd w:id="39"/>
    </w:p>
    <w:p w14:paraId="12182B81" w14:textId="631C30D1" w:rsidR="000B6712" w:rsidRPr="004B14BD" w:rsidRDefault="000B6712" w:rsidP="000B6712">
      <w:pPr>
        <w:outlineLvl w:val="2"/>
        <w:rPr>
          <w:b/>
          <w:szCs w:val="24"/>
        </w:rPr>
      </w:pPr>
    </w:p>
    <w:p w14:paraId="4B89BCBC" w14:textId="757F17CA" w:rsidR="00056737" w:rsidRPr="004B14BD" w:rsidRDefault="00056737" w:rsidP="00FD6B88">
      <w:pPr>
        <w:rPr>
          <w:b/>
          <w:bCs/>
        </w:rPr>
      </w:pPr>
      <w:r w:rsidRPr="004B14BD">
        <w:rPr>
          <w:b/>
          <w:bCs/>
        </w:rPr>
        <w:t>Støjkilder</w:t>
      </w:r>
    </w:p>
    <w:p w14:paraId="27C09379" w14:textId="77777777" w:rsidR="00982D74" w:rsidRPr="004B14BD" w:rsidRDefault="00982D74" w:rsidP="00FD6B88">
      <w:pPr>
        <w:rPr>
          <w:b/>
          <w:bCs/>
        </w:rPr>
      </w:pPr>
    </w:p>
    <w:p w14:paraId="2C0EE991" w14:textId="62AAB2AD" w:rsidR="005C6BCD" w:rsidRPr="004B14BD" w:rsidRDefault="00AD5D5A" w:rsidP="00FD6B88">
      <w:r w:rsidRPr="004B14BD">
        <w:t>D</w:t>
      </w:r>
      <w:r w:rsidR="005C6BCD" w:rsidRPr="004B14BD">
        <w:t>e</w:t>
      </w:r>
      <w:r w:rsidRPr="004B14BD">
        <w:t xml:space="preserve"> forventede støjforhold er beskrevet</w:t>
      </w:r>
      <w:r w:rsidR="00D32E33" w:rsidRPr="004B14BD">
        <w:t xml:space="preserve"> i</w:t>
      </w:r>
      <w:r w:rsidRPr="004B14BD">
        <w:t xml:space="preserve"> </w:t>
      </w:r>
      <w:r w:rsidR="00700E38" w:rsidRPr="004B14BD">
        <w:t xml:space="preserve">rapport </w:t>
      </w:r>
      <w:r w:rsidR="00E57F25">
        <w:t xml:space="preserve">”Støjredegørelse” </w:t>
      </w:r>
      <w:r w:rsidR="00700E38" w:rsidRPr="004B14BD">
        <w:t xml:space="preserve">vedlagt </w:t>
      </w:r>
      <w:r w:rsidR="00E93870">
        <w:t>som</w:t>
      </w:r>
      <w:r w:rsidRPr="004B14BD">
        <w:t xml:space="preserve"> bilag </w:t>
      </w:r>
      <w:r w:rsidR="005C6BCD" w:rsidRPr="004B14BD">
        <w:t>4</w:t>
      </w:r>
      <w:r w:rsidRPr="004B14BD">
        <w:t xml:space="preserve"> til ansøgning om miljøgodkendelse. Støjberegninger er foretaget i beregningsprogrammet soundplan version 8.2. </w:t>
      </w:r>
      <w:r w:rsidR="00700E38" w:rsidRPr="004B14BD">
        <w:t>Rapporten er ikke udført som en ”Miljømåling – ekstern støj”.</w:t>
      </w:r>
      <w:r w:rsidR="00DC3ADB" w:rsidRPr="004B14BD">
        <w:t xml:space="preserve"> </w:t>
      </w:r>
    </w:p>
    <w:p w14:paraId="6962EEF6" w14:textId="137645B6" w:rsidR="004C36FB" w:rsidRPr="004B14BD" w:rsidRDefault="004C36FB" w:rsidP="00FD6B88"/>
    <w:p w14:paraId="6380540B" w14:textId="49D1F6A8" w:rsidR="004C36FB" w:rsidRPr="004B14BD" w:rsidRDefault="004C36FB" w:rsidP="00FD6B88">
      <w:pPr>
        <w:rPr>
          <w:color w:val="000000" w:themeColor="text1"/>
        </w:rPr>
      </w:pPr>
      <w:r w:rsidRPr="004B14BD">
        <w:rPr>
          <w:color w:val="000000" w:themeColor="text1"/>
        </w:rPr>
        <w:t>Virksomhedens væsentlig</w:t>
      </w:r>
      <w:r w:rsidR="009E32E4" w:rsidRPr="004B14BD">
        <w:rPr>
          <w:color w:val="000000" w:themeColor="text1"/>
        </w:rPr>
        <w:t>st</w:t>
      </w:r>
      <w:r w:rsidRPr="004B14BD">
        <w:rPr>
          <w:color w:val="000000" w:themeColor="text1"/>
        </w:rPr>
        <w:t>e støjkilder vil være:</w:t>
      </w:r>
    </w:p>
    <w:p w14:paraId="16F065C6" w14:textId="77777777" w:rsidR="00C97728" w:rsidRPr="004B14BD" w:rsidRDefault="00C97728" w:rsidP="00FD6B88">
      <w:pPr>
        <w:rPr>
          <w:color w:val="000000" w:themeColor="text1"/>
        </w:rPr>
      </w:pPr>
    </w:p>
    <w:p w14:paraId="254F5E05" w14:textId="79B17341" w:rsidR="004C36FB" w:rsidRPr="004B14BD" w:rsidRDefault="004C36FB" w:rsidP="00FD6B88">
      <w:pPr>
        <w:rPr>
          <w:color w:val="000000" w:themeColor="text1"/>
        </w:rPr>
      </w:pPr>
      <w:r w:rsidRPr="004B14BD">
        <w:rPr>
          <w:color w:val="000000" w:themeColor="text1"/>
        </w:rPr>
        <w:t xml:space="preserve">• </w:t>
      </w:r>
      <w:r w:rsidR="009E32E4" w:rsidRPr="004B14BD">
        <w:rPr>
          <w:color w:val="000000" w:themeColor="text1"/>
        </w:rPr>
        <w:t>Støj fra selve datacentret, bestående af støj fra luftindtag</w:t>
      </w:r>
      <w:r w:rsidR="00C10D46" w:rsidRPr="004B14BD">
        <w:rPr>
          <w:color w:val="000000" w:themeColor="text1"/>
        </w:rPr>
        <w:t>- og afkast</w:t>
      </w:r>
      <w:r w:rsidR="009E32E4" w:rsidRPr="004B14BD">
        <w:rPr>
          <w:color w:val="000000" w:themeColor="text1"/>
        </w:rPr>
        <w:t>, transformere,</w:t>
      </w:r>
      <w:r w:rsidR="003F4676" w:rsidRPr="004B14BD">
        <w:rPr>
          <w:color w:val="000000" w:themeColor="text1"/>
        </w:rPr>
        <w:t xml:space="preserve"> </w:t>
      </w:r>
      <w:r w:rsidR="009E32E4" w:rsidRPr="004B14BD">
        <w:rPr>
          <w:color w:val="000000" w:themeColor="text1"/>
        </w:rPr>
        <w:t>kondenserenheder samt en fremtidig transformerstation.</w:t>
      </w:r>
      <w:r w:rsidRPr="004B14BD">
        <w:rPr>
          <w:color w:val="000000" w:themeColor="text1"/>
        </w:rPr>
        <w:t xml:space="preserve"> </w:t>
      </w:r>
      <w:r w:rsidR="00FC2B8F" w:rsidRPr="004B14BD">
        <w:rPr>
          <w:color w:val="000000" w:themeColor="text1"/>
        </w:rPr>
        <w:t>Luftafkast og kondenserenheder er gemt bag støjskærme.</w:t>
      </w:r>
    </w:p>
    <w:p w14:paraId="4CE935E2" w14:textId="77777777" w:rsidR="00F93928" w:rsidRPr="004B14BD" w:rsidRDefault="00F93928" w:rsidP="00FD6B88">
      <w:pPr>
        <w:rPr>
          <w:color w:val="000000" w:themeColor="text1"/>
        </w:rPr>
      </w:pPr>
    </w:p>
    <w:p w14:paraId="787DCD78" w14:textId="68006AF2" w:rsidR="00DB5A33" w:rsidRPr="004B14BD" w:rsidRDefault="004C36FB" w:rsidP="00FD6B88">
      <w:pPr>
        <w:rPr>
          <w:color w:val="000000" w:themeColor="text1"/>
        </w:rPr>
      </w:pPr>
      <w:r w:rsidRPr="004B14BD">
        <w:rPr>
          <w:color w:val="000000" w:themeColor="text1"/>
        </w:rPr>
        <w:t xml:space="preserve">• Nødstrømsanlæg bestående </w:t>
      </w:r>
      <w:r w:rsidR="00A43D29" w:rsidRPr="004B14BD">
        <w:rPr>
          <w:color w:val="000000" w:themeColor="text1"/>
        </w:rPr>
        <w:t xml:space="preserve">af </w:t>
      </w:r>
      <w:r w:rsidR="00DB5A33" w:rsidRPr="004B14BD">
        <w:rPr>
          <w:color w:val="000000" w:themeColor="text1"/>
        </w:rPr>
        <w:t>17</w:t>
      </w:r>
      <w:r w:rsidRPr="004B14BD">
        <w:rPr>
          <w:color w:val="000000" w:themeColor="text1"/>
        </w:rPr>
        <w:t xml:space="preserve"> dieseldrevne generatorer</w:t>
      </w:r>
      <w:r w:rsidR="005D1DAA" w:rsidRPr="004B14BD">
        <w:rPr>
          <w:color w:val="000000" w:themeColor="text1"/>
        </w:rPr>
        <w:t xml:space="preserve"> med tilhørende anlæg</w:t>
      </w:r>
      <w:r w:rsidR="00DB5A33" w:rsidRPr="004B14BD">
        <w:rPr>
          <w:color w:val="000000" w:themeColor="text1"/>
        </w:rPr>
        <w:t>.</w:t>
      </w:r>
    </w:p>
    <w:p w14:paraId="05413F35" w14:textId="77777777" w:rsidR="00F93928" w:rsidRPr="004B14BD" w:rsidRDefault="00F93928" w:rsidP="00FD6B88">
      <w:pPr>
        <w:rPr>
          <w:color w:val="000000" w:themeColor="text1"/>
        </w:rPr>
      </w:pPr>
    </w:p>
    <w:p w14:paraId="314500F2" w14:textId="6F869344" w:rsidR="00DB5A33" w:rsidRPr="004B14BD" w:rsidRDefault="004C36FB" w:rsidP="00FD6B88">
      <w:pPr>
        <w:rPr>
          <w:color w:val="000000" w:themeColor="text1"/>
        </w:rPr>
      </w:pPr>
      <w:r w:rsidRPr="004B14BD">
        <w:rPr>
          <w:color w:val="000000" w:themeColor="text1"/>
        </w:rPr>
        <w:t>• Kørsel med og parkering af personbiler</w:t>
      </w:r>
      <w:r w:rsidR="0081106B" w:rsidRPr="004B14BD">
        <w:rPr>
          <w:color w:val="000000" w:themeColor="text1"/>
        </w:rPr>
        <w:t xml:space="preserve"> samt</w:t>
      </w:r>
      <w:r w:rsidR="00DB5A33" w:rsidRPr="004B14BD">
        <w:rPr>
          <w:color w:val="000000" w:themeColor="text1"/>
        </w:rPr>
        <w:t xml:space="preserve"> varetransporter</w:t>
      </w:r>
      <w:r w:rsidR="0081106B" w:rsidRPr="004B14BD">
        <w:rPr>
          <w:color w:val="000000" w:themeColor="text1"/>
        </w:rPr>
        <w:t>.</w:t>
      </w:r>
    </w:p>
    <w:p w14:paraId="1970CC1E" w14:textId="175347B5" w:rsidR="00B47CD7" w:rsidRPr="004B14BD" w:rsidRDefault="00B47CD7" w:rsidP="00811674">
      <w:pPr>
        <w:rPr>
          <w:color w:val="000000" w:themeColor="text1"/>
        </w:rPr>
      </w:pPr>
    </w:p>
    <w:p w14:paraId="70F2B60E" w14:textId="66E3F81F" w:rsidR="00B47CD7" w:rsidRPr="004B14BD" w:rsidRDefault="00B47CD7" w:rsidP="00811674">
      <w:r w:rsidRPr="004B14BD">
        <w:t>Støjniveauet fra virksomheden vil være let varierende over dagen på grund af kørsel med diverse maskiner. Få gange om året testes desuden nødgeneratorer. Ingen af disse driftssituationer vurderes at give anledning til genetillæg. Såfremt der skulle opstå toner i støjbilledet fra datacentret, vil det være forårsaget af en fejlagtig teknisk installation. Det antages, at fejlen i sådanne situationer vil blive håndteret, og at der derfor ikke vil forekomme tydeligt hørbare toner.</w:t>
      </w:r>
    </w:p>
    <w:p w14:paraId="4FA07F29" w14:textId="69B702A8" w:rsidR="00435072" w:rsidRPr="004B14BD" w:rsidRDefault="00435072" w:rsidP="00811674"/>
    <w:p w14:paraId="2CEDE403" w14:textId="396FB76A" w:rsidR="00963578" w:rsidRPr="004B14BD" w:rsidRDefault="00963578" w:rsidP="009E666E">
      <w:pPr>
        <w:rPr>
          <w:b/>
          <w:bCs/>
        </w:rPr>
      </w:pPr>
      <w:r w:rsidRPr="004B14BD">
        <w:rPr>
          <w:b/>
          <w:bCs/>
        </w:rPr>
        <w:t>Støjdæmpende foranstaltninger:</w:t>
      </w:r>
    </w:p>
    <w:p w14:paraId="0DDC3EFE" w14:textId="77777777" w:rsidR="008250A9" w:rsidRPr="004B14BD" w:rsidRDefault="008250A9" w:rsidP="009E666E">
      <w:pPr>
        <w:rPr>
          <w:b/>
          <w:bCs/>
        </w:rPr>
      </w:pPr>
    </w:p>
    <w:p w14:paraId="12AA0719" w14:textId="51E8983A" w:rsidR="00FC2B8F" w:rsidRPr="004B14BD" w:rsidRDefault="00056737" w:rsidP="009E666E">
      <w:r w:rsidRPr="004B14BD">
        <w:t>Der etableres en større primær støjskærm øst for datacentret ud mod det rekreative område samt en række mindre sekundære støjskærme placere</w:t>
      </w:r>
      <w:r w:rsidR="00CD5B1D" w:rsidRPr="004B14BD">
        <w:t>s</w:t>
      </w:r>
      <w:r w:rsidRPr="004B14BD">
        <w:t xml:space="preserve"> i det rekreative område. </w:t>
      </w:r>
    </w:p>
    <w:p w14:paraId="496A2058" w14:textId="77777777" w:rsidR="00FC2B8F" w:rsidRPr="004B14BD" w:rsidRDefault="00FC2B8F" w:rsidP="00975A79"/>
    <w:p w14:paraId="2F90F45F" w14:textId="23314DDA" w:rsidR="00FC2B8F" w:rsidRPr="004B14BD" w:rsidRDefault="00FC2B8F" w:rsidP="00975A79">
      <w:pPr>
        <w:rPr>
          <w:b/>
          <w:bCs/>
        </w:rPr>
      </w:pPr>
      <w:r w:rsidRPr="004B14BD">
        <w:rPr>
          <w:b/>
          <w:bCs/>
        </w:rPr>
        <w:lastRenderedPageBreak/>
        <w:t>Beregningsscenarier</w:t>
      </w:r>
    </w:p>
    <w:p w14:paraId="35845F04" w14:textId="77777777" w:rsidR="00684DB3" w:rsidRPr="004B14BD" w:rsidRDefault="00684DB3" w:rsidP="00975A79">
      <w:pPr>
        <w:rPr>
          <w:b/>
          <w:bCs/>
        </w:rPr>
      </w:pPr>
    </w:p>
    <w:p w14:paraId="100FF09A" w14:textId="762E497C" w:rsidR="00FC2B8F" w:rsidRPr="004B14BD" w:rsidRDefault="00FC2B8F" w:rsidP="00975A79">
      <w:r w:rsidRPr="004B14BD">
        <w:t>Der er beregnet forskellige scenarier for, hvilken drift der er på virksomheden.</w:t>
      </w:r>
    </w:p>
    <w:p w14:paraId="68C61826" w14:textId="12995E9F" w:rsidR="00FC2B8F" w:rsidRPr="004B14BD" w:rsidRDefault="00FC2B8F" w:rsidP="00975A79"/>
    <w:p w14:paraId="20CFB40F" w14:textId="65A8BE29" w:rsidR="00FC2B8F" w:rsidRPr="004B14BD" w:rsidRDefault="00FC2B8F" w:rsidP="00975A79">
      <w:r w:rsidRPr="004B14BD">
        <w:t>Første scenarie vil være den almindelige daglige drift af virksomheden, bestående af transformere, støjen inde fra datacentret, ankomst og afgang af personale, samt vareleverancer leveret af lastvogne.</w:t>
      </w:r>
    </w:p>
    <w:p w14:paraId="06D1BBE3" w14:textId="3721B6FA" w:rsidR="00FC2B8F" w:rsidRPr="004B14BD" w:rsidRDefault="00FC2B8F" w:rsidP="00975A79"/>
    <w:p w14:paraId="2375618D" w14:textId="264DC0AB" w:rsidR="00FC2B8F" w:rsidRPr="004B14BD" w:rsidRDefault="00FC2B8F" w:rsidP="00975A79">
      <w:r w:rsidRPr="004B14BD">
        <w:t>Scenarie 2 er en månedlig test, hvor alle nødgeneratorer testes individuelt i 15 minutter, en efter</w:t>
      </w:r>
      <w:r w:rsidR="00C0526B" w:rsidRPr="004B14BD">
        <w:t xml:space="preserve"> </w:t>
      </w:r>
      <w:r w:rsidRPr="004B14BD">
        <w:t>en, med opstart kl. 08.</w:t>
      </w:r>
      <w:r w:rsidRPr="004B14BD">
        <w:cr/>
      </w:r>
    </w:p>
    <w:p w14:paraId="10780ADC" w14:textId="1448A55A" w:rsidR="00FC2B8F" w:rsidRPr="004B14BD" w:rsidRDefault="00FC2B8F" w:rsidP="00975A79">
      <w:r w:rsidRPr="004B14BD">
        <w:t>Scenarie 3 er en test en gang i kvartalet, hvor alle nødgeneratorer testes individuelt i 30 minutter, en efter en, med opstart kl. 08.</w:t>
      </w:r>
    </w:p>
    <w:p w14:paraId="4025F609" w14:textId="0B5C7C96" w:rsidR="00FC2B8F" w:rsidRPr="004B14BD" w:rsidRDefault="00FC2B8F" w:rsidP="00975A79"/>
    <w:p w14:paraId="76242B47" w14:textId="6F538A3F" w:rsidR="00FC2B8F" w:rsidRPr="004B14BD" w:rsidRDefault="00FC2B8F" w:rsidP="00975A79">
      <w:r w:rsidRPr="004B14BD">
        <w:t>Scenarie 4 er en årlig test, fordelt på to dage, hvor alle nødgeneratorer testes parvis, på hver side af hovedbygningen i 120 minutter pr. test. Disse test fordeles på to dage for at mindske støjgenen i naboområdet og har opstart kl. 08.</w:t>
      </w:r>
      <w:r w:rsidRPr="004B14BD">
        <w:cr/>
      </w:r>
    </w:p>
    <w:p w14:paraId="03A65DD0" w14:textId="75F0BC39" w:rsidR="00FC2B8F" w:rsidRPr="004B14BD" w:rsidRDefault="00FC2B8F" w:rsidP="00975A79">
      <w:r w:rsidRPr="004B14BD">
        <w:t>Alle tests af nødgeneratorer foregår udelukkende i dagperioden, på hverdage, og foregår samtidig</w:t>
      </w:r>
      <w:r w:rsidR="00C0526B" w:rsidRPr="004B14BD">
        <w:t xml:space="preserve"> </w:t>
      </w:r>
      <w:r w:rsidRPr="004B14BD">
        <w:t>med den almindelig daglige drift.</w:t>
      </w:r>
    </w:p>
    <w:p w14:paraId="38DDCA73" w14:textId="77777777" w:rsidR="00FC2B8F" w:rsidRPr="004B14BD" w:rsidRDefault="00FC2B8F" w:rsidP="00975A79"/>
    <w:p w14:paraId="2C75BE67" w14:textId="1D4FC875" w:rsidR="00E73C8D" w:rsidRPr="004B14BD" w:rsidRDefault="00E73C8D" w:rsidP="00975A79">
      <w:pPr>
        <w:rPr>
          <w:b/>
          <w:bCs/>
        </w:rPr>
      </w:pPr>
      <w:r w:rsidRPr="004B14BD">
        <w:rPr>
          <w:b/>
          <w:bCs/>
        </w:rPr>
        <w:t>Resultater</w:t>
      </w:r>
    </w:p>
    <w:p w14:paraId="18C9EA5A" w14:textId="77777777" w:rsidR="008736D1" w:rsidRPr="004B14BD" w:rsidRDefault="008736D1" w:rsidP="00975A79">
      <w:pPr>
        <w:rPr>
          <w:b/>
          <w:bCs/>
        </w:rPr>
      </w:pPr>
    </w:p>
    <w:p w14:paraId="68FE00B8" w14:textId="23F51967" w:rsidR="004C36FB" w:rsidRPr="004B14BD" w:rsidRDefault="00435072" w:rsidP="00975A79">
      <w:r w:rsidRPr="004B14BD">
        <w:t xml:space="preserve">Beregningerne viser, at den daglige drift </w:t>
      </w:r>
      <w:r w:rsidR="00716F69">
        <w:t>af</w:t>
      </w:r>
      <w:r w:rsidRPr="004B14BD">
        <w:t xml:space="preserve"> datacenteret</w:t>
      </w:r>
      <w:r w:rsidR="00FC2B8F" w:rsidRPr="004B14BD">
        <w:t xml:space="preserve"> </w:t>
      </w:r>
      <w:r w:rsidR="00716F69">
        <w:t xml:space="preserve">uden drift af nødstrømsanlægget </w:t>
      </w:r>
      <w:r w:rsidR="00FC2B8F" w:rsidRPr="004B14BD">
        <w:t>overholder</w:t>
      </w:r>
      <w:r w:rsidRPr="004B14BD">
        <w:t xml:space="preserve"> alle støjgrænser</w:t>
      </w:r>
      <w:r w:rsidR="00351A33">
        <w:t xml:space="preserve"> </w:t>
      </w:r>
      <w:r w:rsidRPr="004B14BD">
        <w:t>fastsat af Høje Taastrup Kommune. Beregningerne viser desuden, at de fastsatte støjgrænser også overholdes i alle naboområder ved samtlige tests af nødgeneratorer.</w:t>
      </w:r>
      <w:r w:rsidR="004C36FB" w:rsidRPr="004B14BD">
        <w:t xml:space="preserve"> </w:t>
      </w:r>
    </w:p>
    <w:p w14:paraId="6D927656" w14:textId="303056F3" w:rsidR="00435072" w:rsidRPr="004B14BD" w:rsidRDefault="00435072" w:rsidP="00811674">
      <w:pPr>
        <w:rPr>
          <w:color w:val="000000" w:themeColor="text1"/>
        </w:rPr>
      </w:pPr>
    </w:p>
    <w:p w14:paraId="49847394" w14:textId="15303ADE" w:rsidR="006E3AA6" w:rsidRPr="004B14BD" w:rsidRDefault="006E3AA6" w:rsidP="00975A79">
      <w:pPr>
        <w:rPr>
          <w:b/>
          <w:bCs/>
        </w:rPr>
      </w:pPr>
      <w:r w:rsidRPr="004B14BD">
        <w:rPr>
          <w:b/>
          <w:bCs/>
        </w:rPr>
        <w:t>Fastsættelse af støjvilkår</w:t>
      </w:r>
    </w:p>
    <w:p w14:paraId="764F04A7" w14:textId="77777777" w:rsidR="008736D1" w:rsidRPr="004B14BD" w:rsidRDefault="008736D1" w:rsidP="00975A79">
      <w:pPr>
        <w:rPr>
          <w:b/>
          <w:bCs/>
        </w:rPr>
      </w:pPr>
    </w:p>
    <w:p w14:paraId="601276B1" w14:textId="50C367D4" w:rsidR="00435072" w:rsidRPr="004B14BD" w:rsidRDefault="00435072" w:rsidP="00975A79">
      <w:r w:rsidRPr="004B14BD">
        <w:t>Kommunen har ud</w:t>
      </w:r>
      <w:r w:rsidR="009B3FD1" w:rsidRPr="004B14BD">
        <w:t xml:space="preserve"> </w:t>
      </w:r>
      <w:r w:rsidRPr="004B14BD">
        <w:t xml:space="preserve">fra de planmæssige bestemmelser ved omkringliggende områder </w:t>
      </w:r>
      <w:r w:rsidR="009B3FD1" w:rsidRPr="004B14BD">
        <w:t xml:space="preserve">samt områdernes anvendelse </w:t>
      </w:r>
      <w:r w:rsidRPr="004B14BD">
        <w:t>stillet vilkår om</w:t>
      </w:r>
      <w:r w:rsidR="005E6333" w:rsidRPr="004B14BD">
        <w:t>, at Miljøstyrelsens vejledende grænseværdier for ekstern støj skal overholdes indenfor de forskellige områdetyper</w:t>
      </w:r>
      <w:r w:rsidRPr="004B14BD">
        <w:t xml:space="preserve">. Se bilag </w:t>
      </w:r>
      <w:r w:rsidR="00CA188F">
        <w:t>3</w:t>
      </w:r>
      <w:r w:rsidRPr="004B14BD">
        <w:t xml:space="preserve"> </w:t>
      </w:r>
      <w:r w:rsidR="00F47D14">
        <w:t>”</w:t>
      </w:r>
      <w:r w:rsidR="00F47D14" w:rsidRPr="00F47D14">
        <w:t xml:space="preserve"> Lokalplanområder rundt om virksomheden</w:t>
      </w:r>
      <w:r w:rsidR="00F47D14">
        <w:t>”</w:t>
      </w:r>
      <w:r w:rsidR="00F47D14" w:rsidRPr="00F47D14">
        <w:t xml:space="preserve"> </w:t>
      </w:r>
      <w:r w:rsidRPr="004B14BD">
        <w:t>for planområderne omkring virksomheden.</w:t>
      </w:r>
      <w:r w:rsidR="009B3FD1" w:rsidRPr="004B14BD">
        <w:t xml:space="preserve"> </w:t>
      </w:r>
      <w:r w:rsidR="008C30B5">
        <w:t xml:space="preserve">I </w:t>
      </w:r>
      <w:r w:rsidR="001061C1" w:rsidRPr="004B14BD">
        <w:t xml:space="preserve">forhold til </w:t>
      </w:r>
      <w:r w:rsidR="00920F61" w:rsidRPr="004B14BD">
        <w:t xml:space="preserve">det rekreative område umiddelbart øst for datacentret </w:t>
      </w:r>
      <w:r w:rsidR="008C30B5">
        <w:t xml:space="preserve">har kommunen </w:t>
      </w:r>
      <w:r w:rsidR="00784C3C" w:rsidRPr="004B14BD">
        <w:t xml:space="preserve">vurderet, at det er rimeligt at stille krav </w:t>
      </w:r>
      <w:r w:rsidR="00920F61" w:rsidRPr="004B14BD">
        <w:t xml:space="preserve">om overholdelse af en </w:t>
      </w:r>
      <w:r w:rsidR="0007752F" w:rsidRPr="004B14BD">
        <w:t xml:space="preserve">grænseværdi på 50 dB(A) </w:t>
      </w:r>
      <w:r w:rsidR="00BE6ED7" w:rsidRPr="004B14BD">
        <w:t xml:space="preserve">gældende </w:t>
      </w:r>
      <w:r w:rsidR="0007752F" w:rsidRPr="004B14BD">
        <w:t>for hele døgnet. Dette er vurderet ud fra, at de</w:t>
      </w:r>
      <w:r w:rsidR="00BE6ED7" w:rsidRPr="004B14BD">
        <w:t xml:space="preserve">r er tale om </w:t>
      </w:r>
      <w:r w:rsidR="0007752F" w:rsidRPr="004B14BD">
        <w:t>et bynært rekreativt område, som er placeret tæt på industri og jernbane</w:t>
      </w:r>
      <w:r w:rsidR="00920F61" w:rsidRPr="004B14BD">
        <w:t xml:space="preserve">. </w:t>
      </w:r>
      <w:r w:rsidR="00196882" w:rsidRPr="004B14BD">
        <w:t>Området er derfor i forvejen påvirket af støj fra områderne rundt om.</w:t>
      </w:r>
      <w:r w:rsidR="00920F61" w:rsidRPr="004B14BD">
        <w:t xml:space="preserve"> </w:t>
      </w:r>
    </w:p>
    <w:p w14:paraId="70E7E554" w14:textId="0B55C2ED" w:rsidR="00153BF5" w:rsidRPr="004B14BD" w:rsidRDefault="00153BF5" w:rsidP="00975A79"/>
    <w:p w14:paraId="51FB7B9D" w14:textId="1EA63A61" w:rsidR="002C40A3" w:rsidRPr="004B14BD" w:rsidRDefault="002C40A3" w:rsidP="00975A79">
      <w:pPr>
        <w:rPr>
          <w:color w:val="FF0000"/>
        </w:rPr>
      </w:pPr>
      <w:r w:rsidRPr="004B14BD">
        <w:t>S</w:t>
      </w:r>
      <w:r w:rsidR="00153BF5" w:rsidRPr="004B14BD">
        <w:t>tøjgrænser skal overholdes ved ”normal maksimal drift”</w:t>
      </w:r>
      <w:r w:rsidR="00830A18" w:rsidRPr="004B14BD">
        <w:t>, dvs. ved normal drift af datacentret samt ved d</w:t>
      </w:r>
      <w:r w:rsidR="00153BF5" w:rsidRPr="004B14BD">
        <w:t>en planlagte</w:t>
      </w:r>
      <w:r w:rsidRPr="004B14BD">
        <w:t xml:space="preserve"> regelmæssige</w:t>
      </w:r>
      <w:r w:rsidR="00153BF5" w:rsidRPr="004B14BD">
        <w:t xml:space="preserve"> afprøvning af nødgeneratorer</w:t>
      </w:r>
      <w:r w:rsidR="00830A18" w:rsidRPr="004B14BD">
        <w:t>.</w:t>
      </w:r>
      <w:r w:rsidR="00C353E7" w:rsidRPr="004B14BD">
        <w:t xml:space="preserve"> Der stilles krav om</w:t>
      </w:r>
      <w:r w:rsidR="007E06EF">
        <w:t>,</w:t>
      </w:r>
      <w:r w:rsidR="00C353E7" w:rsidRPr="004B14BD">
        <w:t xml:space="preserve"> at test og vedligeholdelse af anlægget kun må foregå på hverdage fra kl. 7-18.</w:t>
      </w:r>
    </w:p>
    <w:p w14:paraId="142F07D4" w14:textId="77777777" w:rsidR="00C353E7" w:rsidRPr="004B14BD" w:rsidRDefault="00C353E7" w:rsidP="00975A79"/>
    <w:p w14:paraId="1D8EEC1A" w14:textId="131DCAF3" w:rsidR="002C40A3" w:rsidRPr="004B14BD" w:rsidRDefault="00B3178F" w:rsidP="00975A79">
      <w:r w:rsidRPr="004B14BD">
        <w:t>Støjgrænserne tillades overskredet i de forventede meget sjældne tilfælde, når der køres nøddrift pga. svigt i strømforsyningen til datacentret</w:t>
      </w:r>
      <w:r w:rsidR="00367C09">
        <w:t>.</w:t>
      </w:r>
    </w:p>
    <w:p w14:paraId="012795B3" w14:textId="77777777" w:rsidR="00AD5D5A" w:rsidRPr="004B14BD" w:rsidRDefault="00AD5D5A" w:rsidP="00975A79">
      <w:pPr>
        <w:rPr>
          <w:color w:val="FF0000"/>
        </w:rPr>
      </w:pPr>
    </w:p>
    <w:p w14:paraId="23D94180" w14:textId="53A06E92" w:rsidR="00AD5D5A" w:rsidRPr="004B14BD" w:rsidRDefault="00AD5D5A" w:rsidP="00975A79">
      <w:r w:rsidRPr="004B14BD">
        <w:t xml:space="preserve">På baggrund af de foreliggende oplysninger, er det </w:t>
      </w:r>
      <w:r w:rsidR="0007752F" w:rsidRPr="004B14BD">
        <w:t>Høje-Taastrup</w:t>
      </w:r>
      <w:r w:rsidRPr="004B14BD">
        <w:t xml:space="preserve"> </w:t>
      </w:r>
      <w:r w:rsidR="00896396">
        <w:t>K</w:t>
      </w:r>
      <w:r w:rsidRPr="004B14BD">
        <w:t>ommunes vurdering, at virksomheden ville kunne drives under overholdelse af støjgrænserne gældende for nærmeste sårbare boligområde</w:t>
      </w:r>
      <w:r w:rsidR="00C65163" w:rsidRPr="004B14BD">
        <w:t>r</w:t>
      </w:r>
      <w:r w:rsidRPr="004B14BD">
        <w:t xml:space="preserve">. </w:t>
      </w:r>
      <w:r w:rsidR="0007752F" w:rsidRPr="004B14BD">
        <w:t>Høje-Taastrup</w:t>
      </w:r>
      <w:r w:rsidRPr="004B14BD">
        <w:t xml:space="preserve"> Kommune </w:t>
      </w:r>
      <w:r w:rsidR="00E43232">
        <w:t>vurderer</w:t>
      </w:r>
      <w:r w:rsidR="00C65163" w:rsidRPr="004B14BD">
        <w:t>,</w:t>
      </w:r>
      <w:r w:rsidRPr="004B14BD">
        <w:t xml:space="preserve"> at virksomheden </w:t>
      </w:r>
      <w:r w:rsidR="00E43232">
        <w:t xml:space="preserve">skal have </w:t>
      </w:r>
      <w:r w:rsidRPr="004B14BD">
        <w:t>foretaget en efterfølgende akkrediteret støjmåling til dokumentation for overholdelse.</w:t>
      </w:r>
    </w:p>
    <w:p w14:paraId="28E80C1F" w14:textId="77777777" w:rsidR="00C65163" w:rsidRPr="004B14BD" w:rsidRDefault="00C65163" w:rsidP="00C65163"/>
    <w:p w14:paraId="6CC18C46" w14:textId="33899C7D" w:rsidR="00C65163" w:rsidRPr="004B14BD" w:rsidRDefault="00C65163" w:rsidP="00C65163">
      <w:r w:rsidRPr="004B14BD">
        <w:lastRenderedPageBreak/>
        <w:t xml:space="preserve">Høje-Taastrup Kommune stiller vilkår om, at virksomheden får foretaget en akkrediteret miljømåling ekstern støj indenfor 6 måneder fra opstart af </w:t>
      </w:r>
      <w:r w:rsidR="00E91B5F">
        <w:t>fase 1</w:t>
      </w:r>
      <w:r w:rsidR="00495929">
        <w:t xml:space="preserve"> og igen indenfor 6 måneder fra opstart af fase 2</w:t>
      </w:r>
      <w:r w:rsidRPr="004B14BD">
        <w:t>. Kommunen stiller vilkår om, at virksomheden skal indsende resultatet af beregningerne/målingerne til Høje-Taastrup Kommune.</w:t>
      </w:r>
    </w:p>
    <w:p w14:paraId="60B2A410" w14:textId="77777777" w:rsidR="00AD5D5A" w:rsidRPr="004B14BD" w:rsidRDefault="00AD5D5A" w:rsidP="00975A79"/>
    <w:p w14:paraId="6D7A1ADA" w14:textId="64D00ADE" w:rsidR="00AD5D5A" w:rsidRPr="004B14BD" w:rsidRDefault="00AD5D5A" w:rsidP="00975A79">
      <w:pPr>
        <w:rPr>
          <w:b/>
          <w:bCs/>
        </w:rPr>
      </w:pPr>
      <w:r w:rsidRPr="004B14BD">
        <w:rPr>
          <w:b/>
          <w:bCs/>
        </w:rPr>
        <w:t>Lavfrekvent støj og vibrationer</w:t>
      </w:r>
    </w:p>
    <w:p w14:paraId="4BE4DE4C" w14:textId="1CC1CEED" w:rsidR="00AD5D5A" w:rsidRPr="004B14BD" w:rsidRDefault="00AD5D5A" w:rsidP="00975A79">
      <w:r w:rsidRPr="004B14BD">
        <w:t xml:space="preserve">Dieselgeneratorer, ventilationsanlæg og transformerstation er potentielle kilder til lavfrekvent støj. </w:t>
      </w:r>
    </w:p>
    <w:p w14:paraId="088CC765" w14:textId="30F5C3FC" w:rsidR="00C425BB" w:rsidRPr="004B14BD" w:rsidRDefault="00C425BB" w:rsidP="00975A79"/>
    <w:p w14:paraId="5F6C749C" w14:textId="1AA65AB8" w:rsidR="00C425BB" w:rsidRPr="004B14BD" w:rsidRDefault="001061C1" w:rsidP="00975A79">
      <w:r w:rsidRPr="004B14BD">
        <w:t>Det er oplyst til kommunen i mail fra S</w:t>
      </w:r>
      <w:r w:rsidR="00AE63D3" w:rsidRPr="004B14BD">
        <w:t>WECO</w:t>
      </w:r>
      <w:r w:rsidRPr="004B14BD">
        <w:t xml:space="preserve"> den 24. maj 2022, at: ”e</w:t>
      </w:r>
      <w:r w:rsidR="00C425BB" w:rsidRPr="004B14BD">
        <w:t>rfaringer fra tidligere projekter med lignende situationer viser, at der ikke har været problemer med lavfrekvent støj og vibrationer. Vi forventer derfor, at der ligeledes ikke vil forekomme problemer ved denne lokation. Leverandør af lufthåndteringsenheder til datahallerne (ventilation/køling, AHU/AirHandlingUnits) blev i udvælgelsesprocessen bedt om at levere tredje oktavbånds lydniveauer for at kontrollere, at enhederne ikke udviser tonalitet eller lavfrekvent støj. Derudover har resultaterne af støjudbredelsessimuleringer ikke vist signifikante niveauer af lavfrekvent lyd. Med hensyn til vibrationer er en del af designspecifikationerne, at alt udstyr skal monteres på anti-vibrationssystemer.</w:t>
      </w:r>
      <w:r w:rsidRPr="004B14BD">
        <w:t>”</w:t>
      </w:r>
    </w:p>
    <w:p w14:paraId="35E86EF7" w14:textId="77777777" w:rsidR="00C425BB" w:rsidRPr="004B14BD" w:rsidRDefault="00C425BB" w:rsidP="00975A79"/>
    <w:p w14:paraId="3BAFCACA" w14:textId="77777777" w:rsidR="001061C1" w:rsidRPr="004B14BD" w:rsidRDefault="001061C1" w:rsidP="00975A79">
      <w:r w:rsidRPr="004B14BD">
        <w:t xml:space="preserve">Ud fra ovenstående vurderer kommunen, at de vejledende støjgrænser for lavfrekvent støj og vibrationer kan overholdes. </w:t>
      </w:r>
    </w:p>
    <w:p w14:paraId="3BC35668" w14:textId="77777777" w:rsidR="001061C1" w:rsidRPr="004B14BD" w:rsidRDefault="001061C1" w:rsidP="00975A79"/>
    <w:p w14:paraId="77B49F96" w14:textId="76E2CB97" w:rsidR="000B6712" w:rsidRPr="004B14BD" w:rsidRDefault="00C425BB" w:rsidP="0049477A">
      <w:r w:rsidRPr="004B14BD">
        <w:t xml:space="preserve">Der er stillet grænseværdier for både vibrationer og lavfrekvent støj. </w:t>
      </w:r>
    </w:p>
    <w:p w14:paraId="675B4749" w14:textId="5ABFF55E" w:rsidR="000B6712" w:rsidRPr="004B14BD" w:rsidRDefault="00F477A5" w:rsidP="0049477A">
      <w:pPr>
        <w:pStyle w:val="Overskrift2"/>
      </w:pPr>
      <w:bookmarkStart w:id="40" w:name="_Toc384208167"/>
      <w:bookmarkStart w:id="41" w:name="_Toc120196518"/>
      <w:r w:rsidRPr="004B14BD">
        <w:t xml:space="preserve">2.7 </w:t>
      </w:r>
      <w:r w:rsidR="000B6712" w:rsidRPr="004B14BD">
        <w:t>Luftfor</w:t>
      </w:r>
      <w:bookmarkEnd w:id="40"/>
      <w:r w:rsidR="000B6712" w:rsidRPr="004B14BD">
        <w:t>urening</w:t>
      </w:r>
      <w:bookmarkEnd w:id="41"/>
    </w:p>
    <w:p w14:paraId="281716D6" w14:textId="18D3E2D7" w:rsidR="008226E4" w:rsidRPr="004B14BD" w:rsidRDefault="008226E4" w:rsidP="008226E4"/>
    <w:p w14:paraId="338D3E68" w14:textId="7B798AAD" w:rsidR="008226E4" w:rsidRPr="004B14BD" w:rsidRDefault="008226E4" w:rsidP="008226E4">
      <w:pPr>
        <w:rPr>
          <w:b/>
          <w:bCs/>
        </w:rPr>
      </w:pPr>
      <w:r w:rsidRPr="004B14BD">
        <w:rPr>
          <w:b/>
          <w:bCs/>
        </w:rPr>
        <w:t>Generelt</w:t>
      </w:r>
    </w:p>
    <w:p w14:paraId="00CA09E2" w14:textId="77777777" w:rsidR="00523D33" w:rsidRPr="004B14BD" w:rsidRDefault="00523D33" w:rsidP="008226E4">
      <w:pPr>
        <w:rPr>
          <w:b/>
          <w:bCs/>
        </w:rPr>
      </w:pPr>
    </w:p>
    <w:p w14:paraId="4F19FEE6" w14:textId="62323635" w:rsidR="0022474E" w:rsidRPr="004B14BD" w:rsidRDefault="0022474E" w:rsidP="008226E4">
      <w:pPr>
        <w:rPr>
          <w:color w:val="000000" w:themeColor="text1"/>
        </w:rPr>
      </w:pPr>
      <w:r w:rsidRPr="004B14BD">
        <w:t>Når nødstrømsanlægget er helt færdigopført</w:t>
      </w:r>
      <w:r w:rsidR="00775D6C" w:rsidRPr="004B14BD">
        <w:t xml:space="preserve"> i fase 2</w:t>
      </w:r>
      <w:r w:rsidRPr="004B14BD">
        <w:t xml:space="preserve">, </w:t>
      </w:r>
      <w:r w:rsidR="00775D6C" w:rsidRPr="004B14BD">
        <w:t xml:space="preserve">vil der være i alt 16 </w:t>
      </w:r>
      <w:r w:rsidR="00775D6C" w:rsidRPr="004B14BD">
        <w:rPr>
          <w:color w:val="000000" w:themeColor="text1"/>
        </w:rPr>
        <w:t>generatorer til selve datacentret med en indfyret effekt på hver 7,5</w:t>
      </w:r>
      <w:r w:rsidR="00B8028C" w:rsidRPr="004B14BD">
        <w:rPr>
          <w:color w:val="000000" w:themeColor="text1"/>
        </w:rPr>
        <w:t xml:space="preserve"> </w:t>
      </w:r>
      <w:r w:rsidR="00775D6C" w:rsidRPr="004B14BD">
        <w:rPr>
          <w:color w:val="000000" w:themeColor="text1"/>
        </w:rPr>
        <w:t>MW samt et selvstændigt nødstrømsanlæg til administrationsbygningen med en indfyret effekt på 1,21 MW. Nødstrømsanlægget til datacentret og administrationsbygningen har således en samlet indfyret effekt på 121,21 MW.</w:t>
      </w:r>
    </w:p>
    <w:p w14:paraId="4E9AC79D" w14:textId="77777777" w:rsidR="00775D6C" w:rsidRPr="004B14BD" w:rsidRDefault="00775D6C" w:rsidP="008226E4">
      <w:pPr>
        <w:rPr>
          <w:color w:val="FF0000"/>
        </w:rPr>
      </w:pPr>
    </w:p>
    <w:p w14:paraId="6078DF08" w14:textId="70F7F991" w:rsidR="00842E61" w:rsidRPr="004B14BD" w:rsidRDefault="00B20D73" w:rsidP="000B6712">
      <w:pPr>
        <w:rPr>
          <w:szCs w:val="24"/>
        </w:rPr>
      </w:pPr>
      <w:r w:rsidRPr="004B14BD">
        <w:rPr>
          <w:szCs w:val="24"/>
        </w:rPr>
        <w:t>Luftforurening fra virksomheden er begrænset til emissionerne fra nødstrømsanlæggene. De væsentligste parametre vil være CO, NO</w:t>
      </w:r>
      <w:r w:rsidR="0065136F" w:rsidRPr="004B14BD">
        <w:rPr>
          <w:szCs w:val="24"/>
        </w:rPr>
        <w:t>x</w:t>
      </w:r>
      <w:r w:rsidR="00EB542D" w:rsidRPr="004B14BD">
        <w:rPr>
          <w:szCs w:val="24"/>
        </w:rPr>
        <w:t xml:space="preserve">, </w:t>
      </w:r>
      <w:r w:rsidRPr="004B14BD">
        <w:rPr>
          <w:szCs w:val="24"/>
        </w:rPr>
        <w:t>SO</w:t>
      </w:r>
      <w:r w:rsidRPr="004B14BD">
        <w:rPr>
          <w:szCs w:val="24"/>
          <w:vertAlign w:val="subscript"/>
        </w:rPr>
        <w:t>2</w:t>
      </w:r>
      <w:r w:rsidRPr="004B14BD">
        <w:rPr>
          <w:szCs w:val="24"/>
        </w:rPr>
        <w:t xml:space="preserve">. </w:t>
      </w:r>
      <w:r w:rsidR="00EA5250" w:rsidRPr="004B14BD">
        <w:rPr>
          <w:szCs w:val="24"/>
        </w:rPr>
        <w:t>I dag har dieselolie til indfyring i kedelanlæg, et reduceret svovlindhold og emissionen af SO</w:t>
      </w:r>
      <w:r w:rsidR="00EA5250" w:rsidRPr="00E43232">
        <w:rPr>
          <w:szCs w:val="24"/>
          <w:vertAlign w:val="subscript"/>
        </w:rPr>
        <w:t>2</w:t>
      </w:r>
      <w:r w:rsidR="00EA5250" w:rsidRPr="004B14BD">
        <w:rPr>
          <w:szCs w:val="24"/>
        </w:rPr>
        <w:t xml:space="preserve"> vil derfor være af mindre betydning. Det forventes</w:t>
      </w:r>
      <w:r w:rsidR="00CC2DBF" w:rsidRPr="004B14BD">
        <w:rPr>
          <w:szCs w:val="24"/>
        </w:rPr>
        <w:t xml:space="preserve"> ifølge oplysninger ved ansøgningen</w:t>
      </w:r>
      <w:r w:rsidR="00EA5250" w:rsidRPr="004B14BD">
        <w:rPr>
          <w:szCs w:val="24"/>
        </w:rPr>
        <w:t xml:space="preserve">, at </w:t>
      </w:r>
      <w:r w:rsidR="00CC2DBF" w:rsidRPr="004B14BD">
        <w:rPr>
          <w:szCs w:val="24"/>
        </w:rPr>
        <w:t xml:space="preserve">der anvendes </w:t>
      </w:r>
      <w:r w:rsidR="00EA5250" w:rsidRPr="004B14BD">
        <w:rPr>
          <w:szCs w:val="24"/>
        </w:rPr>
        <w:t xml:space="preserve">dieselolie med </w:t>
      </w:r>
      <w:r w:rsidR="00516834" w:rsidRPr="004B14BD">
        <w:rPr>
          <w:szCs w:val="24"/>
        </w:rPr>
        <w:t xml:space="preserve">svovlindhold på 0.0015% (vægtprocent). </w:t>
      </w:r>
      <w:r w:rsidR="00EA5250" w:rsidRPr="004B14BD">
        <w:rPr>
          <w:szCs w:val="24"/>
        </w:rPr>
        <w:t>Svovlindholdet forventes derfor ikke at være problematisk. Partikelindholdet (støv) forventes også uden betydning, da det ikke er faste brændsler men dieselolie</w:t>
      </w:r>
      <w:r w:rsidR="006C22E9">
        <w:rPr>
          <w:szCs w:val="24"/>
        </w:rPr>
        <w:t>,</w:t>
      </w:r>
      <w:r w:rsidR="00EA5250" w:rsidRPr="004B14BD">
        <w:rPr>
          <w:szCs w:val="24"/>
        </w:rPr>
        <w:t xml:space="preserve"> der forbrændes. </w:t>
      </w:r>
    </w:p>
    <w:p w14:paraId="652DBAAC" w14:textId="1B42EF1D" w:rsidR="00842E61" w:rsidRPr="004B14BD" w:rsidRDefault="00842E61" w:rsidP="000B6712">
      <w:pPr>
        <w:rPr>
          <w:szCs w:val="24"/>
        </w:rPr>
      </w:pPr>
    </w:p>
    <w:p w14:paraId="591BCFFB" w14:textId="77777777" w:rsidR="007E5239" w:rsidRPr="004B14BD" w:rsidRDefault="00842E61" w:rsidP="00842E61">
      <w:pPr>
        <w:rPr>
          <w:szCs w:val="24"/>
        </w:rPr>
      </w:pPr>
      <w:r w:rsidRPr="004B14BD">
        <w:rPr>
          <w:szCs w:val="24"/>
        </w:rPr>
        <w:t>Da der er tale om et nødstrømsanlæg med en driftstid på under 500 timer årligt, er anlægget jf. MCP-bekendtgørelsens § 10 undtaget for at skulle overholde bekendtgørelsens emissionsgrænseværdier for SO</w:t>
      </w:r>
      <w:r w:rsidRPr="004B14BD">
        <w:rPr>
          <w:szCs w:val="24"/>
          <w:vertAlign w:val="subscript"/>
        </w:rPr>
        <w:t>2</w:t>
      </w:r>
      <w:r w:rsidRPr="004B14BD">
        <w:rPr>
          <w:szCs w:val="24"/>
        </w:rPr>
        <w:t xml:space="preserve">, NOx, støv og CO. </w:t>
      </w:r>
    </w:p>
    <w:p w14:paraId="76CD473F" w14:textId="77777777" w:rsidR="00842E61" w:rsidRPr="004B14BD" w:rsidRDefault="00842E61" w:rsidP="00842E61">
      <w:pPr>
        <w:rPr>
          <w:szCs w:val="24"/>
        </w:rPr>
      </w:pPr>
    </w:p>
    <w:p w14:paraId="1F37EB31" w14:textId="0621A36F" w:rsidR="007B1603" w:rsidRPr="007B1603" w:rsidRDefault="00842E61" w:rsidP="00B513F9">
      <w:pPr>
        <w:rPr>
          <w:szCs w:val="24"/>
        </w:rPr>
      </w:pPr>
      <w:r w:rsidRPr="004B14BD">
        <w:rPr>
          <w:color w:val="000000" w:themeColor="text1"/>
          <w:szCs w:val="24"/>
        </w:rPr>
        <w:t xml:space="preserve">I MCP-bekendtgørelsen er der </w:t>
      </w:r>
      <w:r w:rsidR="00EC318E" w:rsidRPr="004B14BD">
        <w:rPr>
          <w:color w:val="000000" w:themeColor="text1"/>
          <w:szCs w:val="24"/>
        </w:rPr>
        <w:t xml:space="preserve">en række andre krav i forbindelse med indretning og drift af anlægget, som virksomheden skal være opmærksom på. I afsnittet </w:t>
      </w:r>
      <w:r w:rsidR="00F23A42" w:rsidRPr="004B14BD">
        <w:rPr>
          <w:color w:val="000000" w:themeColor="text1"/>
          <w:szCs w:val="24"/>
        </w:rPr>
        <w:t>”</w:t>
      </w:r>
      <w:r w:rsidR="007D7C0F" w:rsidRPr="004B14BD">
        <w:rPr>
          <w:color w:val="000000" w:themeColor="text1"/>
          <w:szCs w:val="24"/>
        </w:rPr>
        <w:t>Regler</w:t>
      </w:r>
      <w:r w:rsidR="00F23A42" w:rsidRPr="004B14BD">
        <w:rPr>
          <w:color w:val="000000" w:themeColor="text1"/>
          <w:szCs w:val="24"/>
        </w:rPr>
        <w:t xml:space="preserve"> i </w:t>
      </w:r>
      <w:r w:rsidR="00A008FC" w:rsidRPr="004B14BD">
        <w:rPr>
          <w:color w:val="000000" w:themeColor="text1"/>
          <w:szCs w:val="24"/>
        </w:rPr>
        <w:t>MCP-</w:t>
      </w:r>
      <w:r w:rsidR="00F23A42" w:rsidRPr="004B14BD">
        <w:rPr>
          <w:color w:val="000000" w:themeColor="text1"/>
          <w:szCs w:val="24"/>
        </w:rPr>
        <w:t xml:space="preserve">bekendtgørelsen og olietankbekendtgørelsen” i nærværende miljøgodkendelse er </w:t>
      </w:r>
      <w:r w:rsidR="00F23A42" w:rsidRPr="007B1603">
        <w:rPr>
          <w:szCs w:val="24"/>
        </w:rPr>
        <w:t xml:space="preserve">disse krav oplistet. </w:t>
      </w:r>
      <w:r w:rsidR="00693A66" w:rsidRPr="007B1603">
        <w:rPr>
          <w:szCs w:val="24"/>
        </w:rPr>
        <w:t>D</w:t>
      </w:r>
      <w:r w:rsidR="00F23A42" w:rsidRPr="007B1603">
        <w:rPr>
          <w:szCs w:val="24"/>
        </w:rPr>
        <w:t>et</w:t>
      </w:r>
      <w:r w:rsidR="00693A66" w:rsidRPr="007B1603">
        <w:rPr>
          <w:szCs w:val="24"/>
        </w:rPr>
        <w:t xml:space="preserve"> er</w:t>
      </w:r>
      <w:r w:rsidR="00F23A42" w:rsidRPr="007B1603">
        <w:rPr>
          <w:szCs w:val="24"/>
        </w:rPr>
        <w:t xml:space="preserve"> krav til korte opstarts- og nedlukningsperioder, indretning af målested i afkast</w:t>
      </w:r>
      <w:r w:rsidR="007B1603" w:rsidRPr="007B1603">
        <w:rPr>
          <w:szCs w:val="24"/>
        </w:rPr>
        <w:t xml:space="preserve"> samt</w:t>
      </w:r>
      <w:r w:rsidR="00F23A42" w:rsidRPr="007B1603">
        <w:rPr>
          <w:szCs w:val="24"/>
        </w:rPr>
        <w:t xml:space="preserve"> præstationskontroller for </w:t>
      </w:r>
      <w:r w:rsidR="005175BC" w:rsidRPr="007B1603">
        <w:rPr>
          <w:szCs w:val="24"/>
        </w:rPr>
        <w:t>CO</w:t>
      </w:r>
      <w:r w:rsidR="007B1603" w:rsidRPr="007B1603">
        <w:rPr>
          <w:szCs w:val="24"/>
        </w:rPr>
        <w:t xml:space="preserve">. Således skal virksomheden </w:t>
      </w:r>
      <w:r w:rsidR="00A06EFD" w:rsidRPr="007B1603">
        <w:rPr>
          <w:szCs w:val="24"/>
        </w:rPr>
        <w:t>ved præstationskontrol overvåge emissioner af CO fra fyringsanlæg, der anvendes som nødanlæg</w:t>
      </w:r>
      <w:r w:rsidR="007B1603" w:rsidRPr="007B1603">
        <w:rPr>
          <w:szCs w:val="24"/>
        </w:rPr>
        <w:t>, jf. §20 Stk. 2 i bekendtgørelsen.</w:t>
      </w:r>
    </w:p>
    <w:p w14:paraId="0B651799" w14:textId="77777777" w:rsidR="007B1603" w:rsidRPr="007B1603" w:rsidRDefault="007B1603" w:rsidP="00B513F9">
      <w:pPr>
        <w:rPr>
          <w:szCs w:val="24"/>
        </w:rPr>
      </w:pPr>
    </w:p>
    <w:p w14:paraId="5A4865D5" w14:textId="5387914B" w:rsidR="00B513F9" w:rsidRPr="007B1603" w:rsidRDefault="007B1603" w:rsidP="00B513F9">
      <w:pPr>
        <w:rPr>
          <w:szCs w:val="24"/>
        </w:rPr>
      </w:pPr>
      <w:r w:rsidRPr="007B1603">
        <w:rPr>
          <w:szCs w:val="24"/>
        </w:rPr>
        <w:lastRenderedPageBreak/>
        <w:t xml:space="preserve">Dette betyder i henhold til </w:t>
      </w:r>
      <w:r w:rsidR="00B513F9" w:rsidRPr="007B1603">
        <w:rPr>
          <w:szCs w:val="24"/>
        </w:rPr>
        <w:t>§ 28</w:t>
      </w:r>
      <w:r w:rsidRPr="007B1603">
        <w:rPr>
          <w:szCs w:val="24"/>
        </w:rPr>
        <w:t>, at</w:t>
      </w:r>
      <w:r w:rsidR="00B513F9" w:rsidRPr="007B1603">
        <w:rPr>
          <w:szCs w:val="24"/>
        </w:rPr>
        <w:t xml:space="preserve"> </w:t>
      </w:r>
      <w:r w:rsidRPr="007B1603">
        <w:rPr>
          <w:szCs w:val="24"/>
        </w:rPr>
        <w:t>f</w:t>
      </w:r>
      <w:r w:rsidR="00B513F9" w:rsidRPr="007B1603">
        <w:rPr>
          <w:szCs w:val="24"/>
        </w:rPr>
        <w:t>or nye mellemstore fyringsanlæg, der anvendes som nødanlæg, udføres præstationskontroller med følgende hyppighed:</w:t>
      </w:r>
    </w:p>
    <w:p w14:paraId="26777CF7" w14:textId="77777777" w:rsidR="00B513F9" w:rsidRPr="007B1603" w:rsidRDefault="00B513F9" w:rsidP="00B513F9">
      <w:pPr>
        <w:rPr>
          <w:szCs w:val="24"/>
        </w:rPr>
      </w:pPr>
    </w:p>
    <w:p w14:paraId="1DF6A800" w14:textId="179945BC" w:rsidR="000B3651" w:rsidRPr="007B1603" w:rsidRDefault="00B513F9" w:rsidP="000B3651">
      <w:pPr>
        <w:rPr>
          <w:szCs w:val="24"/>
        </w:rPr>
      </w:pPr>
      <w:r w:rsidRPr="007B1603">
        <w:rPr>
          <w:szCs w:val="24"/>
        </w:rPr>
        <w:t>Hver gang fyringsanlægget har været i drift i 1500 timer, dog mindst hvert 5. år, hvis fyringsanlægget har en nominel indfyret termisk effekt på mindre end eller lig med 20 MW.</w:t>
      </w:r>
    </w:p>
    <w:p w14:paraId="64A94445" w14:textId="77777777" w:rsidR="007B1603" w:rsidRPr="000B3651" w:rsidRDefault="007B1603" w:rsidP="000B3651">
      <w:pPr>
        <w:rPr>
          <w:color w:val="FF0000"/>
          <w:szCs w:val="24"/>
        </w:rPr>
      </w:pPr>
    </w:p>
    <w:p w14:paraId="18DEFB19" w14:textId="4E9AA44F" w:rsidR="00855A1B" w:rsidRPr="000B3651" w:rsidRDefault="007B1603" w:rsidP="000B3651">
      <w:pPr>
        <w:rPr>
          <w:color w:val="FF0000"/>
          <w:szCs w:val="24"/>
        </w:rPr>
      </w:pPr>
      <w:r>
        <w:rPr>
          <w:color w:val="000000" w:themeColor="text1"/>
          <w:szCs w:val="24"/>
        </w:rPr>
        <w:t>Det indsættes som et vilkår, at der skal føres</w:t>
      </w:r>
      <w:r w:rsidR="00F23A42" w:rsidRPr="000B3651">
        <w:rPr>
          <w:color w:val="000000" w:themeColor="text1"/>
          <w:szCs w:val="24"/>
        </w:rPr>
        <w:t xml:space="preserve"> driftsjournal over resultater af overvågningen af CO </w:t>
      </w:r>
      <w:r w:rsidR="00BF19C1" w:rsidRPr="000B3651">
        <w:rPr>
          <w:color w:val="000000" w:themeColor="text1"/>
          <w:szCs w:val="24"/>
        </w:rPr>
        <w:t>samt</w:t>
      </w:r>
      <w:r w:rsidR="00F23A42" w:rsidRPr="000B3651">
        <w:rPr>
          <w:color w:val="000000" w:themeColor="text1"/>
          <w:szCs w:val="24"/>
        </w:rPr>
        <w:t xml:space="preserve"> antallet af årlige driftstimer for nødstrømsanlægget.</w:t>
      </w:r>
      <w:r w:rsidR="00842E61" w:rsidRPr="000B3651">
        <w:rPr>
          <w:color w:val="000000" w:themeColor="text1"/>
          <w:szCs w:val="24"/>
        </w:rPr>
        <w:t xml:space="preserve"> </w:t>
      </w:r>
      <w:r w:rsidR="00A7016D" w:rsidRPr="000B3651">
        <w:rPr>
          <w:color w:val="000000" w:themeColor="text1"/>
          <w:szCs w:val="24"/>
        </w:rPr>
        <w:t xml:space="preserve">Virksomheden skal være opmærksom på, at kravene i </w:t>
      </w:r>
      <w:r w:rsidR="00A008FC" w:rsidRPr="000B3651">
        <w:rPr>
          <w:szCs w:val="24"/>
        </w:rPr>
        <w:t>MCP-</w:t>
      </w:r>
      <w:r w:rsidR="007744A5" w:rsidRPr="000B3651">
        <w:rPr>
          <w:szCs w:val="24"/>
        </w:rPr>
        <w:t xml:space="preserve">bekendtgørelsen kan blive ændret. </w:t>
      </w:r>
      <w:r w:rsidR="004F7269" w:rsidRPr="000B3651">
        <w:rPr>
          <w:szCs w:val="24"/>
        </w:rPr>
        <w:t>Det er reglerne i de</w:t>
      </w:r>
      <w:r w:rsidR="00144A0B">
        <w:rPr>
          <w:szCs w:val="24"/>
        </w:rPr>
        <w:t>n</w:t>
      </w:r>
      <w:r w:rsidR="004F7269" w:rsidRPr="000B3651">
        <w:rPr>
          <w:szCs w:val="24"/>
        </w:rPr>
        <w:t xml:space="preserve"> til enhver tid gældende bekendtgørelse, der skal følges, medmindre vilkårene i denne godkendelse er skærpede (mere restriktive) i forhold til vilkårene i bekendtgørelse</w:t>
      </w:r>
      <w:r w:rsidR="008265ED">
        <w:rPr>
          <w:szCs w:val="24"/>
        </w:rPr>
        <w:t>n</w:t>
      </w:r>
      <w:r w:rsidR="004F7269" w:rsidRPr="000B3651">
        <w:rPr>
          <w:szCs w:val="24"/>
        </w:rPr>
        <w:t xml:space="preserve">; i så fald skal de skærpede vilkår i miljøgodkendelsen følges. </w:t>
      </w:r>
    </w:p>
    <w:p w14:paraId="1DAC5875" w14:textId="77777777" w:rsidR="00F209F8" w:rsidRPr="004B14BD" w:rsidRDefault="00F209F8" w:rsidP="000B6712">
      <w:pPr>
        <w:rPr>
          <w:szCs w:val="24"/>
        </w:rPr>
      </w:pPr>
    </w:p>
    <w:p w14:paraId="50D86B15" w14:textId="0E5AB1F5" w:rsidR="00B36FAC" w:rsidRPr="004B14BD" w:rsidRDefault="00B36FAC" w:rsidP="000B6712">
      <w:pPr>
        <w:rPr>
          <w:color w:val="000000" w:themeColor="text1"/>
          <w:szCs w:val="24"/>
        </w:rPr>
      </w:pPr>
      <w:r w:rsidRPr="004B14BD">
        <w:rPr>
          <w:color w:val="000000" w:themeColor="text1"/>
          <w:szCs w:val="24"/>
        </w:rPr>
        <w:t>Luftvejledningens</w:t>
      </w:r>
      <w:r w:rsidRPr="004B14BD">
        <w:rPr>
          <w:rStyle w:val="Fodnotehenvisning"/>
          <w:color w:val="000000" w:themeColor="text1"/>
          <w:szCs w:val="24"/>
        </w:rPr>
        <w:footnoteReference w:id="18"/>
      </w:r>
      <w:r w:rsidRPr="004B14BD">
        <w:rPr>
          <w:color w:val="000000" w:themeColor="text1"/>
          <w:szCs w:val="24"/>
        </w:rPr>
        <w:t xml:space="preserve"> krav til B-værdier er gældende for anlægget. Anlægget skal i testdrift kunne overholde B-værdierne.</w:t>
      </w:r>
    </w:p>
    <w:p w14:paraId="58F651D6" w14:textId="698DE20E" w:rsidR="002B3E10" w:rsidRPr="004B14BD" w:rsidRDefault="002B3E10" w:rsidP="000B6712">
      <w:pPr>
        <w:rPr>
          <w:color w:val="000000" w:themeColor="text1"/>
          <w:szCs w:val="24"/>
        </w:rPr>
      </w:pPr>
    </w:p>
    <w:p w14:paraId="03261519" w14:textId="5EE86571" w:rsidR="007504A2" w:rsidRPr="004B14BD" w:rsidRDefault="007504A2" w:rsidP="000B6712">
      <w:pPr>
        <w:rPr>
          <w:b/>
          <w:bCs/>
          <w:color w:val="000000" w:themeColor="text1"/>
          <w:szCs w:val="24"/>
        </w:rPr>
      </w:pPr>
      <w:r w:rsidRPr="004B14BD">
        <w:rPr>
          <w:b/>
          <w:bCs/>
          <w:color w:val="000000" w:themeColor="text1"/>
          <w:szCs w:val="24"/>
        </w:rPr>
        <w:t>OML-beregninger</w:t>
      </w:r>
    </w:p>
    <w:p w14:paraId="62940257" w14:textId="77777777" w:rsidR="007A28F9" w:rsidRPr="004B14BD" w:rsidRDefault="007A28F9" w:rsidP="00DB4D3C">
      <w:pPr>
        <w:rPr>
          <w:color w:val="000000" w:themeColor="text1"/>
          <w:szCs w:val="24"/>
        </w:rPr>
      </w:pPr>
    </w:p>
    <w:p w14:paraId="464DE039" w14:textId="11C58BE1" w:rsidR="00DB4D3C" w:rsidRPr="004B14BD" w:rsidRDefault="00C156B5" w:rsidP="00DB4D3C">
      <w:pPr>
        <w:rPr>
          <w:color w:val="000000" w:themeColor="text1"/>
          <w:szCs w:val="24"/>
        </w:rPr>
      </w:pPr>
      <w:r w:rsidRPr="004B14BD">
        <w:rPr>
          <w:color w:val="000000" w:themeColor="text1"/>
          <w:szCs w:val="24"/>
        </w:rPr>
        <w:t>Microsoft har fået udført OML-beregninger til dimensionering af afkasthøjden for generatorerne til nødstrømsanlægget. OML-beregningerne er vedlagt som bilag 3 til ansøgning om miljøgodkendelse</w:t>
      </w:r>
      <w:r w:rsidR="00D54CBD" w:rsidRPr="004B14BD">
        <w:rPr>
          <w:color w:val="000000" w:themeColor="text1"/>
          <w:szCs w:val="24"/>
        </w:rPr>
        <w:t>: ”Beregning af nødvendig skorstenshøjde – CPH07, Vurdering af luftforurening fra nødstrømsanlæg”</w:t>
      </w:r>
      <w:r w:rsidRPr="004B14BD">
        <w:rPr>
          <w:color w:val="000000" w:themeColor="text1"/>
          <w:szCs w:val="24"/>
        </w:rPr>
        <w:t>.</w:t>
      </w:r>
      <w:r w:rsidR="00DB4D3C" w:rsidRPr="004B14BD">
        <w:rPr>
          <w:color w:val="000000" w:themeColor="text1"/>
          <w:szCs w:val="24"/>
        </w:rPr>
        <w:t xml:space="preserve"> Notatet indeholder resultater af beregnede værdier for NO</w:t>
      </w:r>
      <w:r w:rsidR="00DB4D3C" w:rsidRPr="004B14BD">
        <w:rPr>
          <w:color w:val="000000" w:themeColor="text1"/>
          <w:szCs w:val="24"/>
          <w:vertAlign w:val="subscript"/>
        </w:rPr>
        <w:t>2</w:t>
      </w:r>
      <w:r w:rsidR="00DB4D3C" w:rsidRPr="004B14BD">
        <w:rPr>
          <w:color w:val="000000" w:themeColor="text1"/>
          <w:szCs w:val="24"/>
        </w:rPr>
        <w:t xml:space="preserve"> immissionen i udvalgte boligområder rundt om datacentret samt det rekreative område mellem datacentret og Essex Park. Der er lavet beregninger både ved nøddrift og testdrift. </w:t>
      </w:r>
    </w:p>
    <w:p w14:paraId="1420E24F" w14:textId="4ACC9100" w:rsidR="00C156B5" w:rsidRPr="004B14BD" w:rsidRDefault="00C156B5" w:rsidP="000B6712">
      <w:pPr>
        <w:rPr>
          <w:color w:val="FF0000"/>
          <w:szCs w:val="24"/>
        </w:rPr>
      </w:pPr>
    </w:p>
    <w:p w14:paraId="24E380FF" w14:textId="377508AD" w:rsidR="00C156B5" w:rsidRPr="004B14BD" w:rsidRDefault="00C156B5" w:rsidP="00C156B5">
      <w:pPr>
        <w:rPr>
          <w:szCs w:val="24"/>
        </w:rPr>
      </w:pPr>
      <w:r w:rsidRPr="004B14BD">
        <w:rPr>
          <w:szCs w:val="24"/>
        </w:rPr>
        <w:t>Generatorsættet består af 16 stk. dieselgeneratorset af typen Cummins, C3750 D5e med motor QSK95-G10 til selve datacentret</w:t>
      </w:r>
      <w:r w:rsidR="00451513" w:rsidRPr="004B14BD">
        <w:rPr>
          <w:szCs w:val="24"/>
        </w:rPr>
        <w:t xml:space="preserve"> (colo-generatorer)</w:t>
      </w:r>
      <w:r w:rsidRPr="004B14BD">
        <w:rPr>
          <w:szCs w:val="24"/>
        </w:rPr>
        <w:t>. Disse generatorer er placeret parvis tæt på hinanden med individuelle skorstene. Der er desuden et</w:t>
      </w:r>
      <w:r w:rsidR="00451513" w:rsidRPr="004B14BD">
        <w:rPr>
          <w:szCs w:val="24"/>
        </w:rPr>
        <w:t xml:space="preserve"> </w:t>
      </w:r>
      <w:r w:rsidRPr="004B14BD">
        <w:rPr>
          <w:szCs w:val="24"/>
        </w:rPr>
        <w:t>dieselgeneratorset af typen Cummins model C825D5e med motor QSK23-G9 i</w:t>
      </w:r>
      <w:r w:rsidR="00451513" w:rsidRPr="004B14BD">
        <w:rPr>
          <w:szCs w:val="24"/>
        </w:rPr>
        <w:t xml:space="preserve"> </w:t>
      </w:r>
      <w:r w:rsidRPr="004B14BD">
        <w:rPr>
          <w:szCs w:val="24"/>
        </w:rPr>
        <w:t>tilknytning til administrationen</w:t>
      </w:r>
      <w:r w:rsidR="00451513" w:rsidRPr="004B14BD">
        <w:rPr>
          <w:szCs w:val="24"/>
        </w:rPr>
        <w:t xml:space="preserve"> (admin generator).</w:t>
      </w:r>
    </w:p>
    <w:p w14:paraId="1E14830B" w14:textId="13F40FA5" w:rsidR="00451513" w:rsidRPr="004B14BD" w:rsidRDefault="00451513" w:rsidP="00C156B5">
      <w:pPr>
        <w:rPr>
          <w:color w:val="FF0000"/>
          <w:szCs w:val="24"/>
        </w:rPr>
      </w:pPr>
    </w:p>
    <w:p w14:paraId="3175989D" w14:textId="00CE6971" w:rsidR="00451513" w:rsidRPr="004B14BD" w:rsidRDefault="00273312" w:rsidP="00451513">
      <w:pPr>
        <w:rPr>
          <w:color w:val="000000" w:themeColor="text1"/>
          <w:szCs w:val="24"/>
        </w:rPr>
      </w:pPr>
      <w:r w:rsidRPr="002963E1">
        <w:rPr>
          <w:szCs w:val="24"/>
        </w:rPr>
        <w:t xml:space="preserve">En gang årligt vil hver nødgenerator blive testet ved fuld belastning. </w:t>
      </w:r>
      <w:r w:rsidR="007E7E2B" w:rsidRPr="002963E1">
        <w:rPr>
          <w:szCs w:val="24"/>
        </w:rPr>
        <w:t xml:space="preserve">Der testes altid kun 1 generator ad gangen. </w:t>
      </w:r>
      <w:r w:rsidR="002963E1" w:rsidRPr="002963E1">
        <w:rPr>
          <w:szCs w:val="24"/>
        </w:rPr>
        <w:t xml:space="preserve">Denne testkørsel er </w:t>
      </w:r>
      <w:r w:rsidRPr="002963E1">
        <w:rPr>
          <w:szCs w:val="24"/>
        </w:rPr>
        <w:t xml:space="preserve">planlagt til en varighed på 120 min. Det er </w:t>
      </w:r>
      <w:r w:rsidR="00B3296B">
        <w:rPr>
          <w:szCs w:val="24"/>
        </w:rPr>
        <w:t>herudfra</w:t>
      </w:r>
      <w:r w:rsidRPr="002963E1">
        <w:rPr>
          <w:szCs w:val="24"/>
        </w:rPr>
        <w:t xml:space="preserve"> </w:t>
      </w:r>
      <w:r w:rsidR="00451513" w:rsidRPr="002963E1">
        <w:rPr>
          <w:szCs w:val="24"/>
        </w:rPr>
        <w:t xml:space="preserve">lagt ind i </w:t>
      </w:r>
      <w:r w:rsidR="0029410E" w:rsidRPr="002963E1">
        <w:rPr>
          <w:szCs w:val="24"/>
        </w:rPr>
        <w:t>OML-</w:t>
      </w:r>
      <w:r w:rsidR="00451513" w:rsidRPr="002963E1">
        <w:rPr>
          <w:szCs w:val="24"/>
        </w:rPr>
        <w:t xml:space="preserve">beregningerne, at generatorerne testes i maksimalt 120 </w:t>
      </w:r>
      <w:r w:rsidR="00451513" w:rsidRPr="004B14BD">
        <w:rPr>
          <w:color w:val="000000" w:themeColor="text1"/>
          <w:szCs w:val="24"/>
        </w:rPr>
        <w:t>min. pr. måned og</w:t>
      </w:r>
      <w:r w:rsidR="002E5F78" w:rsidRPr="004B14BD">
        <w:rPr>
          <w:color w:val="000000" w:themeColor="text1"/>
          <w:szCs w:val="24"/>
        </w:rPr>
        <w:t xml:space="preserve"> </w:t>
      </w:r>
      <w:r w:rsidR="00451513" w:rsidRPr="004B14BD">
        <w:rPr>
          <w:color w:val="000000" w:themeColor="text1"/>
          <w:szCs w:val="24"/>
        </w:rPr>
        <w:t xml:space="preserve">kun enkeltvis. For at lægge en sikkerhedsmargin ind i dimensioneringen af afkasthøjde til datacentergeneratorer, er beregningerne fortaget for, hvad der svarer til drift på 2 stk. colo generatorer samtidig. Tilsvarende er afkast til admin generator dimensioneret for 2 stk. admin generatorer i drift samtidig, hvor den normale testsituation vil være drift på én generator ad gangen. </w:t>
      </w:r>
      <w:r w:rsidR="004B30DC" w:rsidRPr="004B14BD">
        <w:rPr>
          <w:color w:val="000000" w:themeColor="text1"/>
          <w:szCs w:val="24"/>
        </w:rPr>
        <w:t xml:space="preserve">Det vil altså sige, at </w:t>
      </w:r>
      <w:r w:rsidR="00D70052" w:rsidRPr="004B14BD">
        <w:rPr>
          <w:color w:val="000000" w:themeColor="text1"/>
          <w:szCs w:val="24"/>
        </w:rPr>
        <w:t>emissionen fra datacentret er overestimeret med en faktor 2 i de udførte beregninger.</w:t>
      </w:r>
    </w:p>
    <w:p w14:paraId="45AEEC18" w14:textId="77777777" w:rsidR="007658D5" w:rsidRPr="004B14BD" w:rsidRDefault="007658D5" w:rsidP="007658D5">
      <w:pPr>
        <w:rPr>
          <w:color w:val="000000" w:themeColor="text1"/>
          <w:szCs w:val="24"/>
        </w:rPr>
      </w:pPr>
    </w:p>
    <w:p w14:paraId="050D9B5C" w14:textId="49348443" w:rsidR="00B075DD" w:rsidRPr="004B14BD" w:rsidRDefault="00B075DD" w:rsidP="00451513">
      <w:pPr>
        <w:rPr>
          <w:color w:val="000000" w:themeColor="text1"/>
          <w:szCs w:val="24"/>
        </w:rPr>
      </w:pPr>
      <w:r w:rsidRPr="004B14BD">
        <w:rPr>
          <w:color w:val="000000" w:themeColor="text1"/>
          <w:szCs w:val="24"/>
        </w:rPr>
        <w:t>NOx/NO</w:t>
      </w:r>
      <w:r w:rsidRPr="004B14BD">
        <w:rPr>
          <w:color w:val="000000" w:themeColor="text1"/>
          <w:szCs w:val="24"/>
          <w:vertAlign w:val="subscript"/>
        </w:rPr>
        <w:t>2</w:t>
      </w:r>
      <w:r w:rsidRPr="004B14BD">
        <w:rPr>
          <w:color w:val="000000" w:themeColor="text1"/>
          <w:szCs w:val="24"/>
        </w:rPr>
        <w:t xml:space="preserve"> er dimensionerende for afkasthøjden.</w:t>
      </w:r>
      <w:r w:rsidR="007658D5" w:rsidRPr="004B14BD">
        <w:rPr>
          <w:color w:val="000000" w:themeColor="text1"/>
          <w:szCs w:val="24"/>
        </w:rPr>
        <w:t xml:space="preserve"> NO</w:t>
      </w:r>
      <w:r w:rsidR="001274B0" w:rsidRPr="004B14BD">
        <w:rPr>
          <w:color w:val="000000" w:themeColor="text1"/>
          <w:szCs w:val="24"/>
        </w:rPr>
        <w:t>x</w:t>
      </w:r>
      <w:r w:rsidR="007658D5" w:rsidRPr="004B14BD">
        <w:rPr>
          <w:color w:val="000000" w:themeColor="text1"/>
          <w:szCs w:val="24"/>
        </w:rPr>
        <w:t xml:space="preserve"> består primært af NO og NO</w:t>
      </w:r>
      <w:r w:rsidR="007658D5" w:rsidRPr="004B14BD">
        <w:rPr>
          <w:color w:val="000000" w:themeColor="text1"/>
          <w:szCs w:val="24"/>
          <w:vertAlign w:val="subscript"/>
        </w:rPr>
        <w:t>2</w:t>
      </w:r>
      <w:r w:rsidR="007658D5" w:rsidRPr="004B14BD">
        <w:rPr>
          <w:color w:val="000000" w:themeColor="text1"/>
          <w:szCs w:val="24"/>
        </w:rPr>
        <w:t>. Det er kun NO</w:t>
      </w:r>
      <w:r w:rsidR="007658D5" w:rsidRPr="004B14BD">
        <w:rPr>
          <w:color w:val="000000" w:themeColor="text1"/>
          <w:szCs w:val="24"/>
          <w:vertAlign w:val="subscript"/>
        </w:rPr>
        <w:t>2</w:t>
      </w:r>
      <w:r w:rsidR="007658D5" w:rsidRPr="004B14BD">
        <w:rPr>
          <w:color w:val="000000" w:themeColor="text1"/>
          <w:szCs w:val="24"/>
        </w:rPr>
        <w:t>, som betragtes som giftig. Når røggassen kommer ud af skorstenen fra dieselmotorer, vil NO</w:t>
      </w:r>
      <w:r w:rsidR="007658D5" w:rsidRPr="004B14BD">
        <w:rPr>
          <w:color w:val="000000" w:themeColor="text1"/>
          <w:szCs w:val="24"/>
          <w:vertAlign w:val="subscript"/>
        </w:rPr>
        <w:t>2</w:t>
      </w:r>
      <w:r w:rsidR="007658D5" w:rsidRPr="004B14BD">
        <w:rPr>
          <w:color w:val="000000" w:themeColor="text1"/>
          <w:szCs w:val="24"/>
        </w:rPr>
        <w:t>-andelen typisk udgøre 10 - 20% afhængig af motortype og aktuel drift. Til dimensionering af skorstenshøjder for henholdsvis colo</w:t>
      </w:r>
      <w:r w:rsidR="009C2DEB">
        <w:rPr>
          <w:color w:val="000000" w:themeColor="text1"/>
          <w:szCs w:val="24"/>
        </w:rPr>
        <w:t>-</w:t>
      </w:r>
      <w:r w:rsidR="007658D5" w:rsidRPr="004B14BD">
        <w:rPr>
          <w:color w:val="000000" w:themeColor="text1"/>
          <w:szCs w:val="24"/>
        </w:rPr>
        <w:t xml:space="preserve"> og admin generatorer er valgt en konservativ NO</w:t>
      </w:r>
      <w:r w:rsidR="007658D5" w:rsidRPr="004B14BD">
        <w:rPr>
          <w:color w:val="000000" w:themeColor="text1"/>
          <w:szCs w:val="24"/>
          <w:vertAlign w:val="subscript"/>
        </w:rPr>
        <w:t>2</w:t>
      </w:r>
      <w:r w:rsidR="007658D5" w:rsidRPr="004B14BD">
        <w:rPr>
          <w:color w:val="000000" w:themeColor="text1"/>
          <w:szCs w:val="24"/>
        </w:rPr>
        <w:t>/NOx fraktion på 20%, for at være sikker på, at NO</w:t>
      </w:r>
      <w:r w:rsidR="007658D5" w:rsidRPr="004B14BD">
        <w:rPr>
          <w:color w:val="000000" w:themeColor="text1"/>
          <w:szCs w:val="24"/>
          <w:vertAlign w:val="subscript"/>
        </w:rPr>
        <w:t>2</w:t>
      </w:r>
      <w:r w:rsidR="007658D5" w:rsidRPr="004B14BD">
        <w:rPr>
          <w:color w:val="000000" w:themeColor="text1"/>
          <w:szCs w:val="24"/>
        </w:rPr>
        <w:t xml:space="preserve"> ikke undervurderes.</w:t>
      </w:r>
    </w:p>
    <w:p w14:paraId="235D5FAB" w14:textId="77777777" w:rsidR="00451513" w:rsidRPr="004B14BD" w:rsidRDefault="00451513" w:rsidP="00451513">
      <w:pPr>
        <w:rPr>
          <w:color w:val="FF0000"/>
          <w:szCs w:val="24"/>
        </w:rPr>
      </w:pPr>
    </w:p>
    <w:p w14:paraId="1508EDD5" w14:textId="7DABACC9" w:rsidR="00451513" w:rsidRPr="004B14BD" w:rsidRDefault="00451513" w:rsidP="00451513">
      <w:pPr>
        <w:rPr>
          <w:color w:val="FF0000"/>
          <w:szCs w:val="24"/>
        </w:rPr>
      </w:pPr>
      <w:r w:rsidRPr="004B14BD">
        <w:rPr>
          <w:color w:val="000000" w:themeColor="text1"/>
          <w:szCs w:val="24"/>
        </w:rPr>
        <w:t xml:space="preserve">Følgende data </w:t>
      </w:r>
      <w:r w:rsidR="00D70052" w:rsidRPr="004B14BD">
        <w:rPr>
          <w:color w:val="000000" w:themeColor="text1"/>
          <w:szCs w:val="24"/>
        </w:rPr>
        <w:t>i nedenstående tabel</w:t>
      </w:r>
      <w:r w:rsidR="00A83F37">
        <w:rPr>
          <w:color w:val="000000" w:themeColor="text1"/>
          <w:szCs w:val="24"/>
        </w:rPr>
        <w:t xml:space="preserve"> 1 og 2 </w:t>
      </w:r>
      <w:r w:rsidRPr="004B14BD">
        <w:rPr>
          <w:color w:val="000000" w:themeColor="text1"/>
          <w:szCs w:val="24"/>
        </w:rPr>
        <w:t xml:space="preserve">danner </w:t>
      </w:r>
      <w:r w:rsidR="00342ABF" w:rsidRPr="004B14BD">
        <w:rPr>
          <w:color w:val="000000" w:themeColor="text1"/>
          <w:szCs w:val="24"/>
        </w:rPr>
        <w:t xml:space="preserve">i øvrigt </w:t>
      </w:r>
      <w:r w:rsidRPr="004B14BD">
        <w:rPr>
          <w:color w:val="000000" w:themeColor="text1"/>
          <w:szCs w:val="24"/>
        </w:rPr>
        <w:t xml:space="preserve">grundlag for input til </w:t>
      </w:r>
      <w:r w:rsidR="00B075DD" w:rsidRPr="004B14BD">
        <w:rPr>
          <w:color w:val="000000" w:themeColor="text1"/>
          <w:szCs w:val="24"/>
        </w:rPr>
        <w:t>OML-</w:t>
      </w:r>
      <w:r w:rsidRPr="004B14BD">
        <w:rPr>
          <w:color w:val="000000" w:themeColor="text1"/>
          <w:szCs w:val="24"/>
        </w:rPr>
        <w:t xml:space="preserve">modellen. </w:t>
      </w:r>
    </w:p>
    <w:p w14:paraId="3E95770F" w14:textId="070551E5" w:rsidR="00451513" w:rsidRPr="004B14BD" w:rsidRDefault="00451513" w:rsidP="00451513">
      <w:pPr>
        <w:rPr>
          <w:color w:val="FF0000"/>
          <w:szCs w:val="24"/>
        </w:rPr>
      </w:pPr>
    </w:p>
    <w:p w14:paraId="722370B1" w14:textId="010C4806" w:rsidR="00451513" w:rsidRPr="004B14BD" w:rsidRDefault="00185306" w:rsidP="00185306">
      <w:pPr>
        <w:rPr>
          <w:color w:val="000000" w:themeColor="text1"/>
          <w:szCs w:val="24"/>
        </w:rPr>
      </w:pPr>
      <w:r w:rsidRPr="004B14BD">
        <w:rPr>
          <w:color w:val="000000" w:themeColor="text1"/>
          <w:szCs w:val="24"/>
        </w:rPr>
        <w:lastRenderedPageBreak/>
        <w:t xml:space="preserve">Tabel </w:t>
      </w:r>
      <w:r w:rsidR="00027AB8">
        <w:rPr>
          <w:color w:val="000000" w:themeColor="text1"/>
          <w:szCs w:val="24"/>
        </w:rPr>
        <w:t>1</w:t>
      </w:r>
      <w:r w:rsidRPr="004B14BD">
        <w:rPr>
          <w:color w:val="000000" w:themeColor="text1"/>
          <w:szCs w:val="24"/>
        </w:rPr>
        <w:t>. - Anvendte parametre til dimensionering af afkasthøjde for colo generatorer (C3750D5e)</w:t>
      </w:r>
    </w:p>
    <w:tbl>
      <w:tblPr>
        <w:tblStyle w:val="Tabel-Gitter"/>
        <w:tblpPr w:leftFromText="141" w:rightFromText="141" w:vertAnchor="text" w:horzAnchor="margin" w:tblpY="88"/>
        <w:tblW w:w="5000" w:type="pct"/>
        <w:tblLook w:val="04A0" w:firstRow="1" w:lastRow="0" w:firstColumn="1" w:lastColumn="0" w:noHBand="0" w:noVBand="1"/>
      </w:tblPr>
      <w:tblGrid>
        <w:gridCol w:w="4177"/>
        <w:gridCol w:w="4177"/>
      </w:tblGrid>
      <w:tr w:rsidR="00451513" w:rsidRPr="004B14BD" w14:paraId="636CA3AB" w14:textId="77777777" w:rsidTr="00451513">
        <w:tc>
          <w:tcPr>
            <w:tcW w:w="2500" w:type="pct"/>
          </w:tcPr>
          <w:p w14:paraId="7FE76F3F" w14:textId="77777777" w:rsidR="00451513" w:rsidRPr="004B14BD" w:rsidRDefault="00451513" w:rsidP="00451513">
            <w:pPr>
              <w:rPr>
                <w:b/>
                <w:bCs/>
                <w:color w:val="000000" w:themeColor="text1"/>
              </w:rPr>
            </w:pPr>
            <w:r w:rsidRPr="004B14BD">
              <w:rPr>
                <w:b/>
                <w:bCs/>
                <w:color w:val="000000" w:themeColor="text1"/>
              </w:rPr>
              <w:t>Parameter</w:t>
            </w:r>
          </w:p>
        </w:tc>
        <w:tc>
          <w:tcPr>
            <w:tcW w:w="2500" w:type="pct"/>
          </w:tcPr>
          <w:p w14:paraId="6CA3CFED" w14:textId="77777777" w:rsidR="00451513" w:rsidRPr="004B14BD" w:rsidRDefault="00451513" w:rsidP="00451513">
            <w:pPr>
              <w:rPr>
                <w:b/>
                <w:bCs/>
                <w:color w:val="000000" w:themeColor="text1"/>
              </w:rPr>
            </w:pPr>
            <w:r w:rsidRPr="004B14BD">
              <w:rPr>
                <w:b/>
                <w:bCs/>
                <w:color w:val="000000" w:themeColor="text1"/>
              </w:rPr>
              <w:t>Værdi</w:t>
            </w:r>
          </w:p>
        </w:tc>
      </w:tr>
      <w:tr w:rsidR="00451513" w:rsidRPr="004B14BD" w14:paraId="75244CDE" w14:textId="77777777" w:rsidTr="00451513">
        <w:tc>
          <w:tcPr>
            <w:tcW w:w="2500" w:type="pct"/>
          </w:tcPr>
          <w:p w14:paraId="59CFB89A" w14:textId="77777777" w:rsidR="00451513" w:rsidRPr="004B14BD" w:rsidRDefault="00451513" w:rsidP="00451513">
            <w:pPr>
              <w:rPr>
                <w:color w:val="000000" w:themeColor="text1"/>
              </w:rPr>
            </w:pPr>
            <w:r w:rsidRPr="004B14BD">
              <w:rPr>
                <w:color w:val="000000" w:themeColor="text1"/>
              </w:rPr>
              <w:t>Indfyret termisk effekt</w:t>
            </w:r>
          </w:p>
        </w:tc>
        <w:tc>
          <w:tcPr>
            <w:tcW w:w="2500" w:type="pct"/>
          </w:tcPr>
          <w:p w14:paraId="10E9D1DA" w14:textId="77777777" w:rsidR="00451513" w:rsidRPr="004B14BD" w:rsidRDefault="00451513" w:rsidP="00451513">
            <w:pPr>
              <w:rPr>
                <w:color w:val="000000" w:themeColor="text1"/>
              </w:rPr>
            </w:pPr>
            <w:r w:rsidRPr="004B14BD">
              <w:rPr>
                <w:color w:val="000000" w:themeColor="text1"/>
              </w:rPr>
              <w:t>7,5 MW (MCR)</w:t>
            </w:r>
          </w:p>
        </w:tc>
      </w:tr>
      <w:tr w:rsidR="00451513" w:rsidRPr="004B14BD" w14:paraId="1E8FD8F3" w14:textId="77777777" w:rsidTr="00451513">
        <w:tc>
          <w:tcPr>
            <w:tcW w:w="2500" w:type="pct"/>
          </w:tcPr>
          <w:p w14:paraId="0CA5D517" w14:textId="77777777" w:rsidR="00451513" w:rsidRPr="004B14BD" w:rsidRDefault="00451513" w:rsidP="00451513">
            <w:pPr>
              <w:rPr>
                <w:color w:val="000000" w:themeColor="text1"/>
              </w:rPr>
            </w:pPr>
            <w:r w:rsidRPr="004B14BD">
              <w:rPr>
                <w:color w:val="000000" w:themeColor="text1"/>
              </w:rPr>
              <w:t>Dimensionerende last</w:t>
            </w:r>
          </w:p>
        </w:tc>
        <w:tc>
          <w:tcPr>
            <w:tcW w:w="2500" w:type="pct"/>
          </w:tcPr>
          <w:p w14:paraId="50EC9152" w14:textId="77777777" w:rsidR="00451513" w:rsidRPr="004B14BD" w:rsidRDefault="00451513" w:rsidP="00451513">
            <w:pPr>
              <w:rPr>
                <w:color w:val="000000" w:themeColor="text1"/>
              </w:rPr>
            </w:pPr>
            <w:r w:rsidRPr="004B14BD">
              <w:rPr>
                <w:color w:val="000000" w:themeColor="text1"/>
              </w:rPr>
              <w:t>100% (standby mode)</w:t>
            </w:r>
          </w:p>
        </w:tc>
      </w:tr>
      <w:tr w:rsidR="00451513" w:rsidRPr="007411D8" w14:paraId="38C3DD41" w14:textId="77777777" w:rsidTr="00451513">
        <w:tc>
          <w:tcPr>
            <w:tcW w:w="2500" w:type="pct"/>
          </w:tcPr>
          <w:p w14:paraId="0F8293CF" w14:textId="77777777" w:rsidR="00451513" w:rsidRPr="004B14BD" w:rsidRDefault="00451513" w:rsidP="00451513">
            <w:pPr>
              <w:rPr>
                <w:color w:val="000000" w:themeColor="text1"/>
              </w:rPr>
            </w:pPr>
            <w:r w:rsidRPr="004B14BD">
              <w:rPr>
                <w:color w:val="000000" w:themeColor="text1"/>
              </w:rPr>
              <w:t>Brændstofforbrug</w:t>
            </w:r>
          </w:p>
        </w:tc>
        <w:tc>
          <w:tcPr>
            <w:tcW w:w="2500" w:type="pct"/>
          </w:tcPr>
          <w:p w14:paraId="1F6D2226" w14:textId="77777777" w:rsidR="00451513" w:rsidRPr="004B14BD" w:rsidRDefault="00451513" w:rsidP="00451513">
            <w:pPr>
              <w:rPr>
                <w:color w:val="000000" w:themeColor="text1"/>
                <w:lang w:val="de-DE"/>
              </w:rPr>
            </w:pPr>
            <w:r w:rsidRPr="004B14BD">
              <w:rPr>
                <w:color w:val="000000" w:themeColor="text1"/>
                <w:lang w:val="de-DE"/>
              </w:rPr>
              <w:t>753 L/h (diesel ASTM D975)</w:t>
            </w:r>
          </w:p>
        </w:tc>
      </w:tr>
      <w:tr w:rsidR="00451513" w:rsidRPr="004B14BD" w14:paraId="0F05891E" w14:textId="77777777" w:rsidTr="00451513">
        <w:tc>
          <w:tcPr>
            <w:tcW w:w="2500" w:type="pct"/>
          </w:tcPr>
          <w:p w14:paraId="4D0BCB19" w14:textId="77777777" w:rsidR="00451513" w:rsidRPr="004B14BD" w:rsidRDefault="00451513" w:rsidP="00451513">
            <w:pPr>
              <w:rPr>
                <w:color w:val="000000" w:themeColor="text1"/>
              </w:rPr>
            </w:pPr>
            <w:r w:rsidRPr="004B14BD">
              <w:rPr>
                <w:color w:val="000000" w:themeColor="text1"/>
              </w:rPr>
              <w:t>Afkast temperatur</w:t>
            </w:r>
          </w:p>
        </w:tc>
        <w:tc>
          <w:tcPr>
            <w:tcW w:w="2500" w:type="pct"/>
          </w:tcPr>
          <w:p w14:paraId="587B58AB" w14:textId="77777777" w:rsidR="00451513" w:rsidRPr="004B14BD" w:rsidRDefault="00451513" w:rsidP="00451513">
            <w:pPr>
              <w:rPr>
                <w:color w:val="000000" w:themeColor="text1"/>
              </w:rPr>
            </w:pPr>
            <w:r w:rsidRPr="004B14BD">
              <w:rPr>
                <w:color w:val="000000" w:themeColor="text1"/>
              </w:rPr>
              <w:t>431°C</w:t>
            </w:r>
          </w:p>
        </w:tc>
      </w:tr>
      <w:tr w:rsidR="00451513" w:rsidRPr="004B14BD" w14:paraId="532F740F" w14:textId="77777777" w:rsidTr="00451513">
        <w:tc>
          <w:tcPr>
            <w:tcW w:w="2500" w:type="pct"/>
          </w:tcPr>
          <w:p w14:paraId="6269F413" w14:textId="77777777" w:rsidR="00451513" w:rsidRPr="004B14BD" w:rsidRDefault="00451513" w:rsidP="00451513">
            <w:pPr>
              <w:rPr>
                <w:color w:val="000000" w:themeColor="text1"/>
              </w:rPr>
            </w:pPr>
            <w:r w:rsidRPr="004B14BD">
              <w:rPr>
                <w:color w:val="000000" w:themeColor="text1"/>
              </w:rPr>
              <w:t>Røggasmængde</w:t>
            </w:r>
          </w:p>
        </w:tc>
        <w:tc>
          <w:tcPr>
            <w:tcW w:w="2500" w:type="pct"/>
          </w:tcPr>
          <w:p w14:paraId="15C5753D" w14:textId="77777777" w:rsidR="00451513" w:rsidRPr="004B14BD" w:rsidRDefault="00451513" w:rsidP="00451513">
            <w:pPr>
              <w:rPr>
                <w:color w:val="000000" w:themeColor="text1"/>
              </w:rPr>
            </w:pPr>
            <w:r w:rsidRPr="004B14BD">
              <w:rPr>
                <w:color w:val="000000" w:themeColor="text1"/>
              </w:rPr>
              <w:t>588 m</w:t>
            </w:r>
            <w:r w:rsidRPr="004B14BD">
              <w:rPr>
                <w:color w:val="000000" w:themeColor="text1"/>
                <w:vertAlign w:val="superscript"/>
              </w:rPr>
              <w:t>3</w:t>
            </w:r>
            <w:r w:rsidRPr="004B14BD">
              <w:rPr>
                <w:color w:val="000000" w:themeColor="text1"/>
              </w:rPr>
              <w:t xml:space="preserve"> /min, driftstilstand</w:t>
            </w:r>
          </w:p>
        </w:tc>
      </w:tr>
      <w:tr w:rsidR="00451513" w:rsidRPr="004B14BD" w14:paraId="5CCCF8FF" w14:textId="77777777" w:rsidTr="00451513">
        <w:tc>
          <w:tcPr>
            <w:tcW w:w="2500" w:type="pct"/>
          </w:tcPr>
          <w:p w14:paraId="5E84478D" w14:textId="77777777" w:rsidR="00451513" w:rsidRPr="004B14BD" w:rsidRDefault="00451513" w:rsidP="00451513">
            <w:r w:rsidRPr="004B14BD">
              <w:t>NOx koncentration</w:t>
            </w:r>
          </w:p>
        </w:tc>
        <w:tc>
          <w:tcPr>
            <w:tcW w:w="2500" w:type="pct"/>
          </w:tcPr>
          <w:p w14:paraId="13B9DFD7" w14:textId="77777777" w:rsidR="00451513" w:rsidRPr="004B14BD" w:rsidRDefault="00451513" w:rsidP="00451513">
            <w:r w:rsidRPr="004B14BD">
              <w:t>3742 mg/Nm</w:t>
            </w:r>
            <w:r w:rsidRPr="004B14BD">
              <w:rPr>
                <w:vertAlign w:val="superscript"/>
              </w:rPr>
              <w:t>3</w:t>
            </w:r>
            <w:r w:rsidRPr="004B14BD">
              <w:t xml:space="preserve"> , tør 5 vol% O</w:t>
            </w:r>
            <w:r w:rsidRPr="004B14BD">
              <w:rPr>
                <w:vertAlign w:val="subscript"/>
              </w:rPr>
              <w:t>2</w:t>
            </w:r>
          </w:p>
        </w:tc>
      </w:tr>
      <w:tr w:rsidR="00451513" w:rsidRPr="004B14BD" w14:paraId="2BD0D8B2" w14:textId="77777777" w:rsidTr="00451513">
        <w:tc>
          <w:tcPr>
            <w:tcW w:w="2500" w:type="pct"/>
          </w:tcPr>
          <w:p w14:paraId="3E7929D3" w14:textId="77777777" w:rsidR="00451513" w:rsidRPr="004B14BD" w:rsidRDefault="00451513" w:rsidP="00451513">
            <w:r w:rsidRPr="004B14BD">
              <w:t>CO koncentration</w:t>
            </w:r>
          </w:p>
        </w:tc>
        <w:tc>
          <w:tcPr>
            <w:tcW w:w="2500" w:type="pct"/>
          </w:tcPr>
          <w:p w14:paraId="49465FAA" w14:textId="77777777" w:rsidR="00451513" w:rsidRPr="004B14BD" w:rsidRDefault="00451513" w:rsidP="00451513">
            <w:r w:rsidRPr="004B14BD">
              <w:t>206 mg/Nm</w:t>
            </w:r>
            <w:r w:rsidRPr="004B14BD">
              <w:rPr>
                <w:vertAlign w:val="superscript"/>
              </w:rPr>
              <w:t>3</w:t>
            </w:r>
            <w:r w:rsidRPr="004B14BD">
              <w:t>, tør 5 vol% O</w:t>
            </w:r>
            <w:r w:rsidRPr="004B14BD">
              <w:rPr>
                <w:vertAlign w:val="subscript"/>
              </w:rPr>
              <w:t>2</w:t>
            </w:r>
          </w:p>
        </w:tc>
      </w:tr>
      <w:tr w:rsidR="00451513" w:rsidRPr="004B14BD" w14:paraId="415CBA44" w14:textId="77777777" w:rsidTr="00451513">
        <w:tc>
          <w:tcPr>
            <w:tcW w:w="2500" w:type="pct"/>
          </w:tcPr>
          <w:p w14:paraId="0615F9A3" w14:textId="7F143243" w:rsidR="00451513" w:rsidRPr="004B14BD" w:rsidRDefault="00451513" w:rsidP="00451513">
            <w:r w:rsidRPr="004B14BD">
              <w:t>O</w:t>
            </w:r>
            <w:r w:rsidRPr="004B14BD">
              <w:rPr>
                <w:vertAlign w:val="subscript"/>
              </w:rPr>
              <w:t>2</w:t>
            </w:r>
            <w:r w:rsidRPr="004B14BD">
              <w:t xml:space="preserve"> koncentration</w:t>
            </w:r>
          </w:p>
        </w:tc>
        <w:tc>
          <w:tcPr>
            <w:tcW w:w="2500" w:type="pct"/>
          </w:tcPr>
          <w:p w14:paraId="141694F2" w14:textId="77777777" w:rsidR="00451513" w:rsidRPr="004B14BD" w:rsidRDefault="00451513" w:rsidP="00451513">
            <w:r w:rsidRPr="004B14BD">
              <w:t>9,8 vol%, tør</w:t>
            </w:r>
          </w:p>
        </w:tc>
      </w:tr>
      <w:tr w:rsidR="00451513" w:rsidRPr="004B14BD" w14:paraId="01565184" w14:textId="77777777" w:rsidTr="00451513">
        <w:tc>
          <w:tcPr>
            <w:tcW w:w="2500" w:type="pct"/>
          </w:tcPr>
          <w:p w14:paraId="1D629EF1" w14:textId="77777777" w:rsidR="00451513" w:rsidRPr="004B14BD" w:rsidRDefault="00451513" w:rsidP="00451513">
            <w:pPr>
              <w:rPr>
                <w:color w:val="000000" w:themeColor="text1"/>
              </w:rPr>
            </w:pPr>
            <w:r w:rsidRPr="004B14BD">
              <w:rPr>
                <w:color w:val="000000" w:themeColor="text1"/>
              </w:rPr>
              <w:t>Skorstenshøjde, højde over terræn</w:t>
            </w:r>
          </w:p>
        </w:tc>
        <w:tc>
          <w:tcPr>
            <w:tcW w:w="2500" w:type="pct"/>
          </w:tcPr>
          <w:p w14:paraId="6B784E07" w14:textId="77777777" w:rsidR="00451513" w:rsidRPr="004B14BD" w:rsidRDefault="00451513" w:rsidP="00451513">
            <w:pPr>
              <w:rPr>
                <w:color w:val="000000" w:themeColor="text1"/>
              </w:rPr>
            </w:pPr>
            <w:r w:rsidRPr="004B14BD">
              <w:rPr>
                <w:color w:val="000000" w:themeColor="text1"/>
              </w:rPr>
              <w:t>21 meter</w:t>
            </w:r>
          </w:p>
        </w:tc>
      </w:tr>
      <w:tr w:rsidR="00451513" w:rsidRPr="004B14BD" w14:paraId="2925C80D" w14:textId="77777777" w:rsidTr="00451513">
        <w:tc>
          <w:tcPr>
            <w:tcW w:w="2500" w:type="pct"/>
          </w:tcPr>
          <w:p w14:paraId="6781E8E0" w14:textId="77777777" w:rsidR="00451513" w:rsidRPr="004B14BD" w:rsidRDefault="00451513" w:rsidP="00451513">
            <w:pPr>
              <w:rPr>
                <w:color w:val="000000" w:themeColor="text1"/>
              </w:rPr>
            </w:pPr>
            <w:r w:rsidRPr="004B14BD">
              <w:rPr>
                <w:color w:val="000000" w:themeColor="text1"/>
              </w:rPr>
              <w:t>Skorsten, indre diameter</w:t>
            </w:r>
          </w:p>
        </w:tc>
        <w:tc>
          <w:tcPr>
            <w:tcW w:w="2500" w:type="pct"/>
          </w:tcPr>
          <w:p w14:paraId="7DCFD4DB" w14:textId="77777777" w:rsidR="00451513" w:rsidRPr="004B14BD" w:rsidRDefault="00451513" w:rsidP="00451513">
            <w:pPr>
              <w:rPr>
                <w:color w:val="000000" w:themeColor="text1"/>
              </w:rPr>
            </w:pPr>
            <w:r w:rsidRPr="004B14BD">
              <w:rPr>
                <w:color w:val="000000" w:themeColor="text1"/>
              </w:rPr>
              <w:t>2 x 0,6 meter svarende til en ækvivalent diameter på 0,85 meter</w:t>
            </w:r>
          </w:p>
        </w:tc>
      </w:tr>
      <w:tr w:rsidR="00451513" w:rsidRPr="004B14BD" w14:paraId="2B166B4E" w14:textId="77777777" w:rsidTr="00451513">
        <w:tc>
          <w:tcPr>
            <w:tcW w:w="2500" w:type="pct"/>
          </w:tcPr>
          <w:p w14:paraId="2978632E" w14:textId="77777777" w:rsidR="00451513" w:rsidRPr="004B14BD" w:rsidRDefault="00451513" w:rsidP="00451513">
            <w:pPr>
              <w:rPr>
                <w:color w:val="000000" w:themeColor="text1"/>
              </w:rPr>
            </w:pPr>
            <w:r w:rsidRPr="004B14BD">
              <w:rPr>
                <w:color w:val="000000" w:themeColor="text1"/>
              </w:rPr>
              <w:t>Skorsten, ydre diameter</w:t>
            </w:r>
          </w:p>
        </w:tc>
        <w:tc>
          <w:tcPr>
            <w:tcW w:w="2500" w:type="pct"/>
          </w:tcPr>
          <w:p w14:paraId="0A81A7FE" w14:textId="1DCC028A" w:rsidR="00451513" w:rsidRPr="004B14BD" w:rsidRDefault="008B087A" w:rsidP="008B087A">
            <w:pPr>
              <w:rPr>
                <w:color w:val="000000" w:themeColor="text1"/>
              </w:rPr>
            </w:pPr>
            <w:r w:rsidRPr="004B14BD">
              <w:rPr>
                <w:color w:val="000000" w:themeColor="text1"/>
              </w:rPr>
              <w:t>Afkast for hver 2 stk. colo generator samles i en fælles gitterkonstruktion med en anslået ydre diameter på 1,5 meter.</w:t>
            </w:r>
            <w:r w:rsidR="00A52DFE" w:rsidRPr="004B14BD">
              <w:rPr>
                <w:color w:val="000000" w:themeColor="text1"/>
              </w:rPr>
              <w:t xml:space="preserve"> </w:t>
            </w:r>
          </w:p>
        </w:tc>
      </w:tr>
      <w:tr w:rsidR="00451513" w:rsidRPr="004B14BD" w14:paraId="64ACFC05" w14:textId="77777777" w:rsidTr="00451513">
        <w:tc>
          <w:tcPr>
            <w:tcW w:w="2500" w:type="pct"/>
          </w:tcPr>
          <w:p w14:paraId="161F5360" w14:textId="77777777" w:rsidR="00451513" w:rsidRPr="004B14BD" w:rsidRDefault="00451513" w:rsidP="00451513">
            <w:pPr>
              <w:rPr>
                <w:color w:val="000000" w:themeColor="text1"/>
              </w:rPr>
            </w:pPr>
            <w:r w:rsidRPr="004B14BD">
              <w:rPr>
                <w:color w:val="000000" w:themeColor="text1"/>
              </w:rPr>
              <w:t>Generel bygningshøjde</w:t>
            </w:r>
          </w:p>
        </w:tc>
        <w:tc>
          <w:tcPr>
            <w:tcW w:w="2500" w:type="pct"/>
          </w:tcPr>
          <w:p w14:paraId="4ACE3AA7" w14:textId="77777777" w:rsidR="00451513" w:rsidRPr="004B14BD" w:rsidRDefault="00451513" w:rsidP="00451513">
            <w:pPr>
              <w:rPr>
                <w:color w:val="000000" w:themeColor="text1"/>
              </w:rPr>
            </w:pPr>
            <w:r w:rsidRPr="004B14BD">
              <w:rPr>
                <w:color w:val="000000" w:themeColor="text1"/>
              </w:rPr>
              <w:t>9 meter</w:t>
            </w:r>
          </w:p>
        </w:tc>
      </w:tr>
    </w:tbl>
    <w:p w14:paraId="0DB7ED0B" w14:textId="77777777" w:rsidR="00755381" w:rsidRPr="004B14BD" w:rsidRDefault="00755381" w:rsidP="00755381">
      <w:pPr>
        <w:rPr>
          <w:color w:val="000000" w:themeColor="text1"/>
          <w:sz w:val="16"/>
          <w:szCs w:val="16"/>
        </w:rPr>
      </w:pPr>
      <w:r w:rsidRPr="004B14BD">
        <w:rPr>
          <w:color w:val="000000" w:themeColor="text1"/>
          <w:sz w:val="16"/>
          <w:szCs w:val="16"/>
        </w:rPr>
        <w:t>Reference: Nm</w:t>
      </w:r>
      <w:r w:rsidRPr="004B14BD">
        <w:rPr>
          <w:color w:val="000000" w:themeColor="text1"/>
          <w:sz w:val="16"/>
          <w:szCs w:val="16"/>
          <w:vertAlign w:val="superscript"/>
        </w:rPr>
        <w:t>3</w:t>
      </w:r>
      <w:r w:rsidRPr="004B14BD">
        <w:rPr>
          <w:color w:val="000000" w:themeColor="text1"/>
          <w:sz w:val="16"/>
          <w:szCs w:val="16"/>
        </w:rPr>
        <w:t xml:space="preserve"> = Tør røggas, 0°C, 1013 mbar</w:t>
      </w:r>
    </w:p>
    <w:p w14:paraId="4B8C73DA" w14:textId="63C5028B" w:rsidR="00C156B5" w:rsidRPr="004B14BD" w:rsidRDefault="00C156B5" w:rsidP="000B6712">
      <w:pPr>
        <w:rPr>
          <w:color w:val="FF0000"/>
          <w:szCs w:val="24"/>
        </w:rPr>
      </w:pPr>
    </w:p>
    <w:p w14:paraId="17FF876F" w14:textId="4CC97C20" w:rsidR="00C803BE" w:rsidRPr="004B14BD" w:rsidRDefault="00C803BE" w:rsidP="00C803BE">
      <w:pPr>
        <w:rPr>
          <w:color w:val="000000" w:themeColor="text1"/>
          <w:szCs w:val="24"/>
        </w:rPr>
      </w:pPr>
      <w:r w:rsidRPr="004B14BD">
        <w:rPr>
          <w:color w:val="000000" w:themeColor="text1"/>
          <w:szCs w:val="24"/>
        </w:rPr>
        <w:t xml:space="preserve">Tabel </w:t>
      </w:r>
      <w:r w:rsidR="00027AB8">
        <w:rPr>
          <w:color w:val="000000" w:themeColor="text1"/>
          <w:szCs w:val="24"/>
        </w:rPr>
        <w:t>2.</w:t>
      </w:r>
      <w:r w:rsidRPr="004B14BD">
        <w:rPr>
          <w:color w:val="000000" w:themeColor="text1"/>
          <w:szCs w:val="24"/>
        </w:rPr>
        <w:t xml:space="preserve"> Anvendte parametre til dimensionering af afkasthøjde for admin generatorer (C825D5e)</w:t>
      </w:r>
    </w:p>
    <w:tbl>
      <w:tblPr>
        <w:tblStyle w:val="Tabel-Gitter"/>
        <w:tblpPr w:leftFromText="141" w:rightFromText="141" w:vertAnchor="text" w:horzAnchor="margin" w:tblpY="88"/>
        <w:tblW w:w="5000" w:type="pct"/>
        <w:tblLook w:val="04A0" w:firstRow="1" w:lastRow="0" w:firstColumn="1" w:lastColumn="0" w:noHBand="0" w:noVBand="1"/>
      </w:tblPr>
      <w:tblGrid>
        <w:gridCol w:w="4177"/>
        <w:gridCol w:w="4177"/>
      </w:tblGrid>
      <w:tr w:rsidR="00862975" w:rsidRPr="004B14BD" w14:paraId="63295042" w14:textId="77777777" w:rsidTr="0069751C">
        <w:tc>
          <w:tcPr>
            <w:tcW w:w="2500" w:type="pct"/>
          </w:tcPr>
          <w:p w14:paraId="2FF74953" w14:textId="4B2EE937" w:rsidR="00862975" w:rsidRPr="004B14BD" w:rsidRDefault="00862975" w:rsidP="0069751C">
            <w:pPr>
              <w:rPr>
                <w:b/>
                <w:bCs/>
                <w:color w:val="000000" w:themeColor="text1"/>
              </w:rPr>
            </w:pPr>
            <w:r w:rsidRPr="004B14BD">
              <w:rPr>
                <w:b/>
                <w:bCs/>
              </w:rPr>
              <w:t>Parameter</w:t>
            </w:r>
          </w:p>
        </w:tc>
        <w:tc>
          <w:tcPr>
            <w:tcW w:w="2500" w:type="pct"/>
          </w:tcPr>
          <w:p w14:paraId="3CC4C0E8" w14:textId="36656D3F" w:rsidR="00862975" w:rsidRPr="004B14BD" w:rsidRDefault="00862975" w:rsidP="0069751C">
            <w:pPr>
              <w:rPr>
                <w:b/>
                <w:bCs/>
                <w:color w:val="000000" w:themeColor="text1"/>
              </w:rPr>
            </w:pPr>
            <w:r w:rsidRPr="004B14BD">
              <w:rPr>
                <w:b/>
                <w:bCs/>
              </w:rPr>
              <w:t>Værdi</w:t>
            </w:r>
          </w:p>
        </w:tc>
      </w:tr>
      <w:tr w:rsidR="00862975" w:rsidRPr="004B14BD" w14:paraId="3CEB54B2" w14:textId="77777777" w:rsidTr="0069751C">
        <w:tc>
          <w:tcPr>
            <w:tcW w:w="2500" w:type="pct"/>
          </w:tcPr>
          <w:p w14:paraId="42F8D4DC" w14:textId="09F890EA" w:rsidR="00862975" w:rsidRPr="004B14BD" w:rsidRDefault="00862975" w:rsidP="00862975">
            <w:pPr>
              <w:rPr>
                <w:color w:val="000000" w:themeColor="text1"/>
              </w:rPr>
            </w:pPr>
            <w:r w:rsidRPr="004B14BD">
              <w:rPr>
                <w:color w:val="000000" w:themeColor="text1"/>
              </w:rPr>
              <w:t>Indfyret termisk effekt</w:t>
            </w:r>
          </w:p>
        </w:tc>
        <w:tc>
          <w:tcPr>
            <w:tcW w:w="2500" w:type="pct"/>
          </w:tcPr>
          <w:p w14:paraId="5F0AD070" w14:textId="3C84ED82" w:rsidR="00862975" w:rsidRPr="004B14BD" w:rsidRDefault="00862975" w:rsidP="00862975">
            <w:pPr>
              <w:rPr>
                <w:color w:val="000000" w:themeColor="text1"/>
              </w:rPr>
            </w:pPr>
            <w:r w:rsidRPr="004B14BD">
              <w:t>Ca. 1,2</w:t>
            </w:r>
            <w:r w:rsidR="002E46C2" w:rsidRPr="004B14BD">
              <w:t>1</w:t>
            </w:r>
            <w:r w:rsidRPr="004B14BD">
              <w:t xml:space="preserve"> MW (MCR)</w:t>
            </w:r>
          </w:p>
        </w:tc>
      </w:tr>
      <w:tr w:rsidR="00862975" w:rsidRPr="004B14BD" w14:paraId="1F728CB3" w14:textId="77777777" w:rsidTr="0069751C">
        <w:tc>
          <w:tcPr>
            <w:tcW w:w="2500" w:type="pct"/>
          </w:tcPr>
          <w:p w14:paraId="2B1CFBBE" w14:textId="1FDC055A" w:rsidR="00862975" w:rsidRPr="004B14BD" w:rsidRDefault="00862975" w:rsidP="00862975">
            <w:pPr>
              <w:rPr>
                <w:color w:val="000000" w:themeColor="text1"/>
              </w:rPr>
            </w:pPr>
            <w:r w:rsidRPr="004B14BD">
              <w:rPr>
                <w:color w:val="000000" w:themeColor="text1"/>
              </w:rPr>
              <w:t>Dimensionerende last</w:t>
            </w:r>
          </w:p>
        </w:tc>
        <w:tc>
          <w:tcPr>
            <w:tcW w:w="2500" w:type="pct"/>
          </w:tcPr>
          <w:p w14:paraId="11F28204" w14:textId="53435344" w:rsidR="00862975" w:rsidRPr="004B14BD" w:rsidRDefault="00862975" w:rsidP="00862975">
            <w:pPr>
              <w:rPr>
                <w:color w:val="000000" w:themeColor="text1"/>
              </w:rPr>
            </w:pPr>
            <w:r w:rsidRPr="004B14BD">
              <w:t>100% (standby mode)</w:t>
            </w:r>
          </w:p>
        </w:tc>
      </w:tr>
      <w:tr w:rsidR="00862975" w:rsidRPr="007411D8" w14:paraId="48F1EDDD" w14:textId="77777777" w:rsidTr="0069751C">
        <w:tc>
          <w:tcPr>
            <w:tcW w:w="2500" w:type="pct"/>
          </w:tcPr>
          <w:p w14:paraId="088C802E" w14:textId="56C604D7" w:rsidR="00862975" w:rsidRPr="004B14BD" w:rsidRDefault="00862975" w:rsidP="00862975">
            <w:pPr>
              <w:rPr>
                <w:color w:val="000000" w:themeColor="text1"/>
              </w:rPr>
            </w:pPr>
            <w:r w:rsidRPr="004B14BD">
              <w:rPr>
                <w:color w:val="000000" w:themeColor="text1"/>
              </w:rPr>
              <w:t>Brændstofforbrug</w:t>
            </w:r>
          </w:p>
        </w:tc>
        <w:tc>
          <w:tcPr>
            <w:tcW w:w="2500" w:type="pct"/>
          </w:tcPr>
          <w:p w14:paraId="111E0D53" w14:textId="12106D46" w:rsidR="00862975" w:rsidRPr="004B14BD" w:rsidRDefault="00862975" w:rsidP="00862975">
            <w:pPr>
              <w:rPr>
                <w:color w:val="000000" w:themeColor="text1"/>
                <w:lang w:val="de-DE"/>
              </w:rPr>
            </w:pPr>
            <w:r w:rsidRPr="004B14BD">
              <w:rPr>
                <w:lang w:val="de-DE"/>
              </w:rPr>
              <w:t>166 L/h (diesel ASTM D975)</w:t>
            </w:r>
          </w:p>
        </w:tc>
      </w:tr>
      <w:tr w:rsidR="00862975" w:rsidRPr="004B14BD" w14:paraId="12876162" w14:textId="77777777" w:rsidTr="0069751C">
        <w:tc>
          <w:tcPr>
            <w:tcW w:w="2500" w:type="pct"/>
          </w:tcPr>
          <w:p w14:paraId="043F006B" w14:textId="05B4A053" w:rsidR="00862975" w:rsidRPr="004B14BD" w:rsidRDefault="00862975" w:rsidP="00862975">
            <w:pPr>
              <w:rPr>
                <w:color w:val="000000" w:themeColor="text1"/>
              </w:rPr>
            </w:pPr>
            <w:r w:rsidRPr="004B14BD">
              <w:rPr>
                <w:color w:val="000000" w:themeColor="text1"/>
              </w:rPr>
              <w:t>Afkast temperatur</w:t>
            </w:r>
          </w:p>
        </w:tc>
        <w:tc>
          <w:tcPr>
            <w:tcW w:w="2500" w:type="pct"/>
          </w:tcPr>
          <w:p w14:paraId="7FFFC722" w14:textId="6266DE96" w:rsidR="00862975" w:rsidRPr="004B14BD" w:rsidRDefault="00862975" w:rsidP="00862975">
            <w:pPr>
              <w:rPr>
                <w:color w:val="000000" w:themeColor="text1"/>
              </w:rPr>
            </w:pPr>
            <w:r w:rsidRPr="004B14BD">
              <w:t>508°C</w:t>
            </w:r>
          </w:p>
        </w:tc>
      </w:tr>
      <w:tr w:rsidR="00862975" w:rsidRPr="004B14BD" w14:paraId="2B8ADB6D" w14:textId="77777777" w:rsidTr="0069751C">
        <w:tc>
          <w:tcPr>
            <w:tcW w:w="2500" w:type="pct"/>
          </w:tcPr>
          <w:p w14:paraId="6EAFB428" w14:textId="7D77390F" w:rsidR="00862975" w:rsidRPr="004B14BD" w:rsidRDefault="00862975" w:rsidP="00862975">
            <w:pPr>
              <w:rPr>
                <w:color w:val="000000" w:themeColor="text1"/>
              </w:rPr>
            </w:pPr>
            <w:r w:rsidRPr="004B14BD">
              <w:rPr>
                <w:color w:val="000000" w:themeColor="text1"/>
              </w:rPr>
              <w:t>Røggasmængde</w:t>
            </w:r>
          </w:p>
        </w:tc>
        <w:tc>
          <w:tcPr>
            <w:tcW w:w="2500" w:type="pct"/>
          </w:tcPr>
          <w:p w14:paraId="659F4E47" w14:textId="167F096A" w:rsidR="00862975" w:rsidRPr="004B14BD" w:rsidRDefault="00862975" w:rsidP="00862975">
            <w:pPr>
              <w:rPr>
                <w:color w:val="000000" w:themeColor="text1"/>
              </w:rPr>
            </w:pPr>
            <w:r w:rsidRPr="004B14BD">
              <w:t>134 m</w:t>
            </w:r>
            <w:r w:rsidRPr="004B14BD">
              <w:rPr>
                <w:vertAlign w:val="superscript"/>
              </w:rPr>
              <w:t>3</w:t>
            </w:r>
            <w:r w:rsidRPr="004B14BD">
              <w:t xml:space="preserve"> /min, driftstilstand</w:t>
            </w:r>
          </w:p>
        </w:tc>
      </w:tr>
      <w:tr w:rsidR="00862975" w:rsidRPr="004B14BD" w14:paraId="02C082DB" w14:textId="77777777" w:rsidTr="0069751C">
        <w:tc>
          <w:tcPr>
            <w:tcW w:w="2500" w:type="pct"/>
          </w:tcPr>
          <w:p w14:paraId="0910B214" w14:textId="61D4FB65" w:rsidR="00862975" w:rsidRPr="004B14BD" w:rsidRDefault="00862975" w:rsidP="00862975">
            <w:r w:rsidRPr="004B14BD">
              <w:t>NOx koncentration</w:t>
            </w:r>
          </w:p>
        </w:tc>
        <w:tc>
          <w:tcPr>
            <w:tcW w:w="2500" w:type="pct"/>
          </w:tcPr>
          <w:p w14:paraId="608C55B2" w14:textId="74AD215D" w:rsidR="00862975" w:rsidRPr="004B14BD" w:rsidRDefault="00862975" w:rsidP="00862975">
            <w:r w:rsidRPr="004B14BD">
              <w:t>3537 mg/Nm</w:t>
            </w:r>
            <w:r w:rsidRPr="004B14BD">
              <w:rPr>
                <w:vertAlign w:val="superscript"/>
              </w:rPr>
              <w:t>3</w:t>
            </w:r>
            <w:r w:rsidRPr="004B14BD">
              <w:t xml:space="preserve"> , tør 5 vol% O</w:t>
            </w:r>
            <w:r w:rsidRPr="004B14BD">
              <w:rPr>
                <w:vertAlign w:val="subscript"/>
              </w:rPr>
              <w:t>2</w:t>
            </w:r>
          </w:p>
        </w:tc>
      </w:tr>
      <w:tr w:rsidR="00862975" w:rsidRPr="004B14BD" w14:paraId="43ED7A22" w14:textId="77777777" w:rsidTr="0069751C">
        <w:tc>
          <w:tcPr>
            <w:tcW w:w="2500" w:type="pct"/>
          </w:tcPr>
          <w:p w14:paraId="2E68C255" w14:textId="42BD30C7" w:rsidR="00862975" w:rsidRPr="004B14BD" w:rsidRDefault="00862975" w:rsidP="00862975">
            <w:r w:rsidRPr="004B14BD">
              <w:t>CO koncentration</w:t>
            </w:r>
          </w:p>
        </w:tc>
        <w:tc>
          <w:tcPr>
            <w:tcW w:w="2500" w:type="pct"/>
          </w:tcPr>
          <w:p w14:paraId="03F40842" w14:textId="73D569C0" w:rsidR="00862975" w:rsidRPr="004B14BD" w:rsidRDefault="00862975" w:rsidP="00862975">
            <w:r w:rsidRPr="004B14BD">
              <w:t>174 mg/Nm</w:t>
            </w:r>
            <w:r w:rsidRPr="004B14BD">
              <w:rPr>
                <w:vertAlign w:val="superscript"/>
              </w:rPr>
              <w:t>3</w:t>
            </w:r>
            <w:r w:rsidRPr="004B14BD">
              <w:t>, tør 5 vol% O</w:t>
            </w:r>
            <w:r w:rsidRPr="004B14BD">
              <w:rPr>
                <w:vertAlign w:val="subscript"/>
              </w:rPr>
              <w:t>2</w:t>
            </w:r>
          </w:p>
        </w:tc>
      </w:tr>
      <w:tr w:rsidR="00862975" w:rsidRPr="004B14BD" w14:paraId="47D51A78" w14:textId="77777777" w:rsidTr="0069751C">
        <w:tc>
          <w:tcPr>
            <w:tcW w:w="2500" w:type="pct"/>
          </w:tcPr>
          <w:p w14:paraId="08734000" w14:textId="6F050906" w:rsidR="00862975" w:rsidRPr="004B14BD" w:rsidRDefault="00862975" w:rsidP="00862975">
            <w:r w:rsidRPr="004B14BD">
              <w:t>O</w:t>
            </w:r>
            <w:r w:rsidRPr="004B14BD">
              <w:rPr>
                <w:vertAlign w:val="subscript"/>
              </w:rPr>
              <w:t>2</w:t>
            </w:r>
            <w:r w:rsidRPr="004B14BD">
              <w:t xml:space="preserve"> koncentration</w:t>
            </w:r>
          </w:p>
        </w:tc>
        <w:tc>
          <w:tcPr>
            <w:tcW w:w="2500" w:type="pct"/>
          </w:tcPr>
          <w:p w14:paraId="486AE4B7" w14:textId="06FC2447" w:rsidR="00862975" w:rsidRPr="004B14BD" w:rsidRDefault="00862975" w:rsidP="00862975">
            <w:r w:rsidRPr="004B14BD">
              <w:t>8 vol%, tør</w:t>
            </w:r>
          </w:p>
        </w:tc>
      </w:tr>
      <w:tr w:rsidR="00862975" w:rsidRPr="004B14BD" w14:paraId="4A156F9B" w14:textId="77777777" w:rsidTr="0069751C">
        <w:tc>
          <w:tcPr>
            <w:tcW w:w="2500" w:type="pct"/>
          </w:tcPr>
          <w:p w14:paraId="55654D34" w14:textId="2F381701" w:rsidR="00862975" w:rsidRPr="004B14BD" w:rsidRDefault="00862975" w:rsidP="00862975">
            <w:pPr>
              <w:rPr>
                <w:color w:val="000000" w:themeColor="text1"/>
              </w:rPr>
            </w:pPr>
            <w:r w:rsidRPr="004B14BD">
              <w:rPr>
                <w:color w:val="000000" w:themeColor="text1"/>
              </w:rPr>
              <w:t>Skorstenshøjde, højde over terræn</w:t>
            </w:r>
          </w:p>
        </w:tc>
        <w:tc>
          <w:tcPr>
            <w:tcW w:w="2500" w:type="pct"/>
          </w:tcPr>
          <w:p w14:paraId="2A4F950A" w14:textId="344D5F6F" w:rsidR="00862975" w:rsidRPr="004B14BD" w:rsidRDefault="00862975" w:rsidP="00862975">
            <w:pPr>
              <w:rPr>
                <w:color w:val="000000" w:themeColor="text1"/>
              </w:rPr>
            </w:pPr>
            <w:r w:rsidRPr="004B14BD">
              <w:t>16 meter</w:t>
            </w:r>
          </w:p>
        </w:tc>
      </w:tr>
      <w:tr w:rsidR="00862975" w:rsidRPr="004B14BD" w14:paraId="4FC8BA90" w14:textId="77777777" w:rsidTr="0069751C">
        <w:tc>
          <w:tcPr>
            <w:tcW w:w="2500" w:type="pct"/>
          </w:tcPr>
          <w:p w14:paraId="33677862" w14:textId="15D74387" w:rsidR="00862975" w:rsidRPr="004B14BD" w:rsidRDefault="00862975" w:rsidP="00862975">
            <w:pPr>
              <w:rPr>
                <w:color w:val="000000" w:themeColor="text1"/>
              </w:rPr>
            </w:pPr>
            <w:r w:rsidRPr="004B14BD">
              <w:rPr>
                <w:color w:val="000000" w:themeColor="text1"/>
              </w:rPr>
              <w:t>Skorsten, indre diameter</w:t>
            </w:r>
          </w:p>
        </w:tc>
        <w:tc>
          <w:tcPr>
            <w:tcW w:w="2500" w:type="pct"/>
          </w:tcPr>
          <w:p w14:paraId="238210BC" w14:textId="5549A7C5" w:rsidR="00862975" w:rsidRPr="004B14BD" w:rsidRDefault="00862975" w:rsidP="00862975">
            <w:pPr>
              <w:rPr>
                <w:color w:val="000000" w:themeColor="text1"/>
              </w:rPr>
            </w:pPr>
            <w:r w:rsidRPr="004B14BD">
              <w:t>0,15 meter, 2 x 0,15 meter</w:t>
            </w:r>
            <w:r w:rsidR="00C803BE" w:rsidRPr="004B14BD">
              <w:t xml:space="preserve">, svarende til en ækvivalent diameter på 0,21 meter </w:t>
            </w:r>
          </w:p>
        </w:tc>
      </w:tr>
      <w:tr w:rsidR="00862975" w:rsidRPr="004B14BD" w14:paraId="318A77AB" w14:textId="77777777" w:rsidTr="0069751C">
        <w:tc>
          <w:tcPr>
            <w:tcW w:w="2500" w:type="pct"/>
          </w:tcPr>
          <w:p w14:paraId="62A9FDFA" w14:textId="7E46546D" w:rsidR="00862975" w:rsidRPr="004B14BD" w:rsidRDefault="00862975" w:rsidP="00862975">
            <w:pPr>
              <w:rPr>
                <w:color w:val="000000" w:themeColor="text1"/>
              </w:rPr>
            </w:pPr>
            <w:r w:rsidRPr="004B14BD">
              <w:rPr>
                <w:color w:val="000000" w:themeColor="text1"/>
              </w:rPr>
              <w:t>Skorsten, ydre diameter</w:t>
            </w:r>
          </w:p>
        </w:tc>
        <w:tc>
          <w:tcPr>
            <w:tcW w:w="2500" w:type="pct"/>
          </w:tcPr>
          <w:p w14:paraId="2E814D97" w14:textId="7587F521" w:rsidR="00862975" w:rsidRPr="004B14BD" w:rsidRDefault="00C803BE" w:rsidP="00862975">
            <w:pPr>
              <w:rPr>
                <w:color w:val="000000" w:themeColor="text1"/>
              </w:rPr>
            </w:pPr>
            <w:r w:rsidRPr="004B14BD">
              <w:t>0,17 meter</w:t>
            </w:r>
          </w:p>
        </w:tc>
      </w:tr>
      <w:tr w:rsidR="00862975" w:rsidRPr="004B14BD" w14:paraId="5AC728D2" w14:textId="77777777" w:rsidTr="0069751C">
        <w:tc>
          <w:tcPr>
            <w:tcW w:w="2500" w:type="pct"/>
          </w:tcPr>
          <w:p w14:paraId="281D9E7C" w14:textId="6B21D740" w:rsidR="00862975" w:rsidRPr="004B14BD" w:rsidRDefault="00862975" w:rsidP="00862975">
            <w:pPr>
              <w:rPr>
                <w:color w:val="000000" w:themeColor="text1"/>
              </w:rPr>
            </w:pPr>
            <w:r w:rsidRPr="004B14BD">
              <w:rPr>
                <w:color w:val="000000" w:themeColor="text1"/>
              </w:rPr>
              <w:t>Generel bygningshøjde</w:t>
            </w:r>
          </w:p>
        </w:tc>
        <w:tc>
          <w:tcPr>
            <w:tcW w:w="2500" w:type="pct"/>
          </w:tcPr>
          <w:p w14:paraId="1355B9D7" w14:textId="480A6781" w:rsidR="00862975" w:rsidRPr="004B14BD" w:rsidRDefault="00C803BE" w:rsidP="00862975">
            <w:pPr>
              <w:rPr>
                <w:color w:val="000000" w:themeColor="text1"/>
              </w:rPr>
            </w:pPr>
            <w:r w:rsidRPr="004B14BD">
              <w:t>9 meter</w:t>
            </w:r>
          </w:p>
        </w:tc>
      </w:tr>
    </w:tbl>
    <w:p w14:paraId="7F3FB7B0" w14:textId="515F1737" w:rsidR="00862975" w:rsidRPr="004B14BD" w:rsidRDefault="00862975" w:rsidP="000B6712">
      <w:pPr>
        <w:rPr>
          <w:color w:val="FF0000"/>
          <w:sz w:val="16"/>
          <w:szCs w:val="16"/>
        </w:rPr>
      </w:pPr>
      <w:r w:rsidRPr="004B14BD">
        <w:rPr>
          <w:sz w:val="16"/>
          <w:szCs w:val="16"/>
        </w:rPr>
        <w:t>Reference: Nm</w:t>
      </w:r>
      <w:r w:rsidRPr="004B14BD">
        <w:rPr>
          <w:sz w:val="16"/>
          <w:szCs w:val="16"/>
          <w:vertAlign w:val="superscript"/>
        </w:rPr>
        <w:t>3</w:t>
      </w:r>
      <w:r w:rsidRPr="004B14BD">
        <w:rPr>
          <w:sz w:val="16"/>
          <w:szCs w:val="16"/>
        </w:rPr>
        <w:t xml:space="preserve"> = Tør røggas, 0°C, 1013 mbar</w:t>
      </w:r>
    </w:p>
    <w:p w14:paraId="27780CEE" w14:textId="5296E780" w:rsidR="00862975" w:rsidRPr="004B14BD" w:rsidRDefault="00862975" w:rsidP="000B6712">
      <w:pPr>
        <w:rPr>
          <w:color w:val="000000" w:themeColor="text1"/>
          <w:szCs w:val="24"/>
        </w:rPr>
      </w:pPr>
    </w:p>
    <w:p w14:paraId="7E5498E7" w14:textId="38871167" w:rsidR="006C35B3" w:rsidRPr="004B14BD" w:rsidRDefault="00CB7851" w:rsidP="005E6E82">
      <w:pPr>
        <w:rPr>
          <w:color w:val="000000" w:themeColor="text1"/>
          <w:szCs w:val="24"/>
        </w:rPr>
      </w:pPr>
      <w:r w:rsidRPr="004B14BD">
        <w:rPr>
          <w:color w:val="000000" w:themeColor="text1"/>
          <w:szCs w:val="24"/>
        </w:rPr>
        <w:t xml:space="preserve">Detaljerede oplysninger om placering af afkast, receptornet, terrændata m.v. anvendt i OML-modellen fremgår </w:t>
      </w:r>
      <w:r w:rsidR="00D95C32" w:rsidRPr="004B14BD">
        <w:rPr>
          <w:color w:val="000000" w:themeColor="text1"/>
          <w:szCs w:val="24"/>
        </w:rPr>
        <w:t>af bilag 3 til ansøgning</w:t>
      </w:r>
      <w:r w:rsidR="006D646F" w:rsidRPr="004B14BD">
        <w:rPr>
          <w:color w:val="000000" w:themeColor="text1"/>
          <w:szCs w:val="24"/>
        </w:rPr>
        <w:t xml:space="preserve"> om miljøgodkendelse</w:t>
      </w:r>
      <w:r w:rsidR="00EC6EAA">
        <w:rPr>
          <w:color w:val="000000" w:themeColor="text1"/>
          <w:szCs w:val="24"/>
        </w:rPr>
        <w:t>:</w:t>
      </w:r>
      <w:r w:rsidR="0006032F">
        <w:rPr>
          <w:color w:val="000000" w:themeColor="text1"/>
          <w:szCs w:val="24"/>
        </w:rPr>
        <w:t xml:space="preserve"> </w:t>
      </w:r>
      <w:r w:rsidR="0006032F" w:rsidRPr="004B14BD">
        <w:rPr>
          <w:color w:val="000000" w:themeColor="text1"/>
          <w:szCs w:val="24"/>
        </w:rPr>
        <w:t>”Beregning af nødvendig skorstenshøjde – CPH07, Vurdering af luftforurening fra nødstrømsanlæg”</w:t>
      </w:r>
      <w:r w:rsidR="00D95C32" w:rsidRPr="004B14BD">
        <w:rPr>
          <w:color w:val="000000" w:themeColor="text1"/>
          <w:szCs w:val="24"/>
        </w:rPr>
        <w:t>.</w:t>
      </w:r>
    </w:p>
    <w:p w14:paraId="52BA137F" w14:textId="77777777" w:rsidR="00523C18" w:rsidRPr="004B14BD" w:rsidRDefault="00523C18" w:rsidP="005E6E82">
      <w:pPr>
        <w:rPr>
          <w:color w:val="000000" w:themeColor="text1"/>
          <w:szCs w:val="24"/>
        </w:rPr>
      </w:pPr>
    </w:p>
    <w:p w14:paraId="0A26183F" w14:textId="5C13D64E" w:rsidR="005E6E82" w:rsidRPr="004B14BD" w:rsidRDefault="00185270" w:rsidP="005E6E82">
      <w:pPr>
        <w:rPr>
          <w:color w:val="000000" w:themeColor="text1"/>
          <w:szCs w:val="24"/>
        </w:rPr>
      </w:pPr>
      <w:r w:rsidRPr="004B14BD">
        <w:rPr>
          <w:color w:val="000000" w:themeColor="text1"/>
          <w:szCs w:val="24"/>
        </w:rPr>
        <w:t xml:space="preserve">Resultaterne </w:t>
      </w:r>
      <w:r w:rsidR="009D3931" w:rsidRPr="004B14BD">
        <w:rPr>
          <w:color w:val="000000" w:themeColor="text1"/>
          <w:szCs w:val="24"/>
        </w:rPr>
        <w:t xml:space="preserve">fra OML-beregningerne er vist i nedenstående </w:t>
      </w:r>
      <w:r w:rsidR="009D3931" w:rsidRPr="004B14BD">
        <w:rPr>
          <w:szCs w:val="24"/>
        </w:rPr>
        <w:t>tabel</w:t>
      </w:r>
      <w:r w:rsidR="00094B13" w:rsidRPr="004B14BD">
        <w:rPr>
          <w:szCs w:val="24"/>
        </w:rPr>
        <w:t xml:space="preserve"> </w:t>
      </w:r>
      <w:r w:rsidR="00AA002A">
        <w:rPr>
          <w:szCs w:val="24"/>
        </w:rPr>
        <w:t>3</w:t>
      </w:r>
      <w:r w:rsidR="009D3931" w:rsidRPr="004B14BD">
        <w:rPr>
          <w:szCs w:val="24"/>
        </w:rPr>
        <w:t xml:space="preserve">. </w:t>
      </w:r>
      <w:r w:rsidR="005E6E82" w:rsidRPr="004B14BD">
        <w:rPr>
          <w:color w:val="000000" w:themeColor="text1"/>
          <w:szCs w:val="24"/>
        </w:rPr>
        <w:t>Som det fremgår, er der lavet beregninger for 2 receptorhøjder på henholdsvis 1,5 og 7 meter, svarende til terrænniveau og den ma</w:t>
      </w:r>
      <w:r w:rsidR="0041183B" w:rsidRPr="004B14BD">
        <w:rPr>
          <w:color w:val="000000" w:themeColor="text1"/>
          <w:szCs w:val="24"/>
        </w:rPr>
        <w:t>ksi</w:t>
      </w:r>
      <w:r w:rsidR="005E6E82" w:rsidRPr="004B14BD">
        <w:rPr>
          <w:color w:val="000000" w:themeColor="text1"/>
          <w:szCs w:val="24"/>
        </w:rPr>
        <w:t>male højde, hvori personer kan opholde sig i bygninger indenfor den givne afstand (Essex Park).</w:t>
      </w:r>
    </w:p>
    <w:p w14:paraId="78752925" w14:textId="41B86661" w:rsidR="00E271EE" w:rsidRPr="004B14BD" w:rsidRDefault="00E271EE" w:rsidP="009D3931">
      <w:pPr>
        <w:rPr>
          <w:color w:val="000000" w:themeColor="text1"/>
          <w:szCs w:val="24"/>
        </w:rPr>
      </w:pPr>
    </w:p>
    <w:p w14:paraId="2BF23315" w14:textId="01907F27" w:rsidR="00185270" w:rsidRPr="004B14BD" w:rsidRDefault="00E271EE" w:rsidP="000B6712">
      <w:pPr>
        <w:rPr>
          <w:color w:val="000000" w:themeColor="text1"/>
          <w:szCs w:val="24"/>
        </w:rPr>
      </w:pPr>
      <w:r w:rsidRPr="004B14BD">
        <w:rPr>
          <w:color w:val="000000" w:themeColor="text1"/>
          <w:szCs w:val="24"/>
        </w:rPr>
        <w:t xml:space="preserve">Tabel </w:t>
      </w:r>
      <w:r w:rsidR="00AA002A">
        <w:rPr>
          <w:color w:val="000000" w:themeColor="text1"/>
          <w:szCs w:val="24"/>
        </w:rPr>
        <w:t>3</w:t>
      </w:r>
      <w:r w:rsidRPr="004B14BD">
        <w:rPr>
          <w:color w:val="000000" w:themeColor="text1"/>
          <w:szCs w:val="24"/>
        </w:rPr>
        <w:t>: - Resultater fra OML-beregningen, Immissionskoncentrationsbidrag (maksimal månedlig</w:t>
      </w:r>
      <w:r w:rsidR="001F2864" w:rsidRPr="004B14BD">
        <w:rPr>
          <w:color w:val="000000" w:themeColor="text1"/>
          <w:szCs w:val="24"/>
        </w:rPr>
        <w:t xml:space="preserve"> </w:t>
      </w:r>
      <w:r w:rsidRPr="004B14BD">
        <w:rPr>
          <w:color w:val="000000" w:themeColor="text1"/>
          <w:szCs w:val="24"/>
        </w:rPr>
        <w:t>99%-fraktil)</w:t>
      </w:r>
      <w:r w:rsidRPr="004B14BD">
        <w:rPr>
          <w:color w:val="000000" w:themeColor="text1"/>
          <w:szCs w:val="24"/>
        </w:rPr>
        <w:cr/>
      </w:r>
    </w:p>
    <w:tbl>
      <w:tblPr>
        <w:tblStyle w:val="Tabel-Gitter"/>
        <w:tblW w:w="5000" w:type="pct"/>
        <w:tblLook w:val="04A0" w:firstRow="1" w:lastRow="0" w:firstColumn="1" w:lastColumn="0" w:noHBand="0" w:noVBand="1"/>
      </w:tblPr>
      <w:tblGrid>
        <w:gridCol w:w="2457"/>
        <w:gridCol w:w="1353"/>
        <w:gridCol w:w="1475"/>
        <w:gridCol w:w="1597"/>
        <w:gridCol w:w="1472"/>
      </w:tblGrid>
      <w:tr w:rsidR="00720C2A" w:rsidRPr="004B14BD" w14:paraId="2B9EA6E4" w14:textId="77777777" w:rsidTr="00236754">
        <w:tc>
          <w:tcPr>
            <w:tcW w:w="1470" w:type="pct"/>
          </w:tcPr>
          <w:p w14:paraId="7B029641" w14:textId="4863B625" w:rsidR="00720C2A" w:rsidRPr="004B14BD" w:rsidRDefault="00720C2A" w:rsidP="00E648C5">
            <w:pPr>
              <w:rPr>
                <w:b/>
                <w:bCs/>
              </w:rPr>
            </w:pPr>
            <w:r w:rsidRPr="004B14BD">
              <w:rPr>
                <w:b/>
                <w:bCs/>
              </w:rPr>
              <w:t>Parameter</w:t>
            </w:r>
          </w:p>
        </w:tc>
        <w:tc>
          <w:tcPr>
            <w:tcW w:w="1693" w:type="pct"/>
            <w:gridSpan w:val="2"/>
          </w:tcPr>
          <w:p w14:paraId="138503F9" w14:textId="77777777" w:rsidR="00720C2A" w:rsidRPr="004B14BD" w:rsidRDefault="00720C2A" w:rsidP="00720C2A">
            <w:pPr>
              <w:rPr>
                <w:b/>
                <w:bCs/>
                <w:lang w:val="de-DE"/>
              </w:rPr>
            </w:pPr>
            <w:r w:rsidRPr="004B14BD">
              <w:rPr>
                <w:b/>
                <w:bCs/>
                <w:lang w:val="de-DE"/>
              </w:rPr>
              <w:t>2 stk. Colo generatorer</w:t>
            </w:r>
          </w:p>
          <w:p w14:paraId="70F631A2" w14:textId="77777777" w:rsidR="00720C2A" w:rsidRPr="004B14BD" w:rsidRDefault="00720C2A" w:rsidP="00720C2A">
            <w:pPr>
              <w:rPr>
                <w:b/>
                <w:bCs/>
                <w:lang w:val="de-DE"/>
              </w:rPr>
            </w:pPr>
            <w:r w:rsidRPr="004B14BD">
              <w:rPr>
                <w:b/>
                <w:bCs/>
                <w:lang w:val="de-DE"/>
              </w:rPr>
              <w:t>(C3750 D5e)</w:t>
            </w:r>
          </w:p>
          <w:p w14:paraId="19D37160" w14:textId="77777777" w:rsidR="00720C2A" w:rsidRPr="004B14BD" w:rsidRDefault="00720C2A" w:rsidP="00E648C5">
            <w:pPr>
              <w:rPr>
                <w:b/>
                <w:bCs/>
                <w:lang w:val="de-DE"/>
              </w:rPr>
            </w:pPr>
          </w:p>
        </w:tc>
        <w:tc>
          <w:tcPr>
            <w:tcW w:w="1837" w:type="pct"/>
            <w:gridSpan w:val="2"/>
          </w:tcPr>
          <w:p w14:paraId="5EC1F49F" w14:textId="67E2934F" w:rsidR="00720C2A" w:rsidRPr="004B14BD" w:rsidRDefault="00720C2A" w:rsidP="00720C2A">
            <w:pPr>
              <w:rPr>
                <w:b/>
                <w:bCs/>
              </w:rPr>
            </w:pPr>
            <w:r w:rsidRPr="004B14BD">
              <w:rPr>
                <w:b/>
                <w:bCs/>
              </w:rPr>
              <w:t>2 stk. admin generator</w:t>
            </w:r>
            <w:r w:rsidR="00236754" w:rsidRPr="004B14BD">
              <w:rPr>
                <w:b/>
                <w:bCs/>
              </w:rPr>
              <w:t>er</w:t>
            </w:r>
          </w:p>
          <w:p w14:paraId="51D25BDD" w14:textId="77777777" w:rsidR="00720C2A" w:rsidRPr="004B14BD" w:rsidRDefault="00720C2A" w:rsidP="00720C2A">
            <w:pPr>
              <w:rPr>
                <w:b/>
                <w:bCs/>
              </w:rPr>
            </w:pPr>
            <w:r w:rsidRPr="004B14BD">
              <w:rPr>
                <w:b/>
                <w:bCs/>
              </w:rPr>
              <w:t>(C825 D5e)</w:t>
            </w:r>
          </w:p>
          <w:p w14:paraId="2BDF2BC3" w14:textId="77777777" w:rsidR="00720C2A" w:rsidRPr="004B14BD" w:rsidRDefault="00720C2A" w:rsidP="00E648C5">
            <w:pPr>
              <w:rPr>
                <w:b/>
                <w:bCs/>
              </w:rPr>
            </w:pPr>
          </w:p>
        </w:tc>
      </w:tr>
      <w:tr w:rsidR="00720C2A" w:rsidRPr="004B14BD" w14:paraId="545D79D2" w14:textId="77777777" w:rsidTr="00236754">
        <w:tc>
          <w:tcPr>
            <w:tcW w:w="1470" w:type="pct"/>
          </w:tcPr>
          <w:p w14:paraId="00754483" w14:textId="7C9158C4" w:rsidR="00720C2A" w:rsidRPr="004B14BD" w:rsidRDefault="00720C2A" w:rsidP="00E648C5">
            <w:r w:rsidRPr="004B14BD">
              <w:lastRenderedPageBreak/>
              <w:t>Afkast højde (m)</w:t>
            </w:r>
          </w:p>
        </w:tc>
        <w:tc>
          <w:tcPr>
            <w:tcW w:w="1693" w:type="pct"/>
            <w:gridSpan w:val="2"/>
          </w:tcPr>
          <w:p w14:paraId="38A7461F" w14:textId="157C3114" w:rsidR="00720C2A" w:rsidRPr="004B14BD" w:rsidRDefault="00720C2A" w:rsidP="00720C2A">
            <w:pPr>
              <w:jc w:val="center"/>
            </w:pPr>
            <w:r w:rsidRPr="004B14BD">
              <w:t>21</w:t>
            </w:r>
          </w:p>
        </w:tc>
        <w:tc>
          <w:tcPr>
            <w:tcW w:w="1837" w:type="pct"/>
            <w:gridSpan w:val="2"/>
          </w:tcPr>
          <w:p w14:paraId="134692D8" w14:textId="5873801D" w:rsidR="00720C2A" w:rsidRPr="004B14BD" w:rsidRDefault="00720C2A" w:rsidP="00720C2A">
            <w:pPr>
              <w:jc w:val="center"/>
            </w:pPr>
            <w:r w:rsidRPr="004B14BD">
              <w:t>16</w:t>
            </w:r>
          </w:p>
          <w:p w14:paraId="39A39A26" w14:textId="77777777" w:rsidR="00720C2A" w:rsidRPr="004B14BD" w:rsidRDefault="00720C2A" w:rsidP="00E648C5"/>
        </w:tc>
      </w:tr>
      <w:tr w:rsidR="00720C2A" w:rsidRPr="004B14BD" w14:paraId="6AC1F403" w14:textId="77777777" w:rsidTr="00236754">
        <w:tc>
          <w:tcPr>
            <w:tcW w:w="1470" w:type="pct"/>
          </w:tcPr>
          <w:p w14:paraId="21175B36" w14:textId="4774CA95" w:rsidR="00720C2A" w:rsidRPr="004B14BD" w:rsidRDefault="00185270" w:rsidP="00E648C5">
            <w:r w:rsidRPr="004B14BD">
              <w:t>R</w:t>
            </w:r>
            <w:r w:rsidR="00720C2A" w:rsidRPr="004B14BD">
              <w:t>eceptorhøjde (m)</w:t>
            </w:r>
          </w:p>
        </w:tc>
        <w:tc>
          <w:tcPr>
            <w:tcW w:w="810" w:type="pct"/>
          </w:tcPr>
          <w:p w14:paraId="28F49D7C" w14:textId="395D41A7" w:rsidR="00720C2A" w:rsidRPr="004B14BD" w:rsidRDefault="00720C2A" w:rsidP="00C07708">
            <w:pPr>
              <w:jc w:val="center"/>
            </w:pPr>
            <w:r w:rsidRPr="004B14BD">
              <w:t>1,5</w:t>
            </w:r>
          </w:p>
        </w:tc>
        <w:tc>
          <w:tcPr>
            <w:tcW w:w="883" w:type="pct"/>
          </w:tcPr>
          <w:p w14:paraId="4B4A5D96" w14:textId="5205F424" w:rsidR="00720C2A" w:rsidRPr="004B14BD" w:rsidRDefault="00720C2A" w:rsidP="00C07708">
            <w:pPr>
              <w:jc w:val="center"/>
            </w:pPr>
            <w:r w:rsidRPr="004B14BD">
              <w:t>7</w:t>
            </w:r>
          </w:p>
        </w:tc>
        <w:tc>
          <w:tcPr>
            <w:tcW w:w="956" w:type="pct"/>
          </w:tcPr>
          <w:p w14:paraId="7EF51E87" w14:textId="24F112F8" w:rsidR="00720C2A" w:rsidRPr="004B14BD" w:rsidRDefault="00720C2A" w:rsidP="00C07708">
            <w:pPr>
              <w:jc w:val="center"/>
            </w:pPr>
            <w:r w:rsidRPr="004B14BD">
              <w:t>1,5</w:t>
            </w:r>
          </w:p>
        </w:tc>
        <w:tc>
          <w:tcPr>
            <w:tcW w:w="881" w:type="pct"/>
          </w:tcPr>
          <w:p w14:paraId="19BAC516" w14:textId="77777777" w:rsidR="00720C2A" w:rsidRPr="004B14BD" w:rsidRDefault="00720C2A" w:rsidP="00C07708">
            <w:pPr>
              <w:jc w:val="center"/>
            </w:pPr>
            <w:r w:rsidRPr="004B14BD">
              <w:t>7</w:t>
            </w:r>
          </w:p>
          <w:p w14:paraId="1CA1157C" w14:textId="77777777" w:rsidR="00720C2A" w:rsidRPr="004B14BD" w:rsidRDefault="00720C2A" w:rsidP="00C07708">
            <w:pPr>
              <w:jc w:val="center"/>
            </w:pPr>
          </w:p>
        </w:tc>
      </w:tr>
      <w:tr w:rsidR="00720C2A" w:rsidRPr="004B14BD" w14:paraId="26C48A78" w14:textId="77777777" w:rsidTr="00236754">
        <w:tc>
          <w:tcPr>
            <w:tcW w:w="1470" w:type="pct"/>
          </w:tcPr>
          <w:p w14:paraId="67EC2BE9" w14:textId="3A200F93" w:rsidR="00720C2A" w:rsidRPr="004B14BD" w:rsidRDefault="00720C2A" w:rsidP="00720C2A">
            <w:pPr>
              <w:rPr>
                <w:b/>
                <w:bCs/>
              </w:rPr>
            </w:pPr>
            <w:r w:rsidRPr="004B14BD">
              <w:rPr>
                <w:b/>
                <w:bCs/>
              </w:rPr>
              <w:t>NO</w:t>
            </w:r>
            <w:r w:rsidR="000921B9" w:rsidRPr="004B14BD">
              <w:rPr>
                <w:b/>
                <w:bCs/>
                <w:vertAlign w:val="subscript"/>
              </w:rPr>
              <w:t>2</w:t>
            </w:r>
            <w:r w:rsidRPr="004B14BD">
              <w:rPr>
                <w:b/>
                <w:bCs/>
              </w:rPr>
              <w:t xml:space="preserve"> -</w:t>
            </w:r>
          </w:p>
          <w:p w14:paraId="2DBAF93F" w14:textId="5F1F6337" w:rsidR="00720C2A" w:rsidRPr="004B14BD" w:rsidRDefault="00720C2A" w:rsidP="00720C2A">
            <w:pPr>
              <w:rPr>
                <w:b/>
                <w:bCs/>
              </w:rPr>
            </w:pPr>
            <w:r w:rsidRPr="004B14BD">
              <w:rPr>
                <w:b/>
                <w:bCs/>
              </w:rPr>
              <w:t>maksimum (µg/m</w:t>
            </w:r>
            <w:r w:rsidRPr="004B14BD">
              <w:rPr>
                <w:b/>
                <w:bCs/>
                <w:vertAlign w:val="superscript"/>
              </w:rPr>
              <w:t>3</w:t>
            </w:r>
            <w:r w:rsidRPr="004B14BD">
              <w:rPr>
                <w:b/>
                <w:bCs/>
              </w:rPr>
              <w:t>)</w:t>
            </w:r>
          </w:p>
        </w:tc>
        <w:tc>
          <w:tcPr>
            <w:tcW w:w="810" w:type="pct"/>
          </w:tcPr>
          <w:p w14:paraId="7995579A" w14:textId="4F9655D5" w:rsidR="00720C2A" w:rsidRPr="004B14BD" w:rsidRDefault="00720C2A" w:rsidP="00C07708">
            <w:pPr>
              <w:jc w:val="center"/>
              <w:rPr>
                <w:b/>
                <w:bCs/>
              </w:rPr>
            </w:pPr>
            <w:r w:rsidRPr="004B14BD">
              <w:rPr>
                <w:b/>
                <w:bCs/>
              </w:rPr>
              <w:t>99</w:t>
            </w:r>
          </w:p>
        </w:tc>
        <w:tc>
          <w:tcPr>
            <w:tcW w:w="883" w:type="pct"/>
          </w:tcPr>
          <w:p w14:paraId="714EA6C1" w14:textId="23D62E87" w:rsidR="00720C2A" w:rsidRPr="004B14BD" w:rsidRDefault="00720C2A" w:rsidP="00C07708">
            <w:pPr>
              <w:jc w:val="center"/>
              <w:rPr>
                <w:b/>
                <w:bCs/>
              </w:rPr>
            </w:pPr>
            <w:r w:rsidRPr="004B14BD">
              <w:rPr>
                <w:b/>
                <w:bCs/>
              </w:rPr>
              <w:t>114</w:t>
            </w:r>
          </w:p>
        </w:tc>
        <w:tc>
          <w:tcPr>
            <w:tcW w:w="956" w:type="pct"/>
          </w:tcPr>
          <w:p w14:paraId="71602509" w14:textId="3177278E" w:rsidR="00720C2A" w:rsidRPr="004B14BD" w:rsidRDefault="00720C2A" w:rsidP="00C07708">
            <w:pPr>
              <w:jc w:val="center"/>
              <w:rPr>
                <w:b/>
                <w:bCs/>
              </w:rPr>
            </w:pPr>
            <w:r w:rsidRPr="004B14BD">
              <w:rPr>
                <w:b/>
                <w:bCs/>
              </w:rPr>
              <w:t>68</w:t>
            </w:r>
          </w:p>
        </w:tc>
        <w:tc>
          <w:tcPr>
            <w:tcW w:w="881" w:type="pct"/>
          </w:tcPr>
          <w:p w14:paraId="163CA837" w14:textId="77777777" w:rsidR="00720C2A" w:rsidRPr="004B14BD" w:rsidRDefault="00720C2A" w:rsidP="00C07708">
            <w:pPr>
              <w:jc w:val="center"/>
              <w:rPr>
                <w:b/>
                <w:bCs/>
              </w:rPr>
            </w:pPr>
            <w:r w:rsidRPr="004B14BD">
              <w:rPr>
                <w:b/>
                <w:bCs/>
              </w:rPr>
              <w:t>107</w:t>
            </w:r>
          </w:p>
          <w:p w14:paraId="1079ABE8" w14:textId="77777777" w:rsidR="00720C2A" w:rsidRPr="004B14BD" w:rsidRDefault="00720C2A" w:rsidP="00C07708">
            <w:pPr>
              <w:jc w:val="center"/>
              <w:rPr>
                <w:b/>
                <w:bCs/>
              </w:rPr>
            </w:pPr>
          </w:p>
        </w:tc>
      </w:tr>
      <w:tr w:rsidR="00720C2A" w:rsidRPr="004B14BD" w14:paraId="7DD20BF8" w14:textId="77777777" w:rsidTr="00236754">
        <w:tc>
          <w:tcPr>
            <w:tcW w:w="1470" w:type="pct"/>
          </w:tcPr>
          <w:p w14:paraId="790962A1" w14:textId="24CDF008" w:rsidR="00720C2A" w:rsidRPr="004B14BD" w:rsidRDefault="00720C2A" w:rsidP="00720C2A">
            <w:r w:rsidRPr="004B14BD">
              <w:t>NO</w:t>
            </w:r>
            <w:r w:rsidR="000921B9" w:rsidRPr="004B14BD">
              <w:rPr>
                <w:vertAlign w:val="subscript"/>
              </w:rPr>
              <w:t>2</w:t>
            </w:r>
            <w:r w:rsidRPr="004B14BD">
              <w:t xml:space="preserve"> -maksimum</w:t>
            </w:r>
            <w:r w:rsidR="005569A2" w:rsidRPr="004B14BD">
              <w:t xml:space="preserve"> </w:t>
            </w:r>
            <w:r w:rsidRPr="004B14BD">
              <w:t>fundet i</w:t>
            </w:r>
          </w:p>
          <w:p w14:paraId="0E134A5D" w14:textId="78D6F978" w:rsidR="00720C2A" w:rsidRPr="004B14BD" w:rsidRDefault="00C07708" w:rsidP="00720C2A">
            <w:r>
              <w:t>f</w:t>
            </w:r>
            <w:r w:rsidR="00720C2A" w:rsidRPr="004B14BD">
              <w:t>ølgende</w:t>
            </w:r>
            <w:r w:rsidR="005569A2" w:rsidRPr="004B14BD">
              <w:t xml:space="preserve"> </w:t>
            </w:r>
            <w:r w:rsidR="00720C2A" w:rsidRPr="004B14BD">
              <w:t>afstand fra</w:t>
            </w:r>
          </w:p>
          <w:p w14:paraId="5D00F75B" w14:textId="34809374" w:rsidR="00720C2A" w:rsidRPr="004B14BD" w:rsidRDefault="005569A2" w:rsidP="00E648C5">
            <w:r w:rsidRPr="004B14BD">
              <w:t>k</w:t>
            </w:r>
            <w:r w:rsidR="00720C2A" w:rsidRPr="004B14BD">
              <w:t>ilde</w:t>
            </w:r>
            <w:r w:rsidRPr="004B14BD">
              <w:t xml:space="preserve"> </w:t>
            </w:r>
            <w:r w:rsidR="00720C2A" w:rsidRPr="004B14BD">
              <w:t>(m)</w:t>
            </w:r>
          </w:p>
        </w:tc>
        <w:tc>
          <w:tcPr>
            <w:tcW w:w="810" w:type="pct"/>
          </w:tcPr>
          <w:p w14:paraId="6ACE5C22" w14:textId="015B513D" w:rsidR="00720C2A" w:rsidRPr="004B14BD" w:rsidRDefault="00720C2A" w:rsidP="00C07708">
            <w:pPr>
              <w:jc w:val="center"/>
            </w:pPr>
            <w:r w:rsidRPr="004B14BD">
              <w:t>200</w:t>
            </w:r>
          </w:p>
        </w:tc>
        <w:tc>
          <w:tcPr>
            <w:tcW w:w="883" w:type="pct"/>
          </w:tcPr>
          <w:p w14:paraId="09B17892" w14:textId="1F5A1FEC" w:rsidR="00720C2A" w:rsidRPr="004B14BD" w:rsidRDefault="00720C2A" w:rsidP="00C07708">
            <w:pPr>
              <w:jc w:val="center"/>
            </w:pPr>
            <w:r w:rsidRPr="004B14BD">
              <w:t>150</w:t>
            </w:r>
          </w:p>
        </w:tc>
        <w:tc>
          <w:tcPr>
            <w:tcW w:w="956" w:type="pct"/>
          </w:tcPr>
          <w:p w14:paraId="786B2206" w14:textId="020BF649" w:rsidR="00720C2A" w:rsidRPr="004B14BD" w:rsidRDefault="00720C2A" w:rsidP="00C07708">
            <w:pPr>
              <w:jc w:val="center"/>
            </w:pPr>
            <w:r w:rsidRPr="004B14BD">
              <w:t>125</w:t>
            </w:r>
          </w:p>
        </w:tc>
        <w:tc>
          <w:tcPr>
            <w:tcW w:w="881" w:type="pct"/>
          </w:tcPr>
          <w:p w14:paraId="020CD9D6" w14:textId="77777777" w:rsidR="00720C2A" w:rsidRPr="004B14BD" w:rsidRDefault="00720C2A" w:rsidP="00C07708">
            <w:pPr>
              <w:jc w:val="center"/>
            </w:pPr>
            <w:r w:rsidRPr="004B14BD">
              <w:t>175</w:t>
            </w:r>
          </w:p>
          <w:p w14:paraId="410527BB" w14:textId="77777777" w:rsidR="00720C2A" w:rsidRPr="004B14BD" w:rsidRDefault="00720C2A" w:rsidP="00C07708">
            <w:pPr>
              <w:jc w:val="center"/>
            </w:pPr>
          </w:p>
        </w:tc>
      </w:tr>
    </w:tbl>
    <w:p w14:paraId="16162FEB" w14:textId="77777777" w:rsidR="005E6E82" w:rsidRPr="004B14BD" w:rsidRDefault="005E6E82" w:rsidP="005E6E82">
      <w:pPr>
        <w:rPr>
          <w:color w:val="FF0000"/>
          <w:szCs w:val="24"/>
        </w:rPr>
      </w:pPr>
    </w:p>
    <w:p w14:paraId="13E9B9CB" w14:textId="4909548F" w:rsidR="00094B13" w:rsidRPr="004B14BD" w:rsidRDefault="00094B13" w:rsidP="00094B13">
      <w:pPr>
        <w:rPr>
          <w:color w:val="000000" w:themeColor="text1"/>
          <w:szCs w:val="24"/>
        </w:rPr>
      </w:pPr>
      <w:r w:rsidRPr="004B14BD">
        <w:rPr>
          <w:color w:val="000000" w:themeColor="text1"/>
          <w:szCs w:val="24"/>
        </w:rPr>
        <w:t xml:space="preserve">Resultaterne </w:t>
      </w:r>
      <w:r w:rsidR="00FB62F7">
        <w:rPr>
          <w:color w:val="000000" w:themeColor="text1"/>
          <w:szCs w:val="24"/>
        </w:rPr>
        <w:t xml:space="preserve">i tabel 3 </w:t>
      </w:r>
      <w:r w:rsidRPr="004B14BD">
        <w:rPr>
          <w:color w:val="000000" w:themeColor="text1"/>
          <w:szCs w:val="24"/>
        </w:rPr>
        <w:t>viser, at immissionskoncentrationsbidraget</w:t>
      </w:r>
      <w:r w:rsidR="000A5110">
        <w:rPr>
          <w:color w:val="000000" w:themeColor="text1"/>
          <w:szCs w:val="24"/>
        </w:rPr>
        <w:t xml:space="preserve"> </w:t>
      </w:r>
      <w:r w:rsidR="00311113" w:rsidRPr="004B14BD">
        <w:rPr>
          <w:color w:val="000000" w:themeColor="text1"/>
          <w:szCs w:val="24"/>
        </w:rPr>
        <w:t xml:space="preserve">i testdrift </w:t>
      </w:r>
      <w:r w:rsidR="000A5110">
        <w:rPr>
          <w:color w:val="000000" w:themeColor="text1"/>
          <w:szCs w:val="24"/>
        </w:rPr>
        <w:t>(vist som NO</w:t>
      </w:r>
      <w:r w:rsidR="000A5110" w:rsidRPr="000A5110">
        <w:rPr>
          <w:color w:val="000000" w:themeColor="text1"/>
          <w:szCs w:val="24"/>
          <w:vertAlign w:val="subscript"/>
        </w:rPr>
        <w:t>2</w:t>
      </w:r>
      <w:r w:rsidR="000A5110">
        <w:rPr>
          <w:color w:val="000000" w:themeColor="text1"/>
          <w:szCs w:val="24"/>
        </w:rPr>
        <w:t>-maksimum i tabellen)</w:t>
      </w:r>
      <w:r w:rsidRPr="004B14BD">
        <w:rPr>
          <w:color w:val="000000" w:themeColor="text1"/>
          <w:szCs w:val="24"/>
        </w:rPr>
        <w:t xml:space="preserve"> med meget god margin er beregnet lavere end B-værdien for NO</w:t>
      </w:r>
      <w:r w:rsidRPr="004B14BD">
        <w:rPr>
          <w:color w:val="000000" w:themeColor="text1"/>
          <w:szCs w:val="24"/>
          <w:vertAlign w:val="subscript"/>
        </w:rPr>
        <w:t>2</w:t>
      </w:r>
      <w:r w:rsidRPr="004B14BD">
        <w:rPr>
          <w:color w:val="000000" w:themeColor="text1"/>
          <w:szCs w:val="24"/>
        </w:rPr>
        <w:t xml:space="preserve"> på 125 µg/m</w:t>
      </w:r>
      <w:r w:rsidRPr="004B14BD">
        <w:rPr>
          <w:color w:val="000000" w:themeColor="text1"/>
          <w:szCs w:val="24"/>
          <w:vertAlign w:val="superscript"/>
        </w:rPr>
        <w:t xml:space="preserve">3 </w:t>
      </w:r>
      <w:r w:rsidRPr="004B14BD">
        <w:rPr>
          <w:color w:val="000000" w:themeColor="text1"/>
          <w:szCs w:val="24"/>
        </w:rPr>
        <w:t xml:space="preserve">for afkasthøjder på </w:t>
      </w:r>
      <w:r w:rsidR="000F5648">
        <w:rPr>
          <w:color w:val="000000" w:themeColor="text1"/>
          <w:szCs w:val="24"/>
        </w:rPr>
        <w:t xml:space="preserve">henholdsvis </w:t>
      </w:r>
      <w:r w:rsidRPr="004B14BD">
        <w:rPr>
          <w:color w:val="000000" w:themeColor="text1"/>
          <w:szCs w:val="24"/>
        </w:rPr>
        <w:t>21 m og 16 m for colo og admin generatorer</w:t>
      </w:r>
      <w:r w:rsidR="002076AA">
        <w:rPr>
          <w:color w:val="000000" w:themeColor="text1"/>
          <w:szCs w:val="24"/>
        </w:rPr>
        <w:t>. D</w:t>
      </w:r>
      <w:r w:rsidR="00256004" w:rsidRPr="004B14BD">
        <w:rPr>
          <w:color w:val="000000" w:themeColor="text1"/>
          <w:szCs w:val="24"/>
        </w:rPr>
        <w:t xml:space="preserve">ette </w:t>
      </w:r>
      <w:r w:rsidR="002076AA">
        <w:rPr>
          <w:color w:val="000000" w:themeColor="text1"/>
          <w:szCs w:val="24"/>
        </w:rPr>
        <w:t xml:space="preserve">er på trods af, at </w:t>
      </w:r>
      <w:r w:rsidRPr="004B14BD">
        <w:rPr>
          <w:color w:val="000000" w:themeColor="text1"/>
          <w:szCs w:val="24"/>
        </w:rPr>
        <w:t xml:space="preserve">beregningerne </w:t>
      </w:r>
      <w:r w:rsidR="002076AA">
        <w:rPr>
          <w:color w:val="000000" w:themeColor="text1"/>
          <w:szCs w:val="24"/>
        </w:rPr>
        <w:t xml:space="preserve">endda </w:t>
      </w:r>
      <w:r w:rsidRPr="004B14BD">
        <w:rPr>
          <w:color w:val="000000" w:themeColor="text1"/>
          <w:szCs w:val="24"/>
        </w:rPr>
        <w:t>er udført meget konservativt. Der er således</w:t>
      </w:r>
      <w:r w:rsidR="00627B12" w:rsidRPr="004B14BD">
        <w:rPr>
          <w:color w:val="000000" w:themeColor="text1"/>
          <w:szCs w:val="24"/>
        </w:rPr>
        <w:t xml:space="preserve"> bl.a.</w:t>
      </w:r>
      <w:r w:rsidRPr="004B14BD">
        <w:rPr>
          <w:color w:val="000000" w:themeColor="text1"/>
          <w:szCs w:val="24"/>
        </w:rPr>
        <w:t xml:space="preserve">, som anført ovenfor, anvendt en kildestyrke, der svarer til det dobbelte af, hvad der kan forventes under testdrift, hvor kun én generator er i drift ad gangen. </w:t>
      </w:r>
    </w:p>
    <w:p w14:paraId="19E38430" w14:textId="77777777" w:rsidR="00094B13" w:rsidRPr="004B14BD" w:rsidRDefault="00094B13" w:rsidP="00094B13">
      <w:pPr>
        <w:rPr>
          <w:color w:val="000000" w:themeColor="text1"/>
          <w:szCs w:val="24"/>
        </w:rPr>
      </w:pPr>
    </w:p>
    <w:p w14:paraId="1F081DCB" w14:textId="4A387131" w:rsidR="00720C2A" w:rsidRPr="004B14BD" w:rsidRDefault="005E6E82" w:rsidP="005E6E82">
      <w:pPr>
        <w:rPr>
          <w:color w:val="000000" w:themeColor="text1"/>
          <w:szCs w:val="24"/>
        </w:rPr>
      </w:pPr>
      <w:r w:rsidRPr="004B14BD">
        <w:rPr>
          <w:color w:val="000000" w:themeColor="text1"/>
          <w:szCs w:val="24"/>
        </w:rPr>
        <w:t>Det er fra virksomhedens side besluttet, at man</w:t>
      </w:r>
      <w:r w:rsidR="00F56085" w:rsidRPr="004B14BD">
        <w:rPr>
          <w:color w:val="000000" w:themeColor="text1"/>
          <w:szCs w:val="24"/>
        </w:rPr>
        <w:t xml:space="preserve"> </w:t>
      </w:r>
      <w:r w:rsidRPr="004B14BD">
        <w:rPr>
          <w:color w:val="000000" w:themeColor="text1"/>
          <w:szCs w:val="24"/>
        </w:rPr>
        <w:t xml:space="preserve">vil anvende samme afkasthøjde for alle afkast. Dette betyder, at afkasthøjden for admin. generatoren hæves fra 16 m til 21 m. Dette vil </w:t>
      </w:r>
      <w:r w:rsidR="00A53E4C" w:rsidRPr="004B14BD">
        <w:rPr>
          <w:color w:val="000000" w:themeColor="text1"/>
          <w:szCs w:val="24"/>
        </w:rPr>
        <w:t xml:space="preserve">derfor </w:t>
      </w:r>
      <w:r w:rsidRPr="004B14BD">
        <w:rPr>
          <w:color w:val="000000" w:themeColor="text1"/>
          <w:szCs w:val="24"/>
        </w:rPr>
        <w:t xml:space="preserve">medføre et </w:t>
      </w:r>
      <w:r w:rsidR="00F56085" w:rsidRPr="004B14BD">
        <w:rPr>
          <w:color w:val="000000" w:themeColor="text1"/>
          <w:szCs w:val="24"/>
        </w:rPr>
        <w:t xml:space="preserve">endnu </w:t>
      </w:r>
      <w:r w:rsidRPr="004B14BD">
        <w:rPr>
          <w:color w:val="000000" w:themeColor="text1"/>
          <w:szCs w:val="24"/>
        </w:rPr>
        <w:t>lavere immissionskoncentrationsbidrag fra afkastet</w:t>
      </w:r>
      <w:r w:rsidR="00F56085" w:rsidRPr="004B14BD">
        <w:rPr>
          <w:color w:val="000000" w:themeColor="text1"/>
          <w:szCs w:val="24"/>
        </w:rPr>
        <w:t>,</w:t>
      </w:r>
      <w:r w:rsidR="00A53E4C" w:rsidRPr="004B14BD">
        <w:rPr>
          <w:color w:val="000000" w:themeColor="text1"/>
          <w:szCs w:val="24"/>
        </w:rPr>
        <w:t xml:space="preserve"> end der fremgår af beregningerne</w:t>
      </w:r>
      <w:r w:rsidRPr="004B14BD">
        <w:rPr>
          <w:color w:val="000000" w:themeColor="text1"/>
          <w:szCs w:val="24"/>
        </w:rPr>
        <w:t>.</w:t>
      </w:r>
    </w:p>
    <w:p w14:paraId="56A2CB7F" w14:textId="77777777" w:rsidR="00C156B5" w:rsidRPr="004B14BD" w:rsidRDefault="00C156B5" w:rsidP="00C156B5">
      <w:pPr>
        <w:rPr>
          <w:color w:val="FF0000"/>
          <w:szCs w:val="24"/>
        </w:rPr>
      </w:pPr>
    </w:p>
    <w:p w14:paraId="3F0FF55E" w14:textId="6538831B" w:rsidR="00483374" w:rsidRPr="004B14BD" w:rsidRDefault="00C156B5" w:rsidP="00CB183E">
      <w:pPr>
        <w:rPr>
          <w:color w:val="000000" w:themeColor="text1"/>
          <w:szCs w:val="24"/>
        </w:rPr>
      </w:pPr>
      <w:r w:rsidRPr="004B14BD">
        <w:rPr>
          <w:color w:val="000000" w:themeColor="text1"/>
          <w:szCs w:val="24"/>
        </w:rPr>
        <w:t xml:space="preserve">Høje-Taastrup Kommune vurderer, at det er nødvendigt, at virksomheden foretager yderligere emissionsmålinger end MCP-bekendtgørelsen foreskriver til eftervisning af, at B-værdier for NOx og CO er overholdt ved normal drift af anlægget (testdrift). </w:t>
      </w:r>
      <w:r w:rsidR="00F56085" w:rsidRPr="004B14BD">
        <w:rPr>
          <w:color w:val="000000" w:themeColor="text1"/>
          <w:szCs w:val="24"/>
        </w:rPr>
        <w:t xml:space="preserve">Denne vurdering er baseret på, at det samlede anlæg totalt set er stort </w:t>
      </w:r>
      <w:r w:rsidR="00C8094F" w:rsidRPr="004B14BD">
        <w:rPr>
          <w:color w:val="000000" w:themeColor="text1"/>
          <w:szCs w:val="24"/>
        </w:rPr>
        <w:t>(</w:t>
      </w:r>
      <w:r w:rsidR="00F56085" w:rsidRPr="004B14BD">
        <w:rPr>
          <w:color w:val="000000" w:themeColor="text1"/>
          <w:szCs w:val="24"/>
        </w:rPr>
        <w:t>121 MW</w:t>
      </w:r>
      <w:r w:rsidR="00C8094F" w:rsidRPr="004B14BD">
        <w:rPr>
          <w:color w:val="000000" w:themeColor="text1"/>
          <w:szCs w:val="24"/>
        </w:rPr>
        <w:t>) samt den nære beliggenhed af boliger rundt om anlægget.</w:t>
      </w:r>
    </w:p>
    <w:p w14:paraId="7B2CBC7C" w14:textId="77777777" w:rsidR="00CB183E" w:rsidRPr="004B14BD" w:rsidRDefault="00CB183E" w:rsidP="00CB183E">
      <w:pPr>
        <w:rPr>
          <w:color w:val="FF0000"/>
          <w:szCs w:val="24"/>
        </w:rPr>
      </w:pPr>
    </w:p>
    <w:p w14:paraId="16041349" w14:textId="78CAC92C" w:rsidR="00523BB5" w:rsidRPr="004B14BD" w:rsidRDefault="00560559" w:rsidP="00523BB5">
      <w:pPr>
        <w:rPr>
          <w:b/>
          <w:bCs/>
          <w:szCs w:val="24"/>
        </w:rPr>
      </w:pPr>
      <w:r w:rsidRPr="004B14BD">
        <w:rPr>
          <w:b/>
          <w:bCs/>
          <w:szCs w:val="24"/>
        </w:rPr>
        <w:t>Afklaring af sundhedsmæssige aspekter ved f</w:t>
      </w:r>
      <w:r w:rsidR="00523BB5" w:rsidRPr="004B14BD">
        <w:rPr>
          <w:b/>
          <w:bCs/>
          <w:szCs w:val="24"/>
        </w:rPr>
        <w:t>uld nøddrift</w:t>
      </w:r>
    </w:p>
    <w:p w14:paraId="16948B5B" w14:textId="77777777" w:rsidR="008432D6" w:rsidRPr="004B14BD" w:rsidRDefault="008432D6" w:rsidP="00523BB5">
      <w:pPr>
        <w:rPr>
          <w:b/>
          <w:bCs/>
          <w:szCs w:val="24"/>
        </w:rPr>
      </w:pPr>
    </w:p>
    <w:p w14:paraId="779B3C15" w14:textId="41345A00" w:rsidR="00816F81" w:rsidRPr="004B14BD" w:rsidRDefault="00816F81" w:rsidP="00816F81">
      <w:pPr>
        <w:rPr>
          <w:szCs w:val="24"/>
        </w:rPr>
      </w:pPr>
      <w:r w:rsidRPr="004B14BD">
        <w:rPr>
          <w:szCs w:val="24"/>
        </w:rPr>
        <w:t xml:space="preserve">Ved nøddrift vil der være drift på alle generatorer samtidigt. </w:t>
      </w:r>
    </w:p>
    <w:p w14:paraId="1DDBA85F" w14:textId="77777777" w:rsidR="00816F81" w:rsidRPr="004B14BD" w:rsidRDefault="00816F81" w:rsidP="00816F81">
      <w:pPr>
        <w:rPr>
          <w:color w:val="FF0000"/>
          <w:szCs w:val="24"/>
        </w:rPr>
      </w:pPr>
    </w:p>
    <w:p w14:paraId="4C190B27" w14:textId="544D6367" w:rsidR="00355608" w:rsidRPr="004B14BD" w:rsidRDefault="00355608" w:rsidP="00816F81">
      <w:pPr>
        <w:rPr>
          <w:color w:val="000000" w:themeColor="text1"/>
          <w:szCs w:val="24"/>
        </w:rPr>
      </w:pPr>
      <w:r w:rsidRPr="004B14BD">
        <w:rPr>
          <w:color w:val="000000" w:themeColor="text1"/>
          <w:szCs w:val="24"/>
        </w:rPr>
        <w:t>Elforsyningssikkerheden i Danmark er meget høj. Ved nødsituationer med strømafbrydelse kan dele eller hele nødstrømsanlægget aktiveres. Herved vil der være risiko for</w:t>
      </w:r>
      <w:r w:rsidR="007B18E9" w:rsidRPr="004B14BD">
        <w:rPr>
          <w:color w:val="000000" w:themeColor="text1"/>
          <w:szCs w:val="24"/>
        </w:rPr>
        <w:t>,</w:t>
      </w:r>
      <w:r w:rsidRPr="004B14BD">
        <w:rPr>
          <w:color w:val="000000" w:themeColor="text1"/>
          <w:szCs w:val="24"/>
        </w:rPr>
        <w:t xml:space="preserve"> at de samlede immissioner overskrider grænseværdier</w:t>
      </w:r>
      <w:r w:rsidR="00F46B15">
        <w:rPr>
          <w:color w:val="000000" w:themeColor="text1"/>
          <w:szCs w:val="24"/>
        </w:rPr>
        <w:t>ne</w:t>
      </w:r>
      <w:r w:rsidRPr="004B14BD">
        <w:rPr>
          <w:color w:val="000000" w:themeColor="text1"/>
          <w:szCs w:val="24"/>
        </w:rPr>
        <w:t>. Risikoen for en sådan situation er dog yderst lille og vil kun finde sted i en meget begrænset periode. Den gennemsnitlige strømafbrydelse for det almindelige distributionsnet har ifølge årsrapporten for elforsyningssikkerhed (2020) en gennemsnitlig varighed på ca. 20 min. For selve eltransmi</w:t>
      </w:r>
      <w:r w:rsidR="0076310E">
        <w:rPr>
          <w:color w:val="000000" w:themeColor="text1"/>
          <w:szCs w:val="24"/>
        </w:rPr>
        <w:t>s</w:t>
      </w:r>
      <w:r w:rsidRPr="004B14BD">
        <w:rPr>
          <w:color w:val="000000" w:themeColor="text1"/>
          <w:szCs w:val="24"/>
        </w:rPr>
        <w:t xml:space="preserve">sionsnettet er den gennemsnitlige strømafbrydelse væsentlig mindre (13 afbrudssekunder i 2019). </w:t>
      </w:r>
    </w:p>
    <w:p w14:paraId="2AB8B821" w14:textId="77777777" w:rsidR="00355608" w:rsidRPr="004B14BD" w:rsidRDefault="00355608" w:rsidP="00816F81">
      <w:pPr>
        <w:rPr>
          <w:szCs w:val="24"/>
        </w:rPr>
      </w:pPr>
    </w:p>
    <w:p w14:paraId="2B1392B3" w14:textId="115F50DC" w:rsidR="007B18E9" w:rsidRPr="004B14BD" w:rsidRDefault="007B18E9" w:rsidP="00816F81">
      <w:pPr>
        <w:rPr>
          <w:szCs w:val="24"/>
        </w:rPr>
      </w:pPr>
      <w:r w:rsidRPr="004B14BD">
        <w:rPr>
          <w:szCs w:val="24"/>
        </w:rPr>
        <w:t>Hvis B-værdien for NO</w:t>
      </w:r>
      <w:r w:rsidRPr="004B14BD">
        <w:rPr>
          <w:szCs w:val="24"/>
          <w:vertAlign w:val="subscript"/>
        </w:rPr>
        <w:t>2</w:t>
      </w:r>
      <w:r w:rsidRPr="004B14BD">
        <w:rPr>
          <w:szCs w:val="24"/>
        </w:rPr>
        <w:t xml:space="preserve"> skal efterleves i en nøddriftssituation vil afkasthøjden blive urealistisk høj. </w:t>
      </w:r>
      <w:r w:rsidR="00816F81" w:rsidRPr="004B14BD">
        <w:rPr>
          <w:szCs w:val="24"/>
        </w:rPr>
        <w:t xml:space="preserve">Da det </w:t>
      </w:r>
      <w:r w:rsidRPr="004B14BD">
        <w:rPr>
          <w:szCs w:val="24"/>
        </w:rPr>
        <w:t xml:space="preserve">ud fra ovenstående </w:t>
      </w:r>
      <w:r w:rsidR="00816F81" w:rsidRPr="004B14BD">
        <w:rPr>
          <w:szCs w:val="24"/>
        </w:rPr>
        <w:t xml:space="preserve">er vurderet, at den samlede nøddriftstid vil være meget begrænset, ses der </w:t>
      </w:r>
      <w:r w:rsidR="00E3798C">
        <w:rPr>
          <w:szCs w:val="24"/>
        </w:rPr>
        <w:t xml:space="preserve">derfor </w:t>
      </w:r>
      <w:r w:rsidR="00816F81" w:rsidRPr="004B14BD">
        <w:rPr>
          <w:szCs w:val="24"/>
        </w:rPr>
        <w:t xml:space="preserve">bort fra B-værdien for NO₂ i </w:t>
      </w:r>
      <w:r w:rsidR="007603B1" w:rsidRPr="004B14BD">
        <w:rPr>
          <w:szCs w:val="24"/>
        </w:rPr>
        <w:t>en nøddrift</w:t>
      </w:r>
      <w:r w:rsidR="00341F01">
        <w:rPr>
          <w:szCs w:val="24"/>
        </w:rPr>
        <w:t>s</w:t>
      </w:r>
      <w:r w:rsidR="007603B1" w:rsidRPr="004B14BD">
        <w:rPr>
          <w:szCs w:val="24"/>
        </w:rPr>
        <w:t>situation</w:t>
      </w:r>
      <w:r w:rsidR="00816F81" w:rsidRPr="004B14BD">
        <w:rPr>
          <w:szCs w:val="24"/>
        </w:rPr>
        <w:t xml:space="preserve">. </w:t>
      </w:r>
    </w:p>
    <w:p w14:paraId="65090C79" w14:textId="27305ADF" w:rsidR="00932633" w:rsidRPr="004B14BD" w:rsidRDefault="00932633" w:rsidP="00816F81">
      <w:pPr>
        <w:rPr>
          <w:szCs w:val="24"/>
        </w:rPr>
      </w:pPr>
    </w:p>
    <w:p w14:paraId="72160D8F" w14:textId="11A83BC9" w:rsidR="00932633" w:rsidRPr="004B14BD" w:rsidRDefault="00932633" w:rsidP="00932633">
      <w:pPr>
        <w:rPr>
          <w:color w:val="000000" w:themeColor="text1"/>
          <w:szCs w:val="24"/>
        </w:rPr>
      </w:pPr>
      <w:r w:rsidRPr="004B14BD">
        <w:rPr>
          <w:color w:val="000000" w:themeColor="text1"/>
          <w:szCs w:val="24"/>
        </w:rPr>
        <w:t>For at kunne estimere andelen af NO</w:t>
      </w:r>
      <w:r w:rsidRPr="004B14BD">
        <w:rPr>
          <w:color w:val="000000" w:themeColor="text1"/>
          <w:szCs w:val="24"/>
          <w:vertAlign w:val="subscript"/>
        </w:rPr>
        <w:t>2</w:t>
      </w:r>
      <w:r w:rsidRPr="004B14BD">
        <w:rPr>
          <w:color w:val="000000" w:themeColor="text1"/>
          <w:szCs w:val="24"/>
        </w:rPr>
        <w:t xml:space="preserve"> i omgivelserne rundt om datacentret</w:t>
      </w:r>
      <w:r w:rsidR="007F6B3C" w:rsidRPr="004B14BD">
        <w:rPr>
          <w:color w:val="000000" w:themeColor="text1"/>
          <w:szCs w:val="24"/>
        </w:rPr>
        <w:t xml:space="preserve"> i nøddrift</w:t>
      </w:r>
      <w:r w:rsidRPr="004B14BD">
        <w:rPr>
          <w:color w:val="000000" w:themeColor="text1"/>
          <w:szCs w:val="24"/>
        </w:rPr>
        <w:t>, har SWECO anvendt en</w:t>
      </w:r>
      <w:r w:rsidR="00E904CD" w:rsidRPr="004B14BD">
        <w:rPr>
          <w:color w:val="000000" w:themeColor="text1"/>
          <w:szCs w:val="24"/>
        </w:rPr>
        <w:t xml:space="preserve"> </w:t>
      </w:r>
      <w:r w:rsidRPr="004B14BD">
        <w:rPr>
          <w:color w:val="000000" w:themeColor="text1"/>
          <w:szCs w:val="24"/>
        </w:rPr>
        <w:t>ligevægtsmodel</w:t>
      </w:r>
      <w:r w:rsidRPr="004B14BD">
        <w:rPr>
          <w:rStyle w:val="Fodnotehenvisning"/>
          <w:color w:val="000000" w:themeColor="text1"/>
          <w:szCs w:val="24"/>
        </w:rPr>
        <w:footnoteReference w:id="19"/>
      </w:r>
      <w:r w:rsidRPr="004B14BD">
        <w:rPr>
          <w:color w:val="000000" w:themeColor="text1"/>
          <w:szCs w:val="24"/>
        </w:rPr>
        <w:t xml:space="preserve"> for NO, NO</w:t>
      </w:r>
      <w:r w:rsidRPr="004B14BD">
        <w:rPr>
          <w:color w:val="000000" w:themeColor="text1"/>
          <w:szCs w:val="24"/>
          <w:vertAlign w:val="subscript"/>
        </w:rPr>
        <w:t>2</w:t>
      </w:r>
      <w:r w:rsidRPr="004B14BD">
        <w:rPr>
          <w:color w:val="000000" w:themeColor="text1"/>
          <w:szCs w:val="24"/>
        </w:rPr>
        <w:t xml:space="preserve"> og O</w:t>
      </w:r>
      <w:r w:rsidRPr="004B14BD">
        <w:rPr>
          <w:color w:val="000000" w:themeColor="text1"/>
          <w:szCs w:val="24"/>
          <w:vertAlign w:val="subscript"/>
        </w:rPr>
        <w:t>3</w:t>
      </w:r>
      <w:r w:rsidRPr="004B14BD">
        <w:rPr>
          <w:color w:val="000000" w:themeColor="text1"/>
          <w:szCs w:val="24"/>
        </w:rPr>
        <w:t xml:space="preserve"> (ozon), som anvendes til at tage højde for, at over længere afstande vil NO</w:t>
      </w:r>
      <w:r w:rsidRPr="004B14BD">
        <w:rPr>
          <w:color w:val="000000" w:themeColor="text1"/>
          <w:szCs w:val="24"/>
          <w:vertAlign w:val="subscript"/>
        </w:rPr>
        <w:t>2</w:t>
      </w:r>
      <w:r w:rsidRPr="004B14BD">
        <w:rPr>
          <w:color w:val="000000" w:themeColor="text1"/>
          <w:szCs w:val="24"/>
        </w:rPr>
        <w:t>-andelen blive forøget idet NO oxideres til NO</w:t>
      </w:r>
      <w:r w:rsidRPr="004B14BD">
        <w:rPr>
          <w:color w:val="000000" w:themeColor="text1"/>
          <w:szCs w:val="24"/>
          <w:vertAlign w:val="subscript"/>
        </w:rPr>
        <w:t>2</w:t>
      </w:r>
      <w:r w:rsidRPr="004B14BD">
        <w:rPr>
          <w:color w:val="000000" w:themeColor="text1"/>
          <w:szCs w:val="24"/>
        </w:rPr>
        <w:t xml:space="preserve"> ved reaktion med luftens indhold af ozon (O</w:t>
      </w:r>
      <w:r w:rsidRPr="004B14BD">
        <w:rPr>
          <w:color w:val="000000" w:themeColor="text1"/>
          <w:szCs w:val="24"/>
          <w:vertAlign w:val="subscript"/>
        </w:rPr>
        <w:t>3</w:t>
      </w:r>
      <w:r w:rsidRPr="004B14BD">
        <w:rPr>
          <w:color w:val="000000" w:themeColor="text1"/>
          <w:szCs w:val="24"/>
        </w:rPr>
        <w:t xml:space="preserve">). </w:t>
      </w:r>
      <w:r w:rsidR="00E904CD" w:rsidRPr="004B14BD">
        <w:rPr>
          <w:color w:val="000000" w:themeColor="text1"/>
          <w:szCs w:val="24"/>
        </w:rPr>
        <w:t xml:space="preserve">Modellen er af SWECO </w:t>
      </w:r>
      <w:r w:rsidR="00F01479" w:rsidRPr="004B14BD">
        <w:rPr>
          <w:color w:val="000000" w:themeColor="text1"/>
          <w:szCs w:val="24"/>
        </w:rPr>
        <w:t xml:space="preserve">i </w:t>
      </w:r>
      <w:r w:rsidR="00F01479" w:rsidRPr="004B14BD">
        <w:rPr>
          <w:color w:val="000000" w:themeColor="text1"/>
          <w:szCs w:val="24"/>
        </w:rPr>
        <w:lastRenderedPageBreak/>
        <w:t xml:space="preserve">øvrigt </w:t>
      </w:r>
      <w:r w:rsidR="00E904CD" w:rsidRPr="004B14BD">
        <w:rPr>
          <w:color w:val="000000" w:themeColor="text1"/>
          <w:szCs w:val="24"/>
        </w:rPr>
        <w:t>korrigeret til at tage højde for den faktiske skorstenshøjde</w:t>
      </w:r>
      <w:r w:rsidR="00AD1CF1" w:rsidRPr="004B14BD">
        <w:rPr>
          <w:color w:val="000000" w:themeColor="text1"/>
          <w:szCs w:val="24"/>
        </w:rPr>
        <w:t xml:space="preserve"> ved nærværende datacenter</w:t>
      </w:r>
      <w:r w:rsidR="00E904CD" w:rsidRPr="004B14BD">
        <w:rPr>
          <w:color w:val="000000" w:themeColor="text1"/>
          <w:szCs w:val="24"/>
        </w:rPr>
        <w:t>.</w:t>
      </w:r>
    </w:p>
    <w:p w14:paraId="534DAEA3" w14:textId="6631854B" w:rsidR="001D29F2" w:rsidRPr="004B14BD" w:rsidRDefault="001D29F2" w:rsidP="00932633">
      <w:pPr>
        <w:rPr>
          <w:color w:val="000000" w:themeColor="text1"/>
          <w:szCs w:val="24"/>
        </w:rPr>
      </w:pPr>
    </w:p>
    <w:p w14:paraId="14D38589" w14:textId="1AA36AFB" w:rsidR="001D29F2" w:rsidRPr="004B14BD" w:rsidRDefault="00DA3A58" w:rsidP="00932633">
      <w:pPr>
        <w:rPr>
          <w:szCs w:val="24"/>
        </w:rPr>
      </w:pPr>
      <w:r w:rsidRPr="004B14BD">
        <w:rPr>
          <w:color w:val="000000" w:themeColor="text1"/>
          <w:szCs w:val="24"/>
        </w:rPr>
        <w:t>Resultatet af</w:t>
      </w:r>
      <w:r w:rsidR="00A12FCF" w:rsidRPr="004B14BD">
        <w:rPr>
          <w:color w:val="000000" w:themeColor="text1"/>
          <w:szCs w:val="24"/>
        </w:rPr>
        <w:t xml:space="preserve"> OML-beregningen + efterfølgende</w:t>
      </w:r>
      <w:r w:rsidRPr="004B14BD">
        <w:rPr>
          <w:color w:val="000000" w:themeColor="text1"/>
          <w:szCs w:val="24"/>
        </w:rPr>
        <w:t xml:space="preserve"> modelberegning</w:t>
      </w:r>
      <w:r w:rsidR="00053EF5" w:rsidRPr="004B14BD">
        <w:rPr>
          <w:color w:val="000000" w:themeColor="text1"/>
          <w:szCs w:val="24"/>
        </w:rPr>
        <w:t xml:space="preserve"> til estimering af NO</w:t>
      </w:r>
      <w:r w:rsidR="00053EF5" w:rsidRPr="004B14BD">
        <w:rPr>
          <w:color w:val="000000" w:themeColor="text1"/>
          <w:szCs w:val="24"/>
          <w:vertAlign w:val="subscript"/>
        </w:rPr>
        <w:t>2</w:t>
      </w:r>
      <w:r w:rsidRPr="004B14BD">
        <w:rPr>
          <w:color w:val="000000" w:themeColor="text1"/>
          <w:szCs w:val="24"/>
        </w:rPr>
        <w:t xml:space="preserve"> ses</w:t>
      </w:r>
      <w:r w:rsidR="001D29F2" w:rsidRPr="004B14BD">
        <w:rPr>
          <w:color w:val="000000" w:themeColor="text1"/>
          <w:szCs w:val="24"/>
        </w:rPr>
        <w:t xml:space="preserve"> i </w:t>
      </w:r>
      <w:r w:rsidR="001D29F2" w:rsidRPr="004B14BD">
        <w:rPr>
          <w:szCs w:val="24"/>
        </w:rPr>
        <w:t xml:space="preserve">nedenstående tabel </w:t>
      </w:r>
      <w:r w:rsidR="00A02A8D">
        <w:rPr>
          <w:szCs w:val="24"/>
        </w:rPr>
        <w:t>4</w:t>
      </w:r>
      <w:r w:rsidR="00A12FCF" w:rsidRPr="004B14BD">
        <w:rPr>
          <w:szCs w:val="24"/>
        </w:rPr>
        <w:t>, som viser resultatet af alle 17 generatorer i fuld nøddrift.</w:t>
      </w:r>
    </w:p>
    <w:p w14:paraId="3D63755A" w14:textId="2B99C135" w:rsidR="00090798" w:rsidRPr="004B14BD" w:rsidRDefault="00090798" w:rsidP="00932633">
      <w:pPr>
        <w:rPr>
          <w:color w:val="FF0000"/>
          <w:szCs w:val="24"/>
        </w:rPr>
      </w:pPr>
    </w:p>
    <w:p w14:paraId="4495DAFB" w14:textId="4D603F90" w:rsidR="00090798" w:rsidRPr="004B14BD" w:rsidRDefault="00090798" w:rsidP="00090798">
      <w:pPr>
        <w:rPr>
          <w:szCs w:val="24"/>
        </w:rPr>
      </w:pPr>
      <w:r w:rsidRPr="004B14BD">
        <w:rPr>
          <w:szCs w:val="24"/>
        </w:rPr>
        <w:t xml:space="preserve">Tabel </w:t>
      </w:r>
      <w:r w:rsidR="00A02A8D">
        <w:rPr>
          <w:szCs w:val="24"/>
        </w:rPr>
        <w:t>4</w:t>
      </w:r>
      <w:r w:rsidRPr="004B14BD">
        <w:rPr>
          <w:szCs w:val="24"/>
        </w:rPr>
        <w:t xml:space="preserve">. Resultater for </w:t>
      </w:r>
      <w:r w:rsidR="00E33D80">
        <w:rPr>
          <w:szCs w:val="24"/>
        </w:rPr>
        <w:t xml:space="preserve">samtidig </w:t>
      </w:r>
      <w:r w:rsidRPr="004B14BD">
        <w:rPr>
          <w:szCs w:val="24"/>
        </w:rPr>
        <w:t xml:space="preserve">nøddrift på alle generatorer </w:t>
      </w:r>
      <w:r w:rsidR="00E33D80">
        <w:rPr>
          <w:szCs w:val="24"/>
        </w:rPr>
        <w:t>f</w:t>
      </w:r>
      <w:r w:rsidRPr="004B14BD">
        <w:rPr>
          <w:szCs w:val="24"/>
        </w:rPr>
        <w:t>or receptorhøjder på hhv. 1,5 og 7 meter. (Resultaterne er ikke tillagt NO</w:t>
      </w:r>
      <w:r w:rsidRPr="004B14BD">
        <w:rPr>
          <w:szCs w:val="24"/>
          <w:vertAlign w:val="subscript"/>
        </w:rPr>
        <w:t>2</w:t>
      </w:r>
      <w:r w:rsidRPr="004B14BD">
        <w:rPr>
          <w:szCs w:val="24"/>
        </w:rPr>
        <w:t xml:space="preserve"> baggrundsniveau)</w:t>
      </w:r>
    </w:p>
    <w:p w14:paraId="68584F6E" w14:textId="2707D764" w:rsidR="00091128" w:rsidRPr="004B14BD" w:rsidRDefault="00091128" w:rsidP="00932633">
      <w:pPr>
        <w:rPr>
          <w:szCs w:val="24"/>
        </w:rPr>
      </w:pPr>
      <w:r w:rsidRPr="004B14BD">
        <w:rPr>
          <w:noProof/>
        </w:rPr>
        <w:drawing>
          <wp:inline distT="0" distB="0" distL="0" distR="0" wp14:anchorId="72DEEBFF" wp14:editId="6D107937">
            <wp:extent cx="3914775" cy="343852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14775" cy="3438525"/>
                    </a:xfrm>
                    <a:prstGeom prst="rect">
                      <a:avLst/>
                    </a:prstGeom>
                  </pic:spPr>
                </pic:pic>
              </a:graphicData>
            </a:graphic>
          </wp:inline>
        </w:drawing>
      </w:r>
    </w:p>
    <w:p w14:paraId="651E8F17" w14:textId="021BBB17" w:rsidR="001D29F2" w:rsidRPr="004B14BD" w:rsidRDefault="001D29F2" w:rsidP="00932633">
      <w:pPr>
        <w:rPr>
          <w:color w:val="FF0000"/>
          <w:szCs w:val="24"/>
        </w:rPr>
      </w:pPr>
    </w:p>
    <w:p w14:paraId="57A88B63" w14:textId="7D67B8CD" w:rsidR="00A12FCF" w:rsidRPr="004B14BD" w:rsidRDefault="00A12FCF" w:rsidP="00A12FCF">
      <w:pPr>
        <w:rPr>
          <w:szCs w:val="24"/>
        </w:rPr>
      </w:pPr>
      <w:r w:rsidRPr="004B14BD">
        <w:rPr>
          <w:szCs w:val="24"/>
        </w:rPr>
        <w:t xml:space="preserve">Som det fremgår af </w:t>
      </w:r>
      <w:r w:rsidR="003B7D7E">
        <w:rPr>
          <w:szCs w:val="24"/>
        </w:rPr>
        <w:t xml:space="preserve">tabel </w:t>
      </w:r>
      <w:r w:rsidR="00E31B55">
        <w:rPr>
          <w:szCs w:val="24"/>
        </w:rPr>
        <w:t>4</w:t>
      </w:r>
      <w:r w:rsidRPr="004B14BD">
        <w:rPr>
          <w:szCs w:val="24"/>
        </w:rPr>
        <w:t xml:space="preserve">, ligger </w:t>
      </w:r>
      <w:r w:rsidR="006F5360">
        <w:rPr>
          <w:szCs w:val="24"/>
        </w:rPr>
        <w:t xml:space="preserve">den </w:t>
      </w:r>
      <w:r w:rsidRPr="004B14BD">
        <w:rPr>
          <w:szCs w:val="24"/>
        </w:rPr>
        <w:t>maks</w:t>
      </w:r>
      <w:r w:rsidR="00A23AD7">
        <w:rPr>
          <w:szCs w:val="24"/>
        </w:rPr>
        <w:t>imale</w:t>
      </w:r>
      <w:r w:rsidR="00FD70B2">
        <w:rPr>
          <w:szCs w:val="24"/>
        </w:rPr>
        <w:t xml:space="preserve"> korrigerede</w:t>
      </w:r>
      <w:r w:rsidRPr="004B14BD">
        <w:rPr>
          <w:szCs w:val="24"/>
        </w:rPr>
        <w:t xml:space="preserve"> NO</w:t>
      </w:r>
      <w:r w:rsidRPr="004B14BD">
        <w:rPr>
          <w:szCs w:val="24"/>
          <w:vertAlign w:val="subscript"/>
        </w:rPr>
        <w:t>2</w:t>
      </w:r>
      <w:r w:rsidRPr="004B14BD">
        <w:rPr>
          <w:szCs w:val="24"/>
        </w:rPr>
        <w:t xml:space="preserve"> immission</w:t>
      </w:r>
      <w:r w:rsidR="00D74BC5">
        <w:rPr>
          <w:szCs w:val="24"/>
        </w:rPr>
        <w:t xml:space="preserve"> under nøddrift</w:t>
      </w:r>
      <w:r w:rsidR="006F5360">
        <w:rPr>
          <w:szCs w:val="24"/>
        </w:rPr>
        <w:t xml:space="preserve"> </w:t>
      </w:r>
      <w:r w:rsidR="00582649" w:rsidRPr="004B14BD">
        <w:rPr>
          <w:szCs w:val="24"/>
        </w:rPr>
        <w:t xml:space="preserve">ved Essex Park </w:t>
      </w:r>
      <w:r w:rsidR="00582649">
        <w:rPr>
          <w:szCs w:val="24"/>
        </w:rPr>
        <w:t xml:space="preserve">på </w:t>
      </w:r>
      <w:r w:rsidR="00582649" w:rsidRPr="004B14BD">
        <w:rPr>
          <w:szCs w:val="24"/>
        </w:rPr>
        <w:t>mellem 155-205 µg/m</w:t>
      </w:r>
      <w:r w:rsidR="00582649" w:rsidRPr="002963E1">
        <w:rPr>
          <w:szCs w:val="24"/>
          <w:vertAlign w:val="superscript"/>
        </w:rPr>
        <w:t xml:space="preserve">3 </w:t>
      </w:r>
      <w:r w:rsidR="006F5360">
        <w:rPr>
          <w:szCs w:val="24"/>
        </w:rPr>
        <w:t>(19. største timemiddel koncentration NO</w:t>
      </w:r>
      <w:r w:rsidR="006F5360" w:rsidRPr="006F5360">
        <w:rPr>
          <w:szCs w:val="24"/>
          <w:vertAlign w:val="subscript"/>
        </w:rPr>
        <w:t>2</w:t>
      </w:r>
      <w:r w:rsidR="006F5360">
        <w:rPr>
          <w:szCs w:val="24"/>
          <w:vertAlign w:val="subscript"/>
        </w:rPr>
        <w:t xml:space="preserve"> </w:t>
      </w:r>
      <w:r w:rsidR="006F5360" w:rsidRPr="006F5360">
        <w:rPr>
          <w:szCs w:val="24"/>
        </w:rPr>
        <w:t xml:space="preserve">(på basis af korrigeret NO2/NOx </w:t>
      </w:r>
      <w:r w:rsidR="006F5360">
        <w:rPr>
          <w:szCs w:val="24"/>
        </w:rPr>
        <w:t>)</w:t>
      </w:r>
      <w:r w:rsidR="006F5360" w:rsidRPr="006F5360">
        <w:rPr>
          <w:szCs w:val="24"/>
        </w:rPr>
        <w:t>)</w:t>
      </w:r>
      <w:r w:rsidRPr="004B14BD">
        <w:rPr>
          <w:szCs w:val="24"/>
        </w:rPr>
        <w:t>(</w:t>
      </w:r>
      <w:r w:rsidR="00A23AD7">
        <w:rPr>
          <w:szCs w:val="24"/>
        </w:rPr>
        <w:t xml:space="preserve">i afstand </w:t>
      </w:r>
      <w:r w:rsidRPr="004B14BD">
        <w:rPr>
          <w:szCs w:val="24"/>
        </w:rPr>
        <w:t>150-400 meter fra kilde)</w:t>
      </w:r>
      <w:r w:rsidR="00D15847">
        <w:rPr>
          <w:szCs w:val="24"/>
        </w:rPr>
        <w:t>. D</w:t>
      </w:r>
      <w:r w:rsidRPr="004B14BD">
        <w:rPr>
          <w:szCs w:val="24"/>
        </w:rPr>
        <w:t xml:space="preserve">e højeste værdier befinder sig ved en receptorhøjde på 7 meter. </w:t>
      </w:r>
    </w:p>
    <w:p w14:paraId="03E7654C" w14:textId="77777777" w:rsidR="00A12FCF" w:rsidRPr="004B14BD" w:rsidRDefault="00A12FCF" w:rsidP="00A12FCF">
      <w:pPr>
        <w:rPr>
          <w:szCs w:val="24"/>
        </w:rPr>
      </w:pPr>
    </w:p>
    <w:p w14:paraId="75A42678" w14:textId="3F385C57" w:rsidR="00A12FCF" w:rsidRPr="004B14BD" w:rsidRDefault="00A12FCF" w:rsidP="00A12FCF">
      <w:pPr>
        <w:rPr>
          <w:szCs w:val="24"/>
        </w:rPr>
      </w:pPr>
      <w:r w:rsidRPr="004B14BD">
        <w:rPr>
          <w:szCs w:val="24"/>
        </w:rPr>
        <w:t>I afstande fra 500-1100 meter fra CPH07, ligger maks.</w:t>
      </w:r>
      <w:r w:rsidR="00957559">
        <w:rPr>
          <w:szCs w:val="24"/>
        </w:rPr>
        <w:t xml:space="preserve"> korrigeret</w:t>
      </w:r>
      <w:r w:rsidRPr="004B14BD">
        <w:rPr>
          <w:szCs w:val="24"/>
        </w:rPr>
        <w:t xml:space="preserve"> NO</w:t>
      </w:r>
      <w:r w:rsidRPr="004B14BD">
        <w:rPr>
          <w:szCs w:val="24"/>
          <w:vertAlign w:val="subscript"/>
        </w:rPr>
        <w:t>2</w:t>
      </w:r>
      <w:r w:rsidRPr="004B14BD">
        <w:rPr>
          <w:szCs w:val="24"/>
        </w:rPr>
        <w:t xml:space="preserve"> immission på mellem 348-447 µg/m</w:t>
      </w:r>
      <w:r w:rsidRPr="004B14BD">
        <w:rPr>
          <w:szCs w:val="24"/>
          <w:vertAlign w:val="superscript"/>
        </w:rPr>
        <w:t>3</w:t>
      </w:r>
      <w:r w:rsidRPr="004B14BD">
        <w:rPr>
          <w:szCs w:val="24"/>
        </w:rPr>
        <w:t>.</w:t>
      </w:r>
    </w:p>
    <w:p w14:paraId="72CA7BEA" w14:textId="77777777" w:rsidR="00A12FCF" w:rsidRPr="004B14BD" w:rsidRDefault="00A12FCF" w:rsidP="00A12FCF">
      <w:pPr>
        <w:rPr>
          <w:szCs w:val="24"/>
        </w:rPr>
      </w:pPr>
    </w:p>
    <w:p w14:paraId="633D5F2E" w14:textId="421A4128" w:rsidR="00A12FCF" w:rsidRPr="004B14BD" w:rsidRDefault="00A12FCF" w:rsidP="00A12FCF">
      <w:pPr>
        <w:rPr>
          <w:szCs w:val="24"/>
        </w:rPr>
      </w:pPr>
      <w:r w:rsidRPr="004B14BD">
        <w:rPr>
          <w:szCs w:val="24"/>
        </w:rPr>
        <w:t>For rekreativt område mellem CPH07 og Essex Park ligger maks.</w:t>
      </w:r>
      <w:r w:rsidR="009A7257">
        <w:rPr>
          <w:szCs w:val="24"/>
        </w:rPr>
        <w:t xml:space="preserve"> korrigeret</w:t>
      </w:r>
      <w:r w:rsidRPr="004B14BD">
        <w:rPr>
          <w:szCs w:val="24"/>
        </w:rPr>
        <w:t xml:space="preserve"> NO</w:t>
      </w:r>
      <w:r w:rsidRPr="004B14BD">
        <w:rPr>
          <w:szCs w:val="24"/>
          <w:vertAlign w:val="subscript"/>
        </w:rPr>
        <w:t>2</w:t>
      </w:r>
      <w:r w:rsidRPr="004B14BD">
        <w:rPr>
          <w:szCs w:val="24"/>
        </w:rPr>
        <w:t>-immission for en receptorhøjde på 1,5 meter på mellem 136-190 µg/m</w:t>
      </w:r>
      <w:r w:rsidRPr="004B14BD">
        <w:rPr>
          <w:szCs w:val="24"/>
          <w:vertAlign w:val="superscript"/>
        </w:rPr>
        <w:t>3</w:t>
      </w:r>
      <w:r w:rsidRPr="004B14BD">
        <w:rPr>
          <w:szCs w:val="24"/>
        </w:rPr>
        <w:t>.</w:t>
      </w:r>
    </w:p>
    <w:p w14:paraId="5ACFFE95" w14:textId="78667CA8" w:rsidR="00A12FCF" w:rsidRPr="004B14BD" w:rsidRDefault="00A12FCF" w:rsidP="00A12FCF">
      <w:pPr>
        <w:rPr>
          <w:color w:val="FF0000"/>
          <w:szCs w:val="24"/>
        </w:rPr>
      </w:pPr>
    </w:p>
    <w:p w14:paraId="0EC933C4" w14:textId="0BD9A697" w:rsidR="00A12FCF" w:rsidRPr="004B14BD" w:rsidRDefault="00175700" w:rsidP="00A12FCF">
      <w:pPr>
        <w:rPr>
          <w:szCs w:val="24"/>
        </w:rPr>
      </w:pPr>
      <w:r w:rsidRPr="004B14BD">
        <w:rPr>
          <w:szCs w:val="24"/>
        </w:rPr>
        <w:t>Som forventet overskrider resultatet B-værdien for NO</w:t>
      </w:r>
      <w:r w:rsidRPr="004B14BD">
        <w:rPr>
          <w:szCs w:val="24"/>
          <w:vertAlign w:val="subscript"/>
        </w:rPr>
        <w:t xml:space="preserve">2 </w:t>
      </w:r>
      <w:r w:rsidRPr="004B14BD">
        <w:rPr>
          <w:szCs w:val="24"/>
        </w:rPr>
        <w:t>på 125 µg/m</w:t>
      </w:r>
      <w:r w:rsidRPr="004B14BD">
        <w:rPr>
          <w:szCs w:val="24"/>
          <w:vertAlign w:val="superscript"/>
        </w:rPr>
        <w:t>3</w:t>
      </w:r>
      <w:r w:rsidR="00C30563" w:rsidRPr="004B14BD">
        <w:rPr>
          <w:szCs w:val="24"/>
        </w:rPr>
        <w:t xml:space="preserve">. </w:t>
      </w:r>
    </w:p>
    <w:p w14:paraId="37D8B1D8" w14:textId="0F2B6DC9" w:rsidR="00C30563" w:rsidRPr="004B14BD" w:rsidRDefault="00C30563" w:rsidP="00A12FCF">
      <w:pPr>
        <w:rPr>
          <w:color w:val="FF0000"/>
          <w:szCs w:val="24"/>
        </w:rPr>
      </w:pPr>
    </w:p>
    <w:p w14:paraId="67E702CD" w14:textId="61B027E7" w:rsidR="00D87AF4" w:rsidRPr="004B14BD" w:rsidRDefault="00123451" w:rsidP="00D87AF4">
      <w:pPr>
        <w:rPr>
          <w:color w:val="000000" w:themeColor="text1"/>
          <w:szCs w:val="24"/>
        </w:rPr>
      </w:pPr>
      <w:r w:rsidRPr="004B14BD">
        <w:rPr>
          <w:color w:val="000000" w:themeColor="text1"/>
          <w:szCs w:val="24"/>
        </w:rPr>
        <w:t>Til vurdering af</w:t>
      </w:r>
      <w:r w:rsidR="00C30563" w:rsidRPr="004B14BD">
        <w:rPr>
          <w:color w:val="000000" w:themeColor="text1"/>
          <w:szCs w:val="24"/>
        </w:rPr>
        <w:t xml:space="preserve">, om ovennævnte NO2-immission ved nøddrift </w:t>
      </w:r>
      <w:r w:rsidR="005B4D80" w:rsidRPr="004B14BD">
        <w:rPr>
          <w:color w:val="000000" w:themeColor="text1"/>
          <w:szCs w:val="24"/>
        </w:rPr>
        <w:t xml:space="preserve">er </w:t>
      </w:r>
      <w:r w:rsidR="00C30563" w:rsidRPr="004B14BD">
        <w:rPr>
          <w:color w:val="000000" w:themeColor="text1"/>
          <w:szCs w:val="24"/>
        </w:rPr>
        <w:t>acceptabel</w:t>
      </w:r>
      <w:r w:rsidR="00D87AF4" w:rsidRPr="004B14BD">
        <w:rPr>
          <w:color w:val="000000" w:themeColor="text1"/>
          <w:szCs w:val="24"/>
        </w:rPr>
        <w:t xml:space="preserve">, er værdien for lignende datacentre andre steder i landet holdt op imod </w:t>
      </w:r>
      <w:r w:rsidRPr="004B14BD">
        <w:rPr>
          <w:color w:val="000000" w:themeColor="text1"/>
          <w:szCs w:val="24"/>
        </w:rPr>
        <w:t>en sundhedsbaseret</w:t>
      </w:r>
      <w:r w:rsidR="000464BD" w:rsidRPr="004B14BD">
        <w:rPr>
          <w:color w:val="000000" w:themeColor="text1"/>
          <w:szCs w:val="24"/>
        </w:rPr>
        <w:t xml:space="preserve"> grænseværdi på 941 µg/m³ </w:t>
      </w:r>
      <w:r w:rsidR="006C1292" w:rsidRPr="004B14BD">
        <w:rPr>
          <w:color w:val="000000" w:themeColor="text1"/>
          <w:szCs w:val="24"/>
        </w:rPr>
        <w:t xml:space="preserve">(AEGL-1) </w:t>
      </w:r>
      <w:r w:rsidR="000464BD" w:rsidRPr="004B14BD">
        <w:rPr>
          <w:color w:val="000000" w:themeColor="text1"/>
          <w:szCs w:val="24"/>
        </w:rPr>
        <w:t>for påvirkning med NO</w:t>
      </w:r>
      <w:r w:rsidR="000464BD" w:rsidRPr="004B14BD">
        <w:rPr>
          <w:color w:val="000000" w:themeColor="text1"/>
          <w:szCs w:val="24"/>
          <w:vertAlign w:val="subscript"/>
        </w:rPr>
        <w:t>2</w:t>
      </w:r>
      <w:r w:rsidR="000464BD" w:rsidRPr="004B14BD">
        <w:rPr>
          <w:color w:val="000000" w:themeColor="text1"/>
          <w:szCs w:val="24"/>
        </w:rPr>
        <w:t xml:space="preserve"> i op til 8 timer</w:t>
      </w:r>
      <w:r w:rsidR="00BC2B58" w:rsidRPr="004B14BD">
        <w:rPr>
          <w:color w:val="000000" w:themeColor="text1"/>
          <w:szCs w:val="24"/>
        </w:rPr>
        <w:t>.</w:t>
      </w:r>
      <w:r w:rsidR="00D87AF4" w:rsidRPr="004B14BD">
        <w:rPr>
          <w:color w:val="000000" w:themeColor="text1"/>
          <w:szCs w:val="24"/>
        </w:rPr>
        <w:t xml:space="preserve"> AEGL-1</w:t>
      </w:r>
      <w:r w:rsidR="00580D0C" w:rsidRPr="004B14BD">
        <w:rPr>
          <w:color w:val="000000" w:themeColor="text1"/>
          <w:szCs w:val="24"/>
        </w:rPr>
        <w:t xml:space="preserve"> </w:t>
      </w:r>
      <w:r w:rsidR="00A82CB1" w:rsidRPr="004B14BD">
        <w:rPr>
          <w:color w:val="000000" w:themeColor="text1"/>
          <w:szCs w:val="24"/>
        </w:rPr>
        <w:t xml:space="preserve">er den luftbårne koncentration over hvilken det forventes, at den generelle offentlighed </w:t>
      </w:r>
      <w:r w:rsidRPr="004B14BD">
        <w:rPr>
          <w:color w:val="000000" w:themeColor="text1"/>
          <w:szCs w:val="24"/>
        </w:rPr>
        <w:t>(</w:t>
      </w:r>
      <w:r w:rsidR="00A82CB1" w:rsidRPr="004B14BD">
        <w:rPr>
          <w:color w:val="000000" w:themeColor="text1"/>
          <w:szCs w:val="24"/>
        </w:rPr>
        <w:t>inklusiv sårbare personer</w:t>
      </w:r>
      <w:r w:rsidRPr="004B14BD">
        <w:rPr>
          <w:color w:val="000000" w:themeColor="text1"/>
          <w:szCs w:val="24"/>
        </w:rPr>
        <w:t>)</w:t>
      </w:r>
      <w:r w:rsidR="00A82CB1" w:rsidRPr="004B14BD">
        <w:rPr>
          <w:color w:val="000000" w:themeColor="text1"/>
          <w:szCs w:val="24"/>
        </w:rPr>
        <w:t>, vil kunne opleve mærkbare gener, irritation eller ikke sensible effekter. Effekterne skal ikke være invaliderende og skal være kortvarige og reversible ved endt eksponering.</w:t>
      </w:r>
      <w:r w:rsidR="003C6062" w:rsidRPr="004B14BD">
        <w:rPr>
          <w:color w:val="000000" w:themeColor="text1"/>
          <w:szCs w:val="24"/>
        </w:rPr>
        <w:t xml:space="preserve"> Dvs. der må ikke være en kronisk påvirkning.</w:t>
      </w:r>
      <w:r w:rsidR="00110563" w:rsidRPr="004B14BD">
        <w:rPr>
          <w:color w:val="000000" w:themeColor="text1"/>
          <w:szCs w:val="24"/>
        </w:rPr>
        <w:t xml:space="preserve"> Høje-Taastrup Kommune vurderer tillige, at denne værdi er relevant at vurdere nøddrift forho</w:t>
      </w:r>
      <w:r w:rsidR="001825AC" w:rsidRPr="004B14BD">
        <w:rPr>
          <w:color w:val="000000" w:themeColor="text1"/>
          <w:szCs w:val="24"/>
        </w:rPr>
        <w:t>ldene udfra.</w:t>
      </w:r>
    </w:p>
    <w:p w14:paraId="3C80D77C" w14:textId="6139FD98" w:rsidR="00A82CB1" w:rsidRPr="004B14BD" w:rsidRDefault="00A82CB1" w:rsidP="00523BB5">
      <w:pPr>
        <w:rPr>
          <w:color w:val="FF0000"/>
          <w:szCs w:val="24"/>
        </w:rPr>
      </w:pPr>
    </w:p>
    <w:p w14:paraId="0D299FF5" w14:textId="2AA5925D" w:rsidR="00D04008" w:rsidRPr="004B14BD" w:rsidRDefault="00D87AF4" w:rsidP="00523BB5">
      <w:pPr>
        <w:rPr>
          <w:color w:val="000000" w:themeColor="text1"/>
          <w:szCs w:val="24"/>
        </w:rPr>
      </w:pPr>
      <w:r w:rsidRPr="004B14BD">
        <w:rPr>
          <w:color w:val="000000" w:themeColor="text1"/>
          <w:szCs w:val="24"/>
        </w:rPr>
        <w:lastRenderedPageBreak/>
        <w:t>Vurderingen af, hvor lang tid nøddrift vil strække sig over, er foretaget på baggrund af erfaringer med udetider på transmissionsnettet. 8 timer vurderes i den sammenhæng at være meget konservativt sat.</w:t>
      </w:r>
    </w:p>
    <w:p w14:paraId="1288696F" w14:textId="77777777" w:rsidR="00D87AF4" w:rsidRPr="004B14BD" w:rsidRDefault="00D87AF4" w:rsidP="00A70417">
      <w:pPr>
        <w:rPr>
          <w:color w:val="000000" w:themeColor="text1"/>
          <w:szCs w:val="24"/>
        </w:rPr>
      </w:pPr>
    </w:p>
    <w:p w14:paraId="4E660C8A" w14:textId="2732E936" w:rsidR="00483374" w:rsidRPr="004B14BD" w:rsidRDefault="00A92807" w:rsidP="00A70417">
      <w:pPr>
        <w:rPr>
          <w:color w:val="000000" w:themeColor="text1"/>
          <w:szCs w:val="24"/>
        </w:rPr>
      </w:pPr>
      <w:r w:rsidRPr="004B14BD">
        <w:rPr>
          <w:color w:val="000000" w:themeColor="text1"/>
          <w:szCs w:val="24"/>
        </w:rPr>
        <w:t xml:space="preserve">Ovenstående beregninger fra SWECO viser, at </w:t>
      </w:r>
      <w:r w:rsidR="00A95619" w:rsidRPr="004B14BD">
        <w:rPr>
          <w:color w:val="000000" w:themeColor="text1"/>
          <w:szCs w:val="24"/>
        </w:rPr>
        <w:t>immissionskoncentrationen</w:t>
      </w:r>
      <w:r w:rsidR="009F14E6" w:rsidRPr="004B14BD">
        <w:rPr>
          <w:color w:val="000000" w:themeColor="text1"/>
          <w:szCs w:val="24"/>
        </w:rPr>
        <w:t xml:space="preserve"> af NO</w:t>
      </w:r>
      <w:r w:rsidR="009F14E6" w:rsidRPr="004B14BD">
        <w:rPr>
          <w:color w:val="000000" w:themeColor="text1"/>
          <w:szCs w:val="24"/>
          <w:vertAlign w:val="subscript"/>
        </w:rPr>
        <w:t>2</w:t>
      </w:r>
      <w:r w:rsidR="00A95619" w:rsidRPr="004B14BD">
        <w:rPr>
          <w:color w:val="000000" w:themeColor="text1"/>
          <w:szCs w:val="24"/>
        </w:rPr>
        <w:t xml:space="preserve"> i nø</w:t>
      </w:r>
      <w:r w:rsidR="006655CC" w:rsidRPr="004B14BD">
        <w:rPr>
          <w:color w:val="000000" w:themeColor="text1"/>
          <w:szCs w:val="24"/>
        </w:rPr>
        <w:t>d</w:t>
      </w:r>
      <w:r w:rsidR="00A95619" w:rsidRPr="004B14BD">
        <w:rPr>
          <w:color w:val="000000" w:themeColor="text1"/>
          <w:szCs w:val="24"/>
        </w:rPr>
        <w:t xml:space="preserve">scenariet alle steder </w:t>
      </w:r>
      <w:r w:rsidR="009F14E6" w:rsidRPr="004B14BD">
        <w:rPr>
          <w:color w:val="000000" w:themeColor="text1"/>
          <w:szCs w:val="24"/>
        </w:rPr>
        <w:t>overholder den sundhedsbaserede grænseværdi på 941 µg/m³</w:t>
      </w:r>
      <w:r w:rsidR="00A95619" w:rsidRPr="004B14BD">
        <w:rPr>
          <w:color w:val="000000" w:themeColor="text1"/>
          <w:szCs w:val="24"/>
        </w:rPr>
        <w:t xml:space="preserve"> med mere end en </w:t>
      </w:r>
      <w:r w:rsidR="00EC7C82" w:rsidRPr="004B14BD">
        <w:rPr>
          <w:color w:val="000000" w:themeColor="text1"/>
          <w:szCs w:val="24"/>
        </w:rPr>
        <w:t>faktor 2</w:t>
      </w:r>
      <w:r w:rsidR="00001479" w:rsidRPr="004B14BD">
        <w:rPr>
          <w:color w:val="000000" w:themeColor="text1"/>
          <w:szCs w:val="24"/>
        </w:rPr>
        <w:t>.</w:t>
      </w:r>
    </w:p>
    <w:p w14:paraId="4B6B01DA" w14:textId="77777777" w:rsidR="00483374" w:rsidRPr="004B14BD" w:rsidRDefault="00483374" w:rsidP="00A70417">
      <w:pPr>
        <w:rPr>
          <w:color w:val="FF0000"/>
          <w:szCs w:val="24"/>
        </w:rPr>
      </w:pPr>
    </w:p>
    <w:p w14:paraId="30169BF6" w14:textId="40F28766" w:rsidR="00483374" w:rsidRPr="004B14BD" w:rsidRDefault="006655CC" w:rsidP="006655CC">
      <w:pPr>
        <w:rPr>
          <w:color w:val="000000" w:themeColor="text1"/>
          <w:szCs w:val="24"/>
        </w:rPr>
      </w:pPr>
      <w:r w:rsidRPr="004B14BD">
        <w:rPr>
          <w:szCs w:val="24"/>
        </w:rPr>
        <w:t>Det er svært at vurdere baggrundskoncentrationen af NO</w:t>
      </w:r>
      <w:r w:rsidRPr="004B14BD">
        <w:rPr>
          <w:szCs w:val="24"/>
          <w:vertAlign w:val="subscript"/>
        </w:rPr>
        <w:t>2</w:t>
      </w:r>
      <w:r w:rsidRPr="004B14BD">
        <w:rPr>
          <w:szCs w:val="24"/>
        </w:rPr>
        <w:t>, som bør lægges oveni de beregnede NO</w:t>
      </w:r>
      <w:r w:rsidRPr="004B14BD">
        <w:rPr>
          <w:szCs w:val="24"/>
          <w:vertAlign w:val="subscript"/>
        </w:rPr>
        <w:t>2</w:t>
      </w:r>
      <w:r w:rsidRPr="004B14BD">
        <w:rPr>
          <w:szCs w:val="24"/>
        </w:rPr>
        <w:t>-niveauer. SWECO har i deres notat</w:t>
      </w:r>
      <w:r w:rsidR="00AD42C0">
        <w:rPr>
          <w:szCs w:val="24"/>
        </w:rPr>
        <w:t xml:space="preserve"> ”OML-beregning” vedlagt som bilag 3 til ansøgning om miljøgodkendelse</w:t>
      </w:r>
      <w:r w:rsidRPr="004B14BD">
        <w:rPr>
          <w:szCs w:val="24"/>
        </w:rPr>
        <w:t xml:space="preserve"> fastsat baggrundsniveauet til 13 µg/m</w:t>
      </w:r>
      <w:r w:rsidRPr="004B14BD">
        <w:rPr>
          <w:szCs w:val="24"/>
          <w:vertAlign w:val="superscript"/>
        </w:rPr>
        <w:t>3</w:t>
      </w:r>
      <w:r w:rsidRPr="004B14BD">
        <w:rPr>
          <w:szCs w:val="24"/>
        </w:rPr>
        <w:t xml:space="preserve"> ud fra oplysninger hentet fra DCEs projekt ”Luften på din vej</w:t>
      </w:r>
      <w:r w:rsidR="008D4EA6" w:rsidRPr="004B14BD">
        <w:rPr>
          <w:szCs w:val="24"/>
        </w:rPr>
        <w:t>”</w:t>
      </w:r>
      <w:r w:rsidR="008D4EA6" w:rsidRPr="004B14BD">
        <w:rPr>
          <w:rStyle w:val="Fodnotehenvisning"/>
          <w:szCs w:val="24"/>
        </w:rPr>
        <w:footnoteReference w:id="20"/>
      </w:r>
      <w:r w:rsidR="00F65035" w:rsidRPr="004B14BD">
        <w:rPr>
          <w:szCs w:val="24"/>
        </w:rPr>
        <w:t>.</w:t>
      </w:r>
      <w:r w:rsidR="00071C87" w:rsidRPr="004B14BD">
        <w:rPr>
          <w:szCs w:val="24"/>
        </w:rPr>
        <w:t xml:space="preserve"> Hvis denne værdi tillægges maks</w:t>
      </w:r>
      <w:r w:rsidR="00AA76F7">
        <w:rPr>
          <w:szCs w:val="24"/>
        </w:rPr>
        <w:t>.</w:t>
      </w:r>
      <w:r w:rsidR="00071C87" w:rsidRPr="004B14BD">
        <w:rPr>
          <w:szCs w:val="24"/>
        </w:rPr>
        <w:t xml:space="preserve"> NO</w:t>
      </w:r>
      <w:r w:rsidR="00071C87" w:rsidRPr="002963E1">
        <w:rPr>
          <w:szCs w:val="24"/>
          <w:vertAlign w:val="subscript"/>
        </w:rPr>
        <w:t>2</w:t>
      </w:r>
      <w:r w:rsidR="00071C87" w:rsidRPr="004B14BD">
        <w:rPr>
          <w:szCs w:val="24"/>
        </w:rPr>
        <w:t>-immisisionen på 447 µg/m</w:t>
      </w:r>
      <w:r w:rsidR="00071C87" w:rsidRPr="004B14BD">
        <w:rPr>
          <w:szCs w:val="24"/>
          <w:vertAlign w:val="superscript"/>
        </w:rPr>
        <w:t>3</w:t>
      </w:r>
      <w:r w:rsidR="00071C87" w:rsidRPr="004B14BD">
        <w:rPr>
          <w:szCs w:val="24"/>
        </w:rPr>
        <w:t>, bliver NO</w:t>
      </w:r>
      <w:r w:rsidR="00071C87" w:rsidRPr="002963E1">
        <w:rPr>
          <w:szCs w:val="24"/>
          <w:vertAlign w:val="subscript"/>
        </w:rPr>
        <w:t>2</w:t>
      </w:r>
      <w:r w:rsidR="00CF189F" w:rsidRPr="004B14BD">
        <w:rPr>
          <w:szCs w:val="24"/>
        </w:rPr>
        <w:t>-</w:t>
      </w:r>
      <w:r w:rsidR="00071C87" w:rsidRPr="004B14BD">
        <w:rPr>
          <w:szCs w:val="24"/>
        </w:rPr>
        <w:t>koncentration</w:t>
      </w:r>
      <w:r w:rsidR="00CF189F" w:rsidRPr="004B14BD">
        <w:rPr>
          <w:szCs w:val="24"/>
        </w:rPr>
        <w:t xml:space="preserve">sværdien </w:t>
      </w:r>
      <w:r w:rsidR="00071C87" w:rsidRPr="004B14BD">
        <w:rPr>
          <w:szCs w:val="24"/>
        </w:rPr>
        <w:t>460 µg/m</w:t>
      </w:r>
      <w:r w:rsidR="00071C87" w:rsidRPr="004B14BD">
        <w:rPr>
          <w:szCs w:val="24"/>
          <w:vertAlign w:val="superscript"/>
        </w:rPr>
        <w:t>3</w:t>
      </w:r>
      <w:r w:rsidR="00071C87" w:rsidRPr="004B14BD">
        <w:rPr>
          <w:szCs w:val="24"/>
        </w:rPr>
        <w:t xml:space="preserve">, hvilket stadig er under halvdelen af grænseværdien på </w:t>
      </w:r>
      <w:r w:rsidR="00071C87" w:rsidRPr="004B14BD">
        <w:rPr>
          <w:color w:val="000000" w:themeColor="text1"/>
          <w:szCs w:val="24"/>
        </w:rPr>
        <w:t>941 µg/m³.</w:t>
      </w:r>
    </w:p>
    <w:p w14:paraId="685AFE3B" w14:textId="05D81EB0" w:rsidR="00071C87" w:rsidRPr="004B14BD" w:rsidRDefault="00071C87" w:rsidP="006655CC">
      <w:pPr>
        <w:rPr>
          <w:color w:val="000000" w:themeColor="text1"/>
          <w:szCs w:val="24"/>
        </w:rPr>
      </w:pPr>
    </w:p>
    <w:p w14:paraId="7329410C" w14:textId="51EDD515" w:rsidR="00071C87" w:rsidRPr="004B14BD" w:rsidRDefault="00071C87" w:rsidP="00071C87">
      <w:pPr>
        <w:rPr>
          <w:color w:val="000000" w:themeColor="text1"/>
          <w:szCs w:val="24"/>
        </w:rPr>
      </w:pPr>
      <w:r w:rsidRPr="004B14BD">
        <w:rPr>
          <w:color w:val="000000" w:themeColor="text1"/>
          <w:szCs w:val="24"/>
        </w:rPr>
        <w:t>Høje-Taastrup Kommune vurderer herudfra, at det er sandsynliggjort, at der ved nøddrift op til 8</w:t>
      </w:r>
      <w:r w:rsidR="000C12BA" w:rsidRPr="004B14BD">
        <w:rPr>
          <w:color w:val="000000" w:themeColor="text1"/>
          <w:szCs w:val="24"/>
        </w:rPr>
        <w:t xml:space="preserve"> </w:t>
      </w:r>
      <w:r w:rsidRPr="004B14BD">
        <w:rPr>
          <w:color w:val="000000" w:themeColor="text1"/>
          <w:szCs w:val="24"/>
        </w:rPr>
        <w:t xml:space="preserve">timer ikke vil være en umiddelbar sundhedsfare i boligområder rundt om datacentret. </w:t>
      </w:r>
    </w:p>
    <w:p w14:paraId="7ED5A5F5" w14:textId="77777777" w:rsidR="00071C87" w:rsidRPr="004B14BD" w:rsidRDefault="00071C87" w:rsidP="00071C87">
      <w:pPr>
        <w:rPr>
          <w:color w:val="000000" w:themeColor="text1"/>
          <w:szCs w:val="24"/>
        </w:rPr>
      </w:pPr>
    </w:p>
    <w:p w14:paraId="4F8B3157" w14:textId="019D240B" w:rsidR="00071C87" w:rsidRDefault="00071C87" w:rsidP="00071C87">
      <w:pPr>
        <w:rPr>
          <w:b/>
          <w:bCs/>
          <w:color w:val="000000" w:themeColor="text1"/>
          <w:szCs w:val="24"/>
        </w:rPr>
      </w:pPr>
      <w:r w:rsidRPr="004B14BD">
        <w:rPr>
          <w:b/>
          <w:bCs/>
          <w:color w:val="000000" w:themeColor="text1"/>
          <w:szCs w:val="24"/>
        </w:rPr>
        <w:t>Fastsættelse af vilkår til luft</w:t>
      </w:r>
    </w:p>
    <w:p w14:paraId="047C7664" w14:textId="77777777" w:rsidR="00FB4952" w:rsidRPr="004B14BD" w:rsidRDefault="00FB4952" w:rsidP="00071C87">
      <w:pPr>
        <w:rPr>
          <w:b/>
          <w:bCs/>
          <w:color w:val="000000" w:themeColor="text1"/>
          <w:szCs w:val="24"/>
        </w:rPr>
      </w:pPr>
    </w:p>
    <w:p w14:paraId="07C98265" w14:textId="61EF9383" w:rsidR="0049003F" w:rsidRDefault="00F75552" w:rsidP="00F75552">
      <w:r w:rsidRPr="004B14BD">
        <w:rPr>
          <w:szCs w:val="24"/>
        </w:rPr>
        <w:t xml:space="preserve">Høje-Taastrup Kommune vurderer, at der skal fastsættes relevante vilkår for at sikre, at </w:t>
      </w:r>
      <w:r w:rsidR="00BB6AF9">
        <w:rPr>
          <w:szCs w:val="24"/>
        </w:rPr>
        <w:t>nødstrøms</w:t>
      </w:r>
      <w:r w:rsidRPr="004B14BD">
        <w:rPr>
          <w:szCs w:val="24"/>
        </w:rPr>
        <w:t xml:space="preserve">anlægget indrettes, som ansøgt. Der fastsættes derfor vilkår om, at </w:t>
      </w:r>
      <w:r w:rsidRPr="004B14BD">
        <w:t>administrationsgeneratoren skal være af typen C550 D5e med motor QSX15-G8. De 16 datahalsgeneratorer</w:t>
      </w:r>
      <w:r w:rsidR="000E041C">
        <w:t xml:space="preserve"> (colo-generatorer)</w:t>
      </w:r>
      <w:r w:rsidRPr="004B14BD">
        <w:t xml:space="preserve"> skal være af typen C3750D5e med motor QSK95-G10, jf. datablade vedlagt ansøgning. </w:t>
      </w:r>
    </w:p>
    <w:p w14:paraId="78C894E6" w14:textId="77777777" w:rsidR="0049003F" w:rsidRDefault="0049003F" w:rsidP="00F75552"/>
    <w:p w14:paraId="266040A1" w14:textId="7514044D" w:rsidR="005E7545" w:rsidRPr="00EC2A22" w:rsidRDefault="0049003F" w:rsidP="00F75552">
      <w:r>
        <w:t>Kom</w:t>
      </w:r>
      <w:r w:rsidRPr="00EC2A22">
        <w:t>munen har desuden indsat vilkår om, at hvis type eller motor ændres</w:t>
      </w:r>
      <w:r w:rsidR="005E7545" w:rsidRPr="00EC2A22">
        <w:t xml:space="preserve">, skal det være til et anlæg, som har tilsvarende eller lavere emissioner af NOx og CO i maksimal normaldrift, jf. datablade for colo- og administrationsgeneratorer </w:t>
      </w:r>
      <w:r w:rsidR="0087002B">
        <w:t>vedlagt i bilag 3 ”OML-beregning” til</w:t>
      </w:r>
      <w:r w:rsidR="005E7545" w:rsidRPr="00EC2A22">
        <w:t xml:space="preserve"> ansøgning om miljøgodkendelse. Dette vilkår er stillet som et vilkår om valg af bedst tilgængelige teknik (BAT) og </w:t>
      </w:r>
      <w:r w:rsidR="002F2FB9" w:rsidRPr="00EC2A22">
        <w:t xml:space="preserve">dermed </w:t>
      </w:r>
      <w:r w:rsidR="005E7545" w:rsidRPr="00EC2A22">
        <w:t>for at sikre, at virksomheden ikke opstiller anlæg</w:t>
      </w:r>
      <w:r w:rsidR="00FD6690" w:rsidRPr="00EC2A22">
        <w:t xml:space="preserve">, </w:t>
      </w:r>
      <w:r w:rsidR="005E7545" w:rsidRPr="00EC2A22">
        <w:t>som forurener mere end ansøgt.</w:t>
      </w:r>
    </w:p>
    <w:p w14:paraId="5FCFEBD3" w14:textId="77777777" w:rsidR="0049003F" w:rsidRDefault="0049003F" w:rsidP="00F75552"/>
    <w:p w14:paraId="57369314" w14:textId="420531F1" w:rsidR="00225B24" w:rsidRPr="004B14BD" w:rsidRDefault="00F75552" w:rsidP="00F75552">
      <w:pPr>
        <w:rPr>
          <w:szCs w:val="24"/>
        </w:rPr>
      </w:pPr>
      <w:r w:rsidRPr="004B14BD">
        <w:rPr>
          <w:szCs w:val="24"/>
        </w:rPr>
        <w:t>Høje-Taastrup kommune indsætter vilkår om minimum skorstenshøjder for afkastene fra datacenter (colo) generatorer og administrationsgeneratoren på henholdsvis 21 m og 16 m, da det er disse højder, som er anvendt til at eftervise overholdelse af B-værdier</w:t>
      </w:r>
      <w:r w:rsidR="00572E5C" w:rsidRPr="004B14BD">
        <w:rPr>
          <w:szCs w:val="24"/>
        </w:rPr>
        <w:t xml:space="preserve"> ved testdrift</w:t>
      </w:r>
      <w:r w:rsidRPr="004B14BD">
        <w:rPr>
          <w:szCs w:val="24"/>
        </w:rPr>
        <w:t xml:space="preserve"> og den sundhedsbaserede grænseværdi ved nøddrift. </w:t>
      </w:r>
    </w:p>
    <w:p w14:paraId="3F545059" w14:textId="77777777" w:rsidR="00225B24" w:rsidRPr="004B14BD" w:rsidRDefault="00225B24" w:rsidP="00F75552">
      <w:pPr>
        <w:rPr>
          <w:szCs w:val="24"/>
        </w:rPr>
      </w:pPr>
    </w:p>
    <w:p w14:paraId="4C9D7F68" w14:textId="70BE9DE2" w:rsidR="00225B24" w:rsidRPr="004B14BD" w:rsidRDefault="00225B24" w:rsidP="00F75552">
      <w:pPr>
        <w:rPr>
          <w:szCs w:val="24"/>
        </w:rPr>
      </w:pPr>
      <w:r w:rsidRPr="004B14BD">
        <w:rPr>
          <w:szCs w:val="24"/>
        </w:rPr>
        <w:t xml:space="preserve">Desuden er der indsat et vilkår om, at den årlige driftstid </w:t>
      </w:r>
      <w:r w:rsidRPr="004B14BD">
        <w:t xml:space="preserve">ikke må overstige 500 timer pr. generator opgjort som et rullende gennemsnit over 3 år. </w:t>
      </w:r>
    </w:p>
    <w:p w14:paraId="0E037FA8" w14:textId="77777777" w:rsidR="00F75552" w:rsidRPr="004B14BD" w:rsidRDefault="00F75552" w:rsidP="00F75552"/>
    <w:p w14:paraId="107D24CC" w14:textId="1D63F6EE" w:rsidR="00071C87" w:rsidRPr="004B14BD" w:rsidRDefault="00071C87" w:rsidP="00071C87">
      <w:pPr>
        <w:rPr>
          <w:szCs w:val="24"/>
        </w:rPr>
      </w:pPr>
      <w:r w:rsidRPr="004B14BD">
        <w:rPr>
          <w:color w:val="000000" w:themeColor="text1"/>
          <w:szCs w:val="24"/>
        </w:rPr>
        <w:t xml:space="preserve">Ud fra </w:t>
      </w:r>
      <w:r w:rsidR="000C12BA" w:rsidRPr="004B14BD">
        <w:rPr>
          <w:color w:val="000000" w:themeColor="text1"/>
          <w:szCs w:val="24"/>
        </w:rPr>
        <w:t>de indsendte OML-</w:t>
      </w:r>
      <w:r w:rsidRPr="004B14BD">
        <w:rPr>
          <w:color w:val="000000" w:themeColor="text1"/>
          <w:szCs w:val="24"/>
        </w:rPr>
        <w:t xml:space="preserve">beregninger vurderer Høje-Taastrup Kommune, at virksomheden </w:t>
      </w:r>
      <w:r w:rsidR="000C12BA" w:rsidRPr="004B14BD">
        <w:rPr>
          <w:color w:val="000000" w:themeColor="text1"/>
          <w:szCs w:val="24"/>
        </w:rPr>
        <w:t xml:space="preserve">med de oplyste emissioner ved almindelig testdrift med drift af en generator </w:t>
      </w:r>
      <w:r w:rsidRPr="004B14BD">
        <w:rPr>
          <w:color w:val="000000" w:themeColor="text1"/>
          <w:szCs w:val="24"/>
        </w:rPr>
        <w:t>vil kunne overholde b-værdien for NO</w:t>
      </w:r>
      <w:r w:rsidRPr="004B14BD">
        <w:rPr>
          <w:color w:val="000000" w:themeColor="text1"/>
          <w:szCs w:val="24"/>
          <w:vertAlign w:val="subscript"/>
        </w:rPr>
        <w:t xml:space="preserve">2 </w:t>
      </w:r>
      <w:r w:rsidRPr="004B14BD">
        <w:rPr>
          <w:color w:val="000000" w:themeColor="text1"/>
          <w:szCs w:val="24"/>
        </w:rPr>
        <w:t>i omgivelserne udenfor virksomhedens grund</w:t>
      </w:r>
      <w:r w:rsidR="00C03A49" w:rsidRPr="004B14BD">
        <w:rPr>
          <w:color w:val="000000" w:themeColor="text1"/>
          <w:szCs w:val="24"/>
        </w:rPr>
        <w:t xml:space="preserve"> med god margin</w:t>
      </w:r>
      <w:r w:rsidRPr="004B14BD">
        <w:rPr>
          <w:color w:val="000000" w:themeColor="text1"/>
          <w:szCs w:val="24"/>
        </w:rPr>
        <w:t>.</w:t>
      </w:r>
      <w:r w:rsidR="00C03A49" w:rsidRPr="004B14BD">
        <w:rPr>
          <w:color w:val="000000" w:themeColor="text1"/>
          <w:szCs w:val="24"/>
        </w:rPr>
        <w:t xml:space="preserve"> Det er derudover ved beregninger sandsynliggjort, at virksomheden vil kunne overholde den sundhedsbaserede grænseværdi for NO</w:t>
      </w:r>
      <w:r w:rsidR="00C03A49" w:rsidRPr="004B14BD">
        <w:rPr>
          <w:color w:val="000000" w:themeColor="text1"/>
          <w:szCs w:val="24"/>
          <w:vertAlign w:val="subscript"/>
        </w:rPr>
        <w:t>2</w:t>
      </w:r>
      <w:r w:rsidR="00C03A49" w:rsidRPr="004B14BD">
        <w:rPr>
          <w:color w:val="000000" w:themeColor="text1"/>
          <w:szCs w:val="24"/>
        </w:rPr>
        <w:t xml:space="preserve">. </w:t>
      </w:r>
      <w:r w:rsidR="000C12BA" w:rsidRPr="004B14BD">
        <w:rPr>
          <w:szCs w:val="24"/>
        </w:rPr>
        <w:t xml:space="preserve">Der fastsættes vilkår om, at b-værdien for </w:t>
      </w:r>
      <w:r w:rsidR="00CA51E8" w:rsidRPr="004B14BD">
        <w:rPr>
          <w:szCs w:val="24"/>
        </w:rPr>
        <w:t>NO</w:t>
      </w:r>
      <w:r w:rsidR="00CA51E8" w:rsidRPr="004B14BD">
        <w:rPr>
          <w:szCs w:val="24"/>
          <w:vertAlign w:val="subscript"/>
        </w:rPr>
        <w:t>2</w:t>
      </w:r>
      <w:r w:rsidR="00FA1062" w:rsidRPr="004B14BD">
        <w:rPr>
          <w:szCs w:val="24"/>
        </w:rPr>
        <w:t xml:space="preserve"> og</w:t>
      </w:r>
      <w:r w:rsidR="00CA51E8" w:rsidRPr="004B14BD">
        <w:rPr>
          <w:szCs w:val="24"/>
        </w:rPr>
        <w:t xml:space="preserve"> CO skal overholdes</w:t>
      </w:r>
      <w:r w:rsidR="00C03A49" w:rsidRPr="004B14BD">
        <w:rPr>
          <w:szCs w:val="24"/>
        </w:rPr>
        <w:t xml:space="preserve"> i testdrift af en generator</w:t>
      </w:r>
      <w:r w:rsidR="00CA51E8" w:rsidRPr="004B14BD">
        <w:rPr>
          <w:szCs w:val="24"/>
        </w:rPr>
        <w:t xml:space="preserve">. </w:t>
      </w:r>
      <w:r w:rsidR="00340F4C" w:rsidRPr="004B14BD">
        <w:rPr>
          <w:szCs w:val="24"/>
        </w:rPr>
        <w:t>Der fastsættes desuden vilkår om, at ved nødstrømsdrift og indkøring af nye generatorer skal den sundhedsbaserede grænseværdi for NO</w:t>
      </w:r>
      <w:r w:rsidR="00340F4C" w:rsidRPr="004B14BD">
        <w:rPr>
          <w:szCs w:val="24"/>
          <w:vertAlign w:val="subscript"/>
        </w:rPr>
        <w:t>2</w:t>
      </w:r>
      <w:r w:rsidR="00340F4C" w:rsidRPr="004B14BD">
        <w:rPr>
          <w:szCs w:val="24"/>
        </w:rPr>
        <w:t xml:space="preserve"> på 941 µg/m³ (inkluderet baggrundskoncentrationen) overholdes.</w:t>
      </w:r>
    </w:p>
    <w:p w14:paraId="0BC60A47" w14:textId="4784ECAE" w:rsidR="00F75552" w:rsidRPr="004B14BD" w:rsidRDefault="00F75552" w:rsidP="00071C87">
      <w:pPr>
        <w:rPr>
          <w:szCs w:val="24"/>
        </w:rPr>
      </w:pPr>
    </w:p>
    <w:p w14:paraId="080C3C3E" w14:textId="49932673" w:rsidR="00F75552" w:rsidRDefault="005B6D21" w:rsidP="00F75552">
      <w:r w:rsidRPr="005B6D21">
        <w:rPr>
          <w:szCs w:val="24"/>
        </w:rPr>
        <w:t>Der f</w:t>
      </w:r>
      <w:r w:rsidR="00F75552" w:rsidRPr="005B6D21">
        <w:rPr>
          <w:szCs w:val="24"/>
        </w:rPr>
        <w:t>astsættes vilkår om overholdelse</w:t>
      </w:r>
      <w:r w:rsidR="00F75552" w:rsidRPr="005B6D21">
        <w:t xml:space="preserve"> af </w:t>
      </w:r>
      <w:r w:rsidRPr="005B6D21">
        <w:t xml:space="preserve">de </w:t>
      </w:r>
      <w:r w:rsidR="00F75552" w:rsidRPr="005B6D21">
        <w:t>emissionsgrænser, som skal sikre overholdelse af B-værdier og den sundhedsbaserede grænseværdi.</w:t>
      </w:r>
    </w:p>
    <w:p w14:paraId="3DA2E335" w14:textId="54CCCCEE" w:rsidR="00071C87" w:rsidRPr="004B14BD" w:rsidRDefault="00071C87" w:rsidP="00071C87">
      <w:pPr>
        <w:rPr>
          <w:color w:val="FF0000"/>
          <w:szCs w:val="24"/>
        </w:rPr>
      </w:pPr>
    </w:p>
    <w:p w14:paraId="137F5571" w14:textId="6B8548D8" w:rsidR="0011648A" w:rsidRPr="00927EE3" w:rsidRDefault="00C03A49" w:rsidP="0011648A">
      <w:pPr>
        <w:rPr>
          <w:color w:val="000000" w:themeColor="text1"/>
          <w:szCs w:val="24"/>
        </w:rPr>
      </w:pPr>
      <w:r w:rsidRPr="00927EE3">
        <w:rPr>
          <w:color w:val="000000" w:themeColor="text1"/>
          <w:szCs w:val="24"/>
        </w:rPr>
        <w:t xml:space="preserve">Der er desuden stillet krav om </w:t>
      </w:r>
      <w:r w:rsidR="00AC1FBF" w:rsidRPr="00927EE3">
        <w:rPr>
          <w:color w:val="000000" w:themeColor="text1"/>
          <w:szCs w:val="24"/>
        </w:rPr>
        <w:t xml:space="preserve">akkrediterede </w:t>
      </w:r>
      <w:r w:rsidR="00CF0154" w:rsidRPr="00927EE3">
        <w:rPr>
          <w:color w:val="000000" w:themeColor="text1"/>
          <w:szCs w:val="24"/>
        </w:rPr>
        <w:t>røggas</w:t>
      </w:r>
      <w:r w:rsidRPr="00927EE3">
        <w:rPr>
          <w:color w:val="000000" w:themeColor="text1"/>
          <w:szCs w:val="24"/>
        </w:rPr>
        <w:t>målinger</w:t>
      </w:r>
      <w:r w:rsidRPr="00927EE3">
        <w:rPr>
          <w:color w:val="000000" w:themeColor="text1"/>
        </w:rPr>
        <w:t xml:space="preserve"> </w:t>
      </w:r>
      <w:r w:rsidR="00CF0154" w:rsidRPr="00927EE3">
        <w:rPr>
          <w:color w:val="000000" w:themeColor="text1"/>
          <w:szCs w:val="24"/>
        </w:rPr>
        <w:t>til</w:t>
      </w:r>
      <w:r w:rsidRPr="00927EE3">
        <w:rPr>
          <w:color w:val="000000" w:themeColor="text1"/>
          <w:szCs w:val="24"/>
        </w:rPr>
        <w:t xml:space="preserve"> kontrol af de oplyste koncentrationer for udledning af NOx, NO</w:t>
      </w:r>
      <w:r w:rsidRPr="00927EE3">
        <w:rPr>
          <w:color w:val="000000" w:themeColor="text1"/>
          <w:szCs w:val="24"/>
          <w:vertAlign w:val="subscript"/>
        </w:rPr>
        <w:t>2</w:t>
      </w:r>
      <w:r w:rsidRPr="00927EE3">
        <w:rPr>
          <w:color w:val="000000" w:themeColor="text1"/>
          <w:szCs w:val="24"/>
        </w:rPr>
        <w:t xml:space="preserve"> og CO </w:t>
      </w:r>
      <w:r w:rsidR="00CC55C7" w:rsidRPr="00927EE3">
        <w:rPr>
          <w:color w:val="000000" w:themeColor="text1"/>
          <w:szCs w:val="24"/>
        </w:rPr>
        <w:t xml:space="preserve">på alle generatorer senest </w:t>
      </w:r>
      <w:r w:rsidR="00A81AF2" w:rsidRPr="00927EE3">
        <w:rPr>
          <w:color w:val="000000" w:themeColor="text1"/>
          <w:szCs w:val="24"/>
        </w:rPr>
        <w:t>4</w:t>
      </w:r>
      <w:r w:rsidR="00CC55C7" w:rsidRPr="00927EE3">
        <w:rPr>
          <w:color w:val="000000" w:themeColor="text1"/>
          <w:szCs w:val="24"/>
        </w:rPr>
        <w:t xml:space="preserve"> måneder efter driftsstart.</w:t>
      </w:r>
    </w:p>
    <w:p w14:paraId="04EA7639" w14:textId="77777777" w:rsidR="00D92A23" w:rsidRPr="004B14BD" w:rsidRDefault="00D92A23" w:rsidP="0011648A">
      <w:pPr>
        <w:rPr>
          <w:szCs w:val="24"/>
        </w:rPr>
      </w:pPr>
    </w:p>
    <w:p w14:paraId="26F6F290" w14:textId="37F79DDE" w:rsidR="00D92A23" w:rsidRPr="004B14BD" w:rsidRDefault="00D92A23" w:rsidP="00D92A23">
      <w:r w:rsidRPr="00D92A23">
        <w:t>Emission</w:t>
      </w:r>
      <w:r w:rsidR="004C1082">
        <w:t>erne</w:t>
      </w:r>
      <w:r w:rsidRPr="00D92A23">
        <w:t xml:space="preserve"> fundet ved præstationskontrol, som danner grundlag for overholdelse af B-værdierne skal fremsendes til tilsynsmyndigheden efter måling.</w:t>
      </w:r>
    </w:p>
    <w:p w14:paraId="08950E98" w14:textId="77777777" w:rsidR="00982602" w:rsidRPr="004B14BD" w:rsidRDefault="00982602" w:rsidP="00982602"/>
    <w:p w14:paraId="52EA1D88" w14:textId="50D526C8" w:rsidR="0011648A" w:rsidRPr="00311FF2" w:rsidRDefault="00982602" w:rsidP="00311FF2">
      <w:r w:rsidRPr="004B14BD">
        <w:t xml:space="preserve">Der er stillet vilkår om, at </w:t>
      </w:r>
      <w:r w:rsidR="00311FF2">
        <w:t xml:space="preserve">kommunen herudover, højst 1 gang årligt, kan kræve dokumentation for at de i vilkår 18 og 19 stillede </w:t>
      </w:r>
      <w:r w:rsidR="00952D1B">
        <w:t>luft</w:t>
      </w:r>
      <w:r w:rsidR="00311FF2">
        <w:t>vilkår er overholdt. Dokumentationen kan tillige kræves såfremt vilkår 18 eller 19 er overskredet.</w:t>
      </w:r>
    </w:p>
    <w:p w14:paraId="0E965528" w14:textId="77777777" w:rsidR="0043767C" w:rsidRDefault="0043767C" w:rsidP="00982602"/>
    <w:p w14:paraId="431D62D9" w14:textId="512B8B93" w:rsidR="002636BC" w:rsidRPr="004B14BD" w:rsidRDefault="006B0A0E" w:rsidP="00982602">
      <w:pPr>
        <w:rPr>
          <w:color w:val="000000" w:themeColor="text1"/>
          <w:szCs w:val="24"/>
        </w:rPr>
      </w:pPr>
      <w:r w:rsidRPr="004B14BD">
        <w:rPr>
          <w:color w:val="000000" w:themeColor="text1"/>
          <w:szCs w:val="24"/>
        </w:rPr>
        <w:t>Der er indsat vilkår om</w:t>
      </w:r>
      <w:r w:rsidR="00DE748D" w:rsidRPr="004B14BD">
        <w:rPr>
          <w:color w:val="000000" w:themeColor="text1"/>
          <w:szCs w:val="24"/>
        </w:rPr>
        <w:t>, at hvis der optræder fejl på en motor, som medfører øgede emissioner, skal motoren straks standses, og fejlen udbedres.</w:t>
      </w:r>
    </w:p>
    <w:p w14:paraId="74BEAE8F" w14:textId="376A0B82" w:rsidR="00C03A49" w:rsidRPr="004B14BD" w:rsidRDefault="00C03A49" w:rsidP="00071C87">
      <w:pPr>
        <w:rPr>
          <w:color w:val="FF0000"/>
          <w:szCs w:val="24"/>
        </w:rPr>
      </w:pPr>
    </w:p>
    <w:p w14:paraId="7A484E4B" w14:textId="18D6B927" w:rsidR="000D3488" w:rsidRPr="004B14BD" w:rsidRDefault="000D3488" w:rsidP="00071C87">
      <w:pPr>
        <w:rPr>
          <w:szCs w:val="24"/>
        </w:rPr>
      </w:pPr>
      <w:r w:rsidRPr="004B14BD">
        <w:rPr>
          <w:szCs w:val="24"/>
        </w:rPr>
        <w:t xml:space="preserve">Ovennævnte </w:t>
      </w:r>
      <w:r w:rsidR="00F2596B" w:rsidRPr="004B14BD">
        <w:rPr>
          <w:szCs w:val="24"/>
        </w:rPr>
        <w:t>vilkår er udover kravene i MCP-bekendtgørelsen.</w:t>
      </w:r>
    </w:p>
    <w:p w14:paraId="213041B8" w14:textId="77777777" w:rsidR="000D3488" w:rsidRPr="004B14BD" w:rsidRDefault="000D3488" w:rsidP="00071C87">
      <w:pPr>
        <w:rPr>
          <w:color w:val="FF0000"/>
          <w:szCs w:val="24"/>
        </w:rPr>
      </w:pPr>
    </w:p>
    <w:p w14:paraId="6267C14D" w14:textId="6526FA92" w:rsidR="005B49F4" w:rsidRPr="004B14BD" w:rsidRDefault="002D4BED" w:rsidP="005B49F4">
      <w:pPr>
        <w:rPr>
          <w:color w:val="000000" w:themeColor="text1"/>
        </w:rPr>
      </w:pPr>
      <w:r w:rsidRPr="004B14BD">
        <w:rPr>
          <w:color w:val="000000" w:themeColor="text1"/>
        </w:rPr>
        <w:t>For at sikre</w:t>
      </w:r>
      <w:r w:rsidR="00A617A9" w:rsidRPr="004B14BD">
        <w:rPr>
          <w:color w:val="000000" w:themeColor="text1"/>
        </w:rPr>
        <w:t>,</w:t>
      </w:r>
      <w:r w:rsidRPr="004B14BD">
        <w:rPr>
          <w:color w:val="000000" w:themeColor="text1"/>
        </w:rPr>
        <w:t xml:space="preserve"> at der i en helt ekstrem situation ikke er risiko for, at der er drift i et omfang, hvor omboende vil opleve gener, skal virksomheden udarbejde en beredskabsplan, der sættes i værk ved opstart af nøddrift</w:t>
      </w:r>
      <w:r w:rsidR="005B49F4" w:rsidRPr="004B14BD">
        <w:rPr>
          <w:color w:val="000000" w:themeColor="text1"/>
        </w:rPr>
        <w:t>.</w:t>
      </w:r>
      <w:r w:rsidR="005B49F4" w:rsidRPr="004B14BD">
        <w:t xml:space="preserve"> </w:t>
      </w:r>
      <w:r w:rsidR="001453A3" w:rsidRPr="004B14BD">
        <w:t xml:space="preserve">Planen skal </w:t>
      </w:r>
      <w:r w:rsidR="00F31F88" w:rsidRPr="004B14BD">
        <w:t xml:space="preserve">sikre, at der </w:t>
      </w:r>
      <w:r w:rsidR="00F31F88" w:rsidRPr="004B14BD">
        <w:rPr>
          <w:color w:val="000000" w:themeColor="text1"/>
        </w:rPr>
        <w:t xml:space="preserve">løbende sker en vurdering af konsekvenserne ved driften. Således skal </w:t>
      </w:r>
      <w:r w:rsidR="00681490">
        <w:rPr>
          <w:color w:val="000000" w:themeColor="text1"/>
        </w:rPr>
        <w:t xml:space="preserve">der </w:t>
      </w:r>
      <w:r w:rsidR="00F31F88" w:rsidRPr="004B14BD">
        <w:rPr>
          <w:color w:val="000000" w:themeColor="text1"/>
        </w:rPr>
        <w:t>indledes med en vurdering af, hvor lang tid strømudfaldet vil strække sig over. Hvis strømudfaldet vurderes at være af en vis varighed, skal der desuden vurderes på parametre som vejrforhold o.l. Beredskabsplanen skal opstille de kritiske parametre, der skal indgå i vurderingen, samt ved hvilke betingelser en udfasning/neddrosling af driften med nødstrømsanlægget skal overvejes. Planen skal indsendes til og godkendes af Høje-Taastrup Kommune inden driftsstart.</w:t>
      </w:r>
    </w:p>
    <w:p w14:paraId="416F9831" w14:textId="77777777" w:rsidR="005B49F4" w:rsidRPr="004B14BD" w:rsidRDefault="005B49F4" w:rsidP="005B49F4">
      <w:pPr>
        <w:rPr>
          <w:color w:val="000000" w:themeColor="text1"/>
        </w:rPr>
      </w:pPr>
    </w:p>
    <w:p w14:paraId="712E54E2" w14:textId="77777777" w:rsidR="005B49F4" w:rsidRPr="004B14BD" w:rsidRDefault="005B49F4" w:rsidP="005B49F4">
      <w:pPr>
        <w:rPr>
          <w:color w:val="000000" w:themeColor="text1"/>
        </w:rPr>
      </w:pPr>
      <w:r w:rsidRPr="004B14BD">
        <w:rPr>
          <w:color w:val="000000" w:themeColor="text1"/>
        </w:rPr>
        <w:t>Beredskabsplanen skal løbende opdateres, hvis der sker ændringer i procedurer, ansvar mv.</w:t>
      </w:r>
    </w:p>
    <w:p w14:paraId="31B344AF" w14:textId="262ABE3B" w:rsidR="000B6712" w:rsidRPr="004B14BD" w:rsidRDefault="00F477A5" w:rsidP="00A70417">
      <w:pPr>
        <w:pStyle w:val="Overskrift2"/>
      </w:pPr>
      <w:bookmarkStart w:id="42" w:name="_Toc120196519"/>
      <w:r w:rsidRPr="004B14BD">
        <w:t xml:space="preserve">2.8 </w:t>
      </w:r>
      <w:r w:rsidR="00071C87" w:rsidRPr="004B14BD">
        <w:t>L</w:t>
      </w:r>
      <w:r w:rsidR="000B6712" w:rsidRPr="004B14BD">
        <w:t>ugt</w:t>
      </w:r>
      <w:bookmarkEnd w:id="42"/>
    </w:p>
    <w:p w14:paraId="50D0AE5B" w14:textId="77777777" w:rsidR="00503A06" w:rsidRPr="004B14BD" w:rsidRDefault="00503A06" w:rsidP="00503A06"/>
    <w:p w14:paraId="79F8E109" w14:textId="54400637" w:rsidR="00F7295C" w:rsidRPr="004B14BD" w:rsidRDefault="00F7295C" w:rsidP="00811674">
      <w:r w:rsidRPr="004B14BD">
        <w:t xml:space="preserve">Kommunen vurderer, at der </w:t>
      </w:r>
      <w:r w:rsidR="00A64FBA" w:rsidRPr="004B14BD">
        <w:t xml:space="preserve">eventuelt </w:t>
      </w:r>
      <w:r w:rsidRPr="004B14BD">
        <w:t>vil kunne opstå lugt fra dieselmotorer</w:t>
      </w:r>
      <w:r w:rsidR="005C4CF8" w:rsidRPr="004B14BD">
        <w:t>, måske særligt hvis der er en fejl på motoren</w:t>
      </w:r>
      <w:r w:rsidRPr="004B14BD">
        <w:t xml:space="preserve">. </w:t>
      </w:r>
      <w:r w:rsidR="00A64FBA" w:rsidRPr="004B14BD">
        <w:t>Kommunen forventer dog ikke, at det vil være lugt af en sådan karakter, at det kan medføre gener i omgivelserne. For en sikkerhedsskyld fastsættes lugtgrænser.</w:t>
      </w:r>
    </w:p>
    <w:p w14:paraId="578DD4C2" w14:textId="77777777" w:rsidR="0018496C" w:rsidRPr="004B14BD" w:rsidRDefault="0018496C" w:rsidP="00811674"/>
    <w:p w14:paraId="726CED90" w14:textId="72AF551A" w:rsidR="00F7295C" w:rsidRPr="004B14BD" w:rsidRDefault="00F7295C" w:rsidP="00811674">
      <w:r w:rsidRPr="004B14BD">
        <w:t>Miljøstyrelsens lugtvejledning</w:t>
      </w:r>
      <w:r w:rsidR="006011EB" w:rsidRPr="004B14BD">
        <w:rPr>
          <w:rStyle w:val="Fodnotehenvisning"/>
          <w:szCs w:val="24"/>
        </w:rPr>
        <w:footnoteReference w:id="21"/>
      </w:r>
      <w:r w:rsidRPr="004B14BD">
        <w:t xml:space="preserve"> anfører, at der kan fastsættes vilkår om, at en virksomhed ikke må give anledning til lugtgener uden for virksomhedens eget areal. </w:t>
      </w:r>
      <w:r w:rsidR="00507026" w:rsidRPr="004B14BD">
        <w:t>Der er derfor fastsat et vilkår om,</w:t>
      </w:r>
      <w:r w:rsidR="0018496C" w:rsidRPr="004B14BD">
        <w:t xml:space="preserve"> </w:t>
      </w:r>
      <w:r w:rsidR="00507026" w:rsidRPr="004B14BD">
        <w:t>at virksomheden ikke må give anledning til et lugtbidrag i omgivelserne på mere end:</w:t>
      </w:r>
    </w:p>
    <w:p w14:paraId="5A6F82F3" w14:textId="77777777" w:rsidR="0018496C" w:rsidRPr="004B14BD" w:rsidRDefault="0018496C" w:rsidP="00811674"/>
    <w:p w14:paraId="57E2A340" w14:textId="4B60C4ED" w:rsidR="00F7295C" w:rsidRPr="004B14BD" w:rsidRDefault="00F7295C" w:rsidP="0018496C">
      <w:pPr>
        <w:pStyle w:val="Listeafsnit"/>
        <w:numPr>
          <w:ilvl w:val="0"/>
          <w:numId w:val="31"/>
        </w:numPr>
      </w:pPr>
      <w:r w:rsidRPr="004B14BD">
        <w:t>5 LE (lugtenheder)/m³, i boligområder og ved bolig i landzone</w:t>
      </w:r>
    </w:p>
    <w:p w14:paraId="2C9DA47E" w14:textId="5A04D1C0" w:rsidR="00F7295C" w:rsidRPr="004B14BD" w:rsidRDefault="00F7295C" w:rsidP="0018496C">
      <w:pPr>
        <w:pStyle w:val="Listeafsnit"/>
        <w:numPr>
          <w:ilvl w:val="0"/>
          <w:numId w:val="31"/>
        </w:numPr>
      </w:pPr>
      <w:r w:rsidRPr="004B14BD">
        <w:t>10 LE (lugtenheder)/m³, i erhvervsområde</w:t>
      </w:r>
    </w:p>
    <w:p w14:paraId="254C3399" w14:textId="17455AA9" w:rsidR="00507026" w:rsidRPr="004B14BD" w:rsidRDefault="00507026" w:rsidP="00811674">
      <w:bookmarkStart w:id="43" w:name="_Toc384208168"/>
    </w:p>
    <w:p w14:paraId="5AB3B68C" w14:textId="77CE69E4" w:rsidR="00507026" w:rsidRPr="004B14BD" w:rsidRDefault="00507026" w:rsidP="00811674">
      <w:r w:rsidRPr="004B14BD">
        <w:t>Midlingstiden er 1 minut ved beregning af lugtbidraget.</w:t>
      </w:r>
    </w:p>
    <w:p w14:paraId="20AD7E36" w14:textId="016AFE5F" w:rsidR="000B6712" w:rsidRPr="004B14BD" w:rsidRDefault="00F477A5" w:rsidP="00A45848">
      <w:pPr>
        <w:pStyle w:val="Overskrift2"/>
      </w:pPr>
      <w:bookmarkStart w:id="44" w:name="_Toc120196520"/>
      <w:r w:rsidRPr="004B14BD">
        <w:t xml:space="preserve">2.9 </w:t>
      </w:r>
      <w:r w:rsidR="000B6712" w:rsidRPr="004B14BD">
        <w:t>Affald</w:t>
      </w:r>
      <w:bookmarkEnd w:id="43"/>
      <w:bookmarkEnd w:id="44"/>
    </w:p>
    <w:p w14:paraId="00AD33E5" w14:textId="02F9A517" w:rsidR="00237738" w:rsidRPr="004B14BD" w:rsidRDefault="00237738" w:rsidP="00237738"/>
    <w:p w14:paraId="479FC1BF" w14:textId="29B582C1" w:rsidR="00083461" w:rsidRPr="004B14BD" w:rsidRDefault="00A3258D" w:rsidP="00083461">
      <w:pPr>
        <w:rPr>
          <w:color w:val="000000" w:themeColor="text1"/>
        </w:rPr>
      </w:pPr>
      <w:r w:rsidRPr="004B14BD">
        <w:rPr>
          <w:color w:val="000000" w:themeColor="text1"/>
        </w:rPr>
        <w:lastRenderedPageBreak/>
        <w:t xml:space="preserve">Driften af nødstrømsanlægget vil producere to fraktioner af farligt affald bestående af smøreolie og kølemidlet </w:t>
      </w:r>
      <w:r w:rsidR="002F60F6">
        <w:t>propylenglycol</w:t>
      </w:r>
      <w:r w:rsidRPr="004B14BD">
        <w:rPr>
          <w:color w:val="000000" w:themeColor="text1"/>
        </w:rPr>
        <w:t>.</w:t>
      </w:r>
      <w:r w:rsidR="00083461" w:rsidRPr="004B14BD">
        <w:rPr>
          <w:color w:val="000000" w:themeColor="text1"/>
        </w:rPr>
        <w:t xml:space="preserve"> Årligt vil der blive bortskaffet </w:t>
      </w:r>
      <w:r w:rsidRPr="004B14BD">
        <w:rPr>
          <w:color w:val="000000" w:themeColor="text1"/>
        </w:rPr>
        <w:t>7300</w:t>
      </w:r>
      <w:r w:rsidR="00083461" w:rsidRPr="004B14BD">
        <w:rPr>
          <w:color w:val="000000" w:themeColor="text1"/>
        </w:rPr>
        <w:t xml:space="preserve"> l smøreolie og </w:t>
      </w:r>
      <w:r w:rsidRPr="004B14BD">
        <w:rPr>
          <w:color w:val="000000" w:themeColor="text1"/>
        </w:rPr>
        <w:t>1800</w:t>
      </w:r>
      <w:r w:rsidR="00083461" w:rsidRPr="004B14BD">
        <w:rPr>
          <w:color w:val="000000" w:themeColor="text1"/>
        </w:rPr>
        <w:t xml:space="preserve"> l kølemiddel. Det farlige affald vil normalt ikke oplagres på grunden, men vil blive bortskaffet i forbindelse med service på anlægget.</w:t>
      </w:r>
    </w:p>
    <w:p w14:paraId="0E8A2A4A" w14:textId="77777777" w:rsidR="00A3258D" w:rsidRPr="004B14BD" w:rsidRDefault="00A3258D" w:rsidP="00083461">
      <w:pPr>
        <w:rPr>
          <w:color w:val="000000" w:themeColor="text1"/>
        </w:rPr>
      </w:pPr>
    </w:p>
    <w:p w14:paraId="38B716B5" w14:textId="0B11F4B8" w:rsidR="00083461" w:rsidRPr="004B14BD" w:rsidRDefault="00A3258D" w:rsidP="00A3258D">
      <w:pPr>
        <w:rPr>
          <w:color w:val="000000" w:themeColor="text1"/>
        </w:rPr>
      </w:pPr>
      <w:r w:rsidRPr="004B14BD">
        <w:rPr>
          <w:color w:val="000000" w:themeColor="text1"/>
        </w:rPr>
        <w:t>Høje-Taastrup Kommune stiller vilkår til</w:t>
      </w:r>
      <w:r w:rsidR="00083461" w:rsidRPr="004B14BD">
        <w:rPr>
          <w:color w:val="000000" w:themeColor="text1"/>
        </w:rPr>
        <w:t xml:space="preserve"> miljømæssig korrekt opbevaring af farligt affald for at </w:t>
      </w:r>
      <w:r w:rsidR="00AF3619" w:rsidRPr="004B14BD">
        <w:rPr>
          <w:color w:val="000000" w:themeColor="text1"/>
        </w:rPr>
        <w:t>sikre</w:t>
      </w:r>
      <w:r w:rsidR="00083461" w:rsidRPr="004B14BD">
        <w:rPr>
          <w:color w:val="000000" w:themeColor="text1"/>
        </w:rPr>
        <w:t xml:space="preserve"> </w:t>
      </w:r>
      <w:r w:rsidRPr="004B14BD">
        <w:rPr>
          <w:color w:val="000000" w:themeColor="text1"/>
        </w:rPr>
        <w:t>mod forurening</w:t>
      </w:r>
      <w:r w:rsidR="00083461" w:rsidRPr="004B14BD">
        <w:rPr>
          <w:color w:val="000000" w:themeColor="text1"/>
        </w:rPr>
        <w:t xml:space="preserve"> a</w:t>
      </w:r>
      <w:r w:rsidRPr="004B14BD">
        <w:rPr>
          <w:color w:val="000000" w:themeColor="text1"/>
        </w:rPr>
        <w:t>f</w:t>
      </w:r>
      <w:r w:rsidR="00083461" w:rsidRPr="004B14BD">
        <w:rPr>
          <w:color w:val="000000" w:themeColor="text1"/>
        </w:rPr>
        <w:t xml:space="preserve"> jord</w:t>
      </w:r>
      <w:r w:rsidRPr="004B14BD">
        <w:rPr>
          <w:color w:val="000000" w:themeColor="text1"/>
        </w:rPr>
        <w:t xml:space="preserve">, </w:t>
      </w:r>
      <w:r w:rsidR="00083461" w:rsidRPr="004B14BD">
        <w:rPr>
          <w:color w:val="000000" w:themeColor="text1"/>
        </w:rPr>
        <w:t xml:space="preserve">grundvand </w:t>
      </w:r>
      <w:r w:rsidRPr="004B14BD">
        <w:rPr>
          <w:color w:val="000000" w:themeColor="text1"/>
        </w:rPr>
        <w:t>og</w:t>
      </w:r>
      <w:r w:rsidR="00083461" w:rsidRPr="004B14BD">
        <w:rPr>
          <w:color w:val="000000" w:themeColor="text1"/>
        </w:rPr>
        <w:t xml:space="preserve"> overfladevand. </w:t>
      </w:r>
    </w:p>
    <w:p w14:paraId="6A455719" w14:textId="0057F0C5" w:rsidR="000B6712" w:rsidRPr="00C90764" w:rsidRDefault="00F477A5" w:rsidP="00A45848">
      <w:pPr>
        <w:pStyle w:val="Overskrift2"/>
        <w:rPr>
          <w:color w:val="000000" w:themeColor="text1"/>
        </w:rPr>
      </w:pPr>
      <w:bookmarkStart w:id="45" w:name="_Toc384208169"/>
      <w:bookmarkStart w:id="46" w:name="_Toc120196521"/>
      <w:r w:rsidRPr="00C90764">
        <w:rPr>
          <w:color w:val="000000" w:themeColor="text1"/>
        </w:rPr>
        <w:t xml:space="preserve">2.10 </w:t>
      </w:r>
      <w:r w:rsidR="000B6712" w:rsidRPr="00C90764">
        <w:rPr>
          <w:color w:val="000000" w:themeColor="text1"/>
        </w:rPr>
        <w:t>Beskyttelse af jord, grundvand og overfladevand</w:t>
      </w:r>
      <w:bookmarkEnd w:id="45"/>
      <w:bookmarkEnd w:id="46"/>
    </w:p>
    <w:p w14:paraId="48BC5F73" w14:textId="77777777" w:rsidR="00D724D7" w:rsidRPr="004B14BD" w:rsidRDefault="00D724D7" w:rsidP="00D724D7"/>
    <w:p w14:paraId="772AF8F7" w14:textId="0BC854C4" w:rsidR="004C5FCE" w:rsidRPr="004B14BD" w:rsidRDefault="004C5FCE" w:rsidP="004C5FCE">
      <w:pPr>
        <w:rPr>
          <w:szCs w:val="24"/>
        </w:rPr>
      </w:pPr>
      <w:r w:rsidRPr="004B14BD">
        <w:rPr>
          <w:szCs w:val="24"/>
        </w:rPr>
        <w:t>Nødstrømsanlægget giver primært anledning til risiko for øget forurening af omgivelserne ved</w:t>
      </w:r>
      <w:r w:rsidR="00F6667C" w:rsidRPr="004B14BD">
        <w:rPr>
          <w:szCs w:val="24"/>
        </w:rPr>
        <w:t xml:space="preserve"> </w:t>
      </w:r>
      <w:r w:rsidRPr="004B14BD">
        <w:rPr>
          <w:szCs w:val="24"/>
        </w:rPr>
        <w:t xml:space="preserve">transport af og brug af dieselolie til generatorerne, opbevaring i og påfyldning af dieseltankene samt ved lækage af generatorerne, der indeholder kølervæske og smøreolie. </w:t>
      </w:r>
    </w:p>
    <w:p w14:paraId="3AB3B0CC" w14:textId="77777777" w:rsidR="004C5FCE" w:rsidRPr="004B14BD" w:rsidRDefault="004C5FCE" w:rsidP="004C5FCE">
      <w:pPr>
        <w:rPr>
          <w:color w:val="FF0000"/>
          <w:szCs w:val="24"/>
        </w:rPr>
      </w:pPr>
    </w:p>
    <w:p w14:paraId="677E8FF7" w14:textId="77777777" w:rsidR="004C5FCE" w:rsidRPr="004B14BD" w:rsidRDefault="000B6712" w:rsidP="00811674">
      <w:pPr>
        <w:rPr>
          <w:color w:val="000000" w:themeColor="text1"/>
        </w:rPr>
      </w:pPr>
      <w:r w:rsidRPr="004B14BD">
        <w:t xml:space="preserve">Virksomheden er beliggende i et område med særlige drikkevandsinteresser (OSD). Det betyder, at kommunen har særligt fokus på aktiviteter, der kan forurene jorden og grundvandet, herunder håndtering og opbevaring af olie og kemikalier. </w:t>
      </w:r>
      <w:r w:rsidR="0019702B" w:rsidRPr="004B14BD">
        <w:rPr>
          <w:color w:val="000000" w:themeColor="text1"/>
        </w:rPr>
        <w:t xml:space="preserve">Det er derfor vigtigt at stille vilkår om </w:t>
      </w:r>
      <w:r w:rsidR="00377466" w:rsidRPr="004B14BD">
        <w:rPr>
          <w:color w:val="000000" w:themeColor="text1"/>
        </w:rPr>
        <w:t>drift og vedligehold af dieselolietanke med tilhørende teknisk</w:t>
      </w:r>
      <w:r w:rsidR="0019702B" w:rsidRPr="004B14BD">
        <w:rPr>
          <w:color w:val="000000" w:themeColor="text1"/>
        </w:rPr>
        <w:t xml:space="preserve">e </w:t>
      </w:r>
      <w:r w:rsidR="00377466" w:rsidRPr="004B14BD">
        <w:rPr>
          <w:color w:val="000000" w:themeColor="text1"/>
        </w:rPr>
        <w:t>anlæg</w:t>
      </w:r>
      <w:r w:rsidR="00F05312" w:rsidRPr="004B14BD">
        <w:rPr>
          <w:color w:val="000000" w:themeColor="text1"/>
        </w:rPr>
        <w:t xml:space="preserve">, </w:t>
      </w:r>
      <w:r w:rsidR="004C5FCE" w:rsidRPr="004B14BD">
        <w:rPr>
          <w:color w:val="000000" w:themeColor="text1"/>
        </w:rPr>
        <w:t xml:space="preserve">og </w:t>
      </w:r>
      <w:r w:rsidR="00F05312" w:rsidRPr="004B14BD">
        <w:rPr>
          <w:color w:val="000000" w:themeColor="text1"/>
        </w:rPr>
        <w:t xml:space="preserve">om </w:t>
      </w:r>
      <w:r w:rsidR="0019702B" w:rsidRPr="004B14BD">
        <w:rPr>
          <w:color w:val="000000" w:themeColor="text1"/>
        </w:rPr>
        <w:t xml:space="preserve">drift og vedligehold af </w:t>
      </w:r>
      <w:r w:rsidR="00377466" w:rsidRPr="004B14BD">
        <w:rPr>
          <w:color w:val="000000" w:themeColor="text1"/>
        </w:rPr>
        <w:t>spildevandsanlæ</w:t>
      </w:r>
      <w:r w:rsidR="0019702B" w:rsidRPr="004B14BD">
        <w:rPr>
          <w:color w:val="000000" w:themeColor="text1"/>
        </w:rPr>
        <w:t xml:space="preserve">g samt tilhørende alarmanordninger. </w:t>
      </w:r>
    </w:p>
    <w:p w14:paraId="47CB2E05" w14:textId="77777777" w:rsidR="004C5FCE" w:rsidRPr="004B14BD" w:rsidRDefault="004C5FCE" w:rsidP="00811674">
      <w:pPr>
        <w:rPr>
          <w:color w:val="000000" w:themeColor="text1"/>
        </w:rPr>
      </w:pPr>
    </w:p>
    <w:p w14:paraId="6BAD14CE" w14:textId="31F7FC80" w:rsidR="004C5FCE" w:rsidRPr="004B14BD" w:rsidRDefault="0019702B" w:rsidP="004C5FCE">
      <w:r w:rsidRPr="004B14BD">
        <w:rPr>
          <w:color w:val="000000" w:themeColor="text1"/>
        </w:rPr>
        <w:t xml:space="preserve">Der er meddelt særskilt tilslutningstilladelse til regn- og spildevand fra datacentret i tilslutningstilladelse af </w:t>
      </w:r>
      <w:r w:rsidR="00667304" w:rsidRPr="004B14BD">
        <w:rPr>
          <w:color w:val="000000" w:themeColor="text1"/>
        </w:rPr>
        <w:t>18. november 2022</w:t>
      </w:r>
      <w:r w:rsidRPr="004B14BD">
        <w:rPr>
          <w:color w:val="000000" w:themeColor="text1"/>
        </w:rPr>
        <w:t>, hvor krav til indretning, drift og vedligehold af olieudskillere, bassiner mv. fremgår.</w:t>
      </w:r>
    </w:p>
    <w:p w14:paraId="03B1C2B8" w14:textId="77777777" w:rsidR="004C5FCE" w:rsidRPr="004B14BD" w:rsidRDefault="004C5FCE" w:rsidP="00811674">
      <w:pPr>
        <w:rPr>
          <w:color w:val="FF0000"/>
        </w:rPr>
      </w:pPr>
    </w:p>
    <w:p w14:paraId="63D9F575" w14:textId="0FD8ADC2" w:rsidR="00377466" w:rsidRPr="004B14BD" w:rsidRDefault="00442D69" w:rsidP="00811674">
      <w:pPr>
        <w:rPr>
          <w:color w:val="FF0000"/>
        </w:rPr>
      </w:pPr>
      <w:r w:rsidRPr="004B14BD">
        <w:rPr>
          <w:color w:val="000000" w:themeColor="text1"/>
        </w:rPr>
        <w:t>Nødstrømsgeneratorerne placeres i lukkede generatorgårde, der er sammenbygget med hver datahal</w:t>
      </w:r>
      <w:r w:rsidR="00A6619D">
        <w:rPr>
          <w:color w:val="000000" w:themeColor="text1"/>
        </w:rPr>
        <w:t xml:space="preserve"> (colo)</w:t>
      </w:r>
      <w:r w:rsidRPr="004B14BD">
        <w:rPr>
          <w:color w:val="000000" w:themeColor="text1"/>
        </w:rPr>
        <w:t xml:space="preserve">. </w:t>
      </w:r>
      <w:r w:rsidR="00377466" w:rsidRPr="004B14BD">
        <w:rPr>
          <w:color w:val="000000" w:themeColor="text1"/>
        </w:rPr>
        <w:t xml:space="preserve">Hver generator har et dieseltankanlæg på </w:t>
      </w:r>
      <w:r w:rsidR="00B31DDE" w:rsidRPr="004B14BD">
        <w:rPr>
          <w:color w:val="000000" w:themeColor="text1"/>
        </w:rPr>
        <w:t>28</w:t>
      </w:r>
      <w:r w:rsidR="00377466" w:rsidRPr="004B14BD">
        <w:rPr>
          <w:color w:val="000000" w:themeColor="text1"/>
        </w:rPr>
        <w:t xml:space="preserve"> m</w:t>
      </w:r>
      <w:r w:rsidR="00377466" w:rsidRPr="004B14BD">
        <w:rPr>
          <w:color w:val="000000" w:themeColor="text1"/>
          <w:vertAlign w:val="superscript"/>
        </w:rPr>
        <w:t>3</w:t>
      </w:r>
      <w:r w:rsidR="00377466" w:rsidRPr="004B14BD">
        <w:rPr>
          <w:color w:val="000000" w:themeColor="text1"/>
        </w:rPr>
        <w:t xml:space="preserve"> tilkoblet udover et mindre anlæg på </w:t>
      </w:r>
      <w:r w:rsidR="00B31DDE" w:rsidRPr="004B14BD">
        <w:rPr>
          <w:color w:val="000000" w:themeColor="text1"/>
        </w:rPr>
        <w:t>5</w:t>
      </w:r>
      <w:r w:rsidR="00377466" w:rsidRPr="004B14BD">
        <w:rPr>
          <w:color w:val="000000" w:themeColor="text1"/>
        </w:rPr>
        <w:t xml:space="preserve"> m</w:t>
      </w:r>
      <w:r w:rsidR="00377466" w:rsidRPr="004B14BD">
        <w:rPr>
          <w:color w:val="000000" w:themeColor="text1"/>
          <w:vertAlign w:val="superscript"/>
        </w:rPr>
        <w:t>3</w:t>
      </w:r>
      <w:r w:rsidR="00377466" w:rsidRPr="004B14BD">
        <w:rPr>
          <w:color w:val="000000" w:themeColor="text1"/>
        </w:rPr>
        <w:t xml:space="preserve"> til administrationsbygning</w:t>
      </w:r>
      <w:r w:rsidR="000E3F5E" w:rsidRPr="004B14BD">
        <w:rPr>
          <w:color w:val="000000" w:themeColor="text1"/>
        </w:rPr>
        <w:t>en</w:t>
      </w:r>
      <w:r w:rsidR="00377466" w:rsidRPr="004B14BD">
        <w:rPr>
          <w:color w:val="000000" w:themeColor="text1"/>
        </w:rPr>
        <w:t xml:space="preserve"> (</w:t>
      </w:r>
      <w:r w:rsidR="00E97877" w:rsidRPr="004B14BD">
        <w:rPr>
          <w:color w:val="000000" w:themeColor="text1"/>
        </w:rPr>
        <w:t>17</w:t>
      </w:r>
      <w:r w:rsidR="00377466" w:rsidRPr="004B14BD">
        <w:rPr>
          <w:color w:val="000000" w:themeColor="text1"/>
        </w:rPr>
        <w:t xml:space="preserve"> dobbeltvæggede</w:t>
      </w:r>
      <w:r w:rsidR="000E3F5E" w:rsidRPr="004B14BD">
        <w:rPr>
          <w:color w:val="000000" w:themeColor="text1"/>
        </w:rPr>
        <w:t xml:space="preserve">, overjordiske </w:t>
      </w:r>
      <w:r w:rsidR="00377466" w:rsidRPr="004B14BD">
        <w:rPr>
          <w:color w:val="000000" w:themeColor="text1"/>
        </w:rPr>
        <w:t xml:space="preserve">dieseltanke). Den samlede oplagsmængde af dieselolie for hele virksomheden vil være på </w:t>
      </w:r>
      <w:r w:rsidR="00974D1C" w:rsidRPr="004B14BD">
        <w:rPr>
          <w:color w:val="000000" w:themeColor="text1"/>
        </w:rPr>
        <w:t>453 m</w:t>
      </w:r>
      <w:r w:rsidR="00974D1C" w:rsidRPr="004B14BD">
        <w:rPr>
          <w:color w:val="000000" w:themeColor="text1"/>
          <w:vertAlign w:val="superscript"/>
        </w:rPr>
        <w:t>3</w:t>
      </w:r>
      <w:r w:rsidR="00377466" w:rsidRPr="004B14BD">
        <w:rPr>
          <w:color w:val="000000" w:themeColor="text1"/>
        </w:rPr>
        <w:t xml:space="preserve">. Dieseltankene er placeret </w:t>
      </w:r>
      <w:r w:rsidR="005E114D" w:rsidRPr="004B14BD">
        <w:rPr>
          <w:color w:val="000000" w:themeColor="text1"/>
        </w:rPr>
        <w:t>på et stålskelet hævet fra jorden. Det er</w:t>
      </w:r>
      <w:r w:rsidR="00EA00EE">
        <w:rPr>
          <w:color w:val="000000" w:themeColor="text1"/>
        </w:rPr>
        <w:t xml:space="preserve"> </w:t>
      </w:r>
      <w:r w:rsidR="005E114D" w:rsidRPr="004B14BD">
        <w:rPr>
          <w:color w:val="000000" w:themeColor="text1"/>
        </w:rPr>
        <w:t>ikke muligt at kigge ind under tankene. Alle</w:t>
      </w:r>
      <w:r w:rsidR="00932B96" w:rsidRPr="004B14BD">
        <w:rPr>
          <w:color w:val="000000" w:themeColor="text1"/>
        </w:rPr>
        <w:t xml:space="preserve"> øvrige</w:t>
      </w:r>
      <w:r w:rsidR="005E114D" w:rsidRPr="004B14BD">
        <w:rPr>
          <w:color w:val="000000" w:themeColor="text1"/>
        </w:rPr>
        <w:t xml:space="preserve"> sider og top</w:t>
      </w:r>
      <w:r w:rsidR="00932B96" w:rsidRPr="004B14BD">
        <w:rPr>
          <w:color w:val="000000" w:themeColor="text1"/>
        </w:rPr>
        <w:t>pen af tankene</w:t>
      </w:r>
      <w:r w:rsidR="005E114D" w:rsidRPr="004B14BD">
        <w:rPr>
          <w:color w:val="000000" w:themeColor="text1"/>
        </w:rPr>
        <w:t xml:space="preserve"> vil dog være synlig </w:t>
      </w:r>
      <w:r w:rsidR="005E114D" w:rsidRPr="004B14BD">
        <w:t>for inspektion.</w:t>
      </w:r>
      <w:r w:rsidR="00377466" w:rsidRPr="004B14BD">
        <w:t xml:space="preserve"> </w:t>
      </w:r>
      <w:r w:rsidR="00932B96" w:rsidRPr="004B14BD">
        <w:t xml:space="preserve">Generatorgårde er </w:t>
      </w:r>
      <w:r w:rsidR="00377466" w:rsidRPr="004B14BD">
        <w:t>tæt befæstet med beton</w:t>
      </w:r>
      <w:r w:rsidRPr="004B14BD">
        <w:t xml:space="preserve"> med kontrolleret afledning til OBU-anlæg med overvågning og videre til bassiner</w:t>
      </w:r>
      <w:r w:rsidR="00377466" w:rsidRPr="004B14BD">
        <w:t xml:space="preserve">. </w:t>
      </w:r>
      <w:r w:rsidR="0022304A" w:rsidRPr="004B14BD">
        <w:t xml:space="preserve">Der vil udelukkende ledes olie til olieudskillere ved spild. Der er i forbindelse med tilslutningstilladelsen stillet indretningskrav for olieudskilleranlæggene i form af overvågning og alarmer for højt væskeniveau, olielagstykkelse samt lækagealarm. Derudover </w:t>
      </w:r>
      <w:r w:rsidR="001D3185" w:rsidRPr="004B14BD">
        <w:t>vil der blive</w:t>
      </w:r>
      <w:r w:rsidR="0022304A" w:rsidRPr="004B14BD">
        <w:t xml:space="preserve"> installeret automatisk lukkemekanisme (flydelukke) i olieudskillerne, som lukker når maksimal væskestand er nået. Endvidere </w:t>
      </w:r>
      <w:r w:rsidR="001D3185" w:rsidRPr="004B14BD">
        <w:t>vil der blive</w:t>
      </w:r>
      <w:r w:rsidR="0022304A" w:rsidRPr="004B14BD">
        <w:t xml:space="preserve"> installeret en automatisk spærreventil mellem forsinkelsesbassin og udløb til HTK Kloak A/S’s regnvandssystem, der tilkoble</w:t>
      </w:r>
      <w:r w:rsidR="00EE52AE" w:rsidRPr="004B14BD">
        <w:t>s</w:t>
      </w:r>
      <w:r w:rsidR="0022304A" w:rsidRPr="004B14BD">
        <w:t xml:space="preserve"> virksomhedens SRO-anlæg og kan aktiveres ved større spild fra fx generatorgård. </w:t>
      </w:r>
    </w:p>
    <w:p w14:paraId="7F96E3A9" w14:textId="2762AA95" w:rsidR="0019702B" w:rsidRPr="004B14BD" w:rsidRDefault="0019702B" w:rsidP="00377466">
      <w:pPr>
        <w:rPr>
          <w:color w:val="FF0000"/>
          <w:szCs w:val="24"/>
        </w:rPr>
      </w:pPr>
    </w:p>
    <w:p w14:paraId="0475DD7D" w14:textId="74083887" w:rsidR="00D66239" w:rsidRPr="004B14BD" w:rsidRDefault="009C7C26" w:rsidP="00811674">
      <w:r w:rsidRPr="004B14BD">
        <w:t>Dieselt</w:t>
      </w:r>
      <w:r w:rsidR="00934C2D" w:rsidRPr="004B14BD">
        <w:t>ankene er omfattet af olietankbekendtgørelsen</w:t>
      </w:r>
      <w:r w:rsidR="00A83C47" w:rsidRPr="004B14BD">
        <w:t>, og det er oplyst i ansøgningen, at tankene lever op til alle krav i bekendtgørelsen</w:t>
      </w:r>
      <w:r w:rsidR="00934C2D" w:rsidRPr="004B14BD">
        <w:t>.</w:t>
      </w:r>
      <w:r w:rsidRPr="004B14BD">
        <w:t xml:space="preserve"> </w:t>
      </w:r>
      <w:r w:rsidR="00C30135" w:rsidRPr="004B14BD">
        <w:t xml:space="preserve">Det betyder bl.a., at tankene skal være typegodkendte. </w:t>
      </w:r>
      <w:r w:rsidR="00592638" w:rsidRPr="004B14BD">
        <w:t>Der skal i henhold til olietank</w:t>
      </w:r>
      <w:r w:rsidR="001B0F23" w:rsidRPr="004B14BD">
        <w:t>bekendtgørelsen indsendes en kopi af tankattester til kommunen, når tankene er etableret.</w:t>
      </w:r>
      <w:r w:rsidR="00984700" w:rsidRPr="004B14BD">
        <w:t xml:space="preserve"> </w:t>
      </w:r>
      <w:r w:rsidR="00B16659" w:rsidRPr="004B14BD">
        <w:t xml:space="preserve">Af tankattesten skal det fremgå, at tankene overholder krav til mærkning i olietankbekendtgørelsen. </w:t>
      </w:r>
      <w:r w:rsidR="00D76F23" w:rsidRPr="004B14BD">
        <w:t xml:space="preserve">Derudover bør virksomheden især være opmærksomhed på kapitel 8 i </w:t>
      </w:r>
      <w:r w:rsidR="00942CA7" w:rsidRPr="004B14BD">
        <w:t>olietank</w:t>
      </w:r>
      <w:r w:rsidR="00D76F23" w:rsidRPr="004B14BD">
        <w:t>bekendtgørelsen, der fastsætter krav til egenkontrol, vedligeholdelse m.v., på anlæggets olietank</w:t>
      </w:r>
      <w:r w:rsidR="00942CA7" w:rsidRPr="004B14BD">
        <w:t>e</w:t>
      </w:r>
      <w:r w:rsidR="00D76F23" w:rsidRPr="004B14BD">
        <w:t xml:space="preserve">. </w:t>
      </w:r>
      <w:r w:rsidR="00984700" w:rsidRPr="004B14BD">
        <w:rPr>
          <w:color w:val="000000" w:themeColor="text1"/>
        </w:rPr>
        <w:t xml:space="preserve">Øvrige krav </w:t>
      </w:r>
      <w:r w:rsidR="00D76F23" w:rsidRPr="004B14BD">
        <w:rPr>
          <w:color w:val="000000" w:themeColor="text1"/>
        </w:rPr>
        <w:t xml:space="preserve">til tankene </w:t>
      </w:r>
      <w:r w:rsidR="00984700" w:rsidRPr="004B14BD">
        <w:rPr>
          <w:color w:val="000000" w:themeColor="text1"/>
        </w:rPr>
        <w:t>i henhold til olietankbekendtgørelsen fremgår af afsnittet</w:t>
      </w:r>
      <w:r w:rsidR="00F9458A" w:rsidRPr="004B14BD">
        <w:rPr>
          <w:color w:val="000000" w:themeColor="text1"/>
        </w:rPr>
        <w:t xml:space="preserve"> ”</w:t>
      </w:r>
      <w:r w:rsidR="00255060" w:rsidRPr="004B14BD">
        <w:rPr>
          <w:color w:val="000000" w:themeColor="text1"/>
        </w:rPr>
        <w:t xml:space="preserve">Regler </w:t>
      </w:r>
      <w:r w:rsidR="00F9458A" w:rsidRPr="004B14BD">
        <w:rPr>
          <w:color w:val="000000" w:themeColor="text1"/>
        </w:rPr>
        <w:t xml:space="preserve">i </w:t>
      </w:r>
      <w:r w:rsidR="00B52001" w:rsidRPr="004B14BD">
        <w:rPr>
          <w:color w:val="000000" w:themeColor="text1"/>
        </w:rPr>
        <w:t>MCP-bekendtgørelsen</w:t>
      </w:r>
      <w:r w:rsidR="00F9458A" w:rsidRPr="004B14BD">
        <w:t xml:space="preserve"> og olietankbekendtgørelsen”</w:t>
      </w:r>
      <w:r w:rsidR="00D76F23" w:rsidRPr="004B14BD">
        <w:t xml:space="preserve"> i nærværende miljøgodkendelse</w:t>
      </w:r>
      <w:r w:rsidR="00AF0914" w:rsidRPr="004B14BD">
        <w:t>.</w:t>
      </w:r>
    </w:p>
    <w:p w14:paraId="70B08A2E" w14:textId="77777777" w:rsidR="009C7C26" w:rsidRPr="004B14BD" w:rsidRDefault="009C7C26" w:rsidP="00811674">
      <w:pPr>
        <w:rPr>
          <w:color w:val="FF0000"/>
        </w:rPr>
      </w:pPr>
    </w:p>
    <w:p w14:paraId="08CB35F1" w14:textId="77777777" w:rsidR="00C41F3B" w:rsidRDefault="00C41F3B" w:rsidP="00811674">
      <w:pPr>
        <w:rPr>
          <w:color w:val="000000" w:themeColor="text1"/>
        </w:rPr>
      </w:pPr>
    </w:p>
    <w:p w14:paraId="3304ADA6" w14:textId="77777777" w:rsidR="00C41F3B" w:rsidRDefault="00C41F3B" w:rsidP="00811674">
      <w:pPr>
        <w:rPr>
          <w:color w:val="000000" w:themeColor="text1"/>
        </w:rPr>
      </w:pPr>
    </w:p>
    <w:p w14:paraId="23E7E539" w14:textId="77777777" w:rsidR="00C41F3B" w:rsidRDefault="00C41F3B" w:rsidP="00811674">
      <w:pPr>
        <w:rPr>
          <w:color w:val="000000" w:themeColor="text1"/>
        </w:rPr>
      </w:pPr>
    </w:p>
    <w:p w14:paraId="5BF1CF6A" w14:textId="3620E40C" w:rsidR="00C41F3B" w:rsidRDefault="00C41F3B" w:rsidP="00811674">
      <w:pPr>
        <w:rPr>
          <w:color w:val="000000" w:themeColor="text1"/>
        </w:rPr>
      </w:pPr>
      <w:r>
        <w:rPr>
          <w:noProof/>
        </w:rPr>
        <w:drawing>
          <wp:inline distT="0" distB="0" distL="0" distR="0" wp14:anchorId="26D96CB7" wp14:editId="76143A35">
            <wp:extent cx="3763113" cy="4377251"/>
            <wp:effectExtent l="0" t="0" r="8890" b="444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71182" cy="4386636"/>
                    </a:xfrm>
                    <a:prstGeom prst="rect">
                      <a:avLst/>
                    </a:prstGeom>
                  </pic:spPr>
                </pic:pic>
              </a:graphicData>
            </a:graphic>
          </wp:inline>
        </w:drawing>
      </w:r>
    </w:p>
    <w:p w14:paraId="22A644E8" w14:textId="0CAF9709" w:rsidR="00C41F3B" w:rsidRDefault="0079521A" w:rsidP="00811674">
      <w:pPr>
        <w:rPr>
          <w:color w:val="000000" w:themeColor="text1"/>
        </w:rPr>
      </w:pPr>
      <w:r w:rsidRPr="0079521A">
        <w:rPr>
          <w:color w:val="000000" w:themeColor="text1"/>
        </w:rPr>
        <w:t xml:space="preserve">Figur 2. </w:t>
      </w:r>
      <w:r>
        <w:rPr>
          <w:color w:val="000000" w:themeColor="text1"/>
        </w:rPr>
        <w:t xml:space="preserve">Udsnit af generatorgård på den vestlige side af datahallerne. På den østlige side af datahallerne vil indretningen være spejlvendt, og græsarealet udenfor generatorgården </w:t>
      </w:r>
      <w:r w:rsidR="007411D8">
        <w:rPr>
          <w:color w:val="000000" w:themeColor="text1"/>
        </w:rPr>
        <w:t xml:space="preserve">vil </w:t>
      </w:r>
      <w:r>
        <w:rPr>
          <w:color w:val="000000" w:themeColor="text1"/>
        </w:rPr>
        <w:t xml:space="preserve">være mindre. </w:t>
      </w:r>
    </w:p>
    <w:p w14:paraId="5823C2F2" w14:textId="77777777" w:rsidR="00C41F3B" w:rsidRDefault="00C41F3B" w:rsidP="00811674">
      <w:pPr>
        <w:rPr>
          <w:color w:val="000000" w:themeColor="text1"/>
        </w:rPr>
      </w:pPr>
    </w:p>
    <w:p w14:paraId="25DEC492" w14:textId="43DEDF27" w:rsidR="00A57A3D" w:rsidRPr="004B14BD" w:rsidRDefault="001B0F23" w:rsidP="00811674">
      <w:pPr>
        <w:rPr>
          <w:color w:val="000000" w:themeColor="text1"/>
        </w:rPr>
      </w:pPr>
      <w:r w:rsidRPr="004B14BD">
        <w:rPr>
          <w:color w:val="000000" w:themeColor="text1"/>
        </w:rPr>
        <w:t>Dieseltanke, generatorgårde og generatorcontainerne er etableret med en række forebyggende og forureningsbegrænsende foranstaltninger:</w:t>
      </w:r>
      <w:r w:rsidR="00A57A3D" w:rsidRPr="004B14BD">
        <w:rPr>
          <w:color w:val="000000" w:themeColor="text1"/>
        </w:rPr>
        <w:t xml:space="preserve"> </w:t>
      </w:r>
    </w:p>
    <w:p w14:paraId="2B3A9B1D" w14:textId="28CDC90E" w:rsidR="00A57A3D" w:rsidRPr="004B14BD" w:rsidRDefault="00A57A3D" w:rsidP="00811674"/>
    <w:p w14:paraId="025D6AAD" w14:textId="26D63790" w:rsidR="00A57A3D" w:rsidRPr="004B14BD" w:rsidRDefault="00A57A3D" w:rsidP="008D24AA">
      <w:pPr>
        <w:pStyle w:val="Listeafsnit"/>
        <w:numPr>
          <w:ilvl w:val="0"/>
          <w:numId w:val="20"/>
        </w:numPr>
      </w:pPr>
      <w:r w:rsidRPr="004B14BD">
        <w:t xml:space="preserve">Dobbeltvæggede tanke med </w:t>
      </w:r>
      <w:r w:rsidR="003B4B31" w:rsidRPr="004B14BD">
        <w:t xml:space="preserve">alarm for overfyldning, trykfald og </w:t>
      </w:r>
      <w:r w:rsidRPr="004B14BD">
        <w:t>lækage tilkoblet</w:t>
      </w:r>
      <w:r w:rsidR="002222F4" w:rsidRPr="004B14BD">
        <w:t xml:space="preserve"> </w:t>
      </w:r>
      <w:r w:rsidRPr="004B14BD">
        <w:t>virksomhedens SRO-anlæg</w:t>
      </w:r>
      <w:r w:rsidR="00D27E72" w:rsidRPr="004B14BD">
        <w:t>.</w:t>
      </w:r>
    </w:p>
    <w:p w14:paraId="1B0BAC62" w14:textId="4C2FACEE" w:rsidR="00A57A3D" w:rsidRPr="004B14BD" w:rsidRDefault="003C3D89" w:rsidP="008D24AA">
      <w:pPr>
        <w:pStyle w:val="Listeafsnit"/>
        <w:numPr>
          <w:ilvl w:val="0"/>
          <w:numId w:val="20"/>
        </w:numPr>
      </w:pPr>
      <w:r w:rsidRPr="004B14BD">
        <w:t>R</w:t>
      </w:r>
      <w:r w:rsidR="00D27E72" w:rsidRPr="004B14BD">
        <w:t>ør</w:t>
      </w:r>
      <w:r w:rsidRPr="004B14BD">
        <w:t xml:space="preserve"> til diesel fra tilslutningskabinet</w:t>
      </w:r>
      <w:r w:rsidR="00D27E72" w:rsidRPr="004B14BD">
        <w:t xml:space="preserve"> til </w:t>
      </w:r>
      <w:r w:rsidRPr="004B14BD">
        <w:t>tanke</w:t>
      </w:r>
      <w:r w:rsidR="00D27E72" w:rsidRPr="004B14BD">
        <w:t xml:space="preserve"> er d</w:t>
      </w:r>
      <w:r w:rsidR="003B4B31" w:rsidRPr="004B14BD">
        <w:t>obbeltvægge</w:t>
      </w:r>
      <w:r w:rsidR="00D27E72" w:rsidRPr="004B14BD">
        <w:t>de</w:t>
      </w:r>
      <w:r w:rsidR="003D1857" w:rsidRPr="004B14BD">
        <w:t xml:space="preserve"> og etableret indenfor konturen af den tætte betonbelægning i generatorgården</w:t>
      </w:r>
      <w:r w:rsidR="00B63339" w:rsidRPr="004B14BD">
        <w:t>.</w:t>
      </w:r>
    </w:p>
    <w:p w14:paraId="02724160" w14:textId="3AE92623" w:rsidR="003C3D89" w:rsidRPr="004B14BD" w:rsidRDefault="003C3D89" w:rsidP="008D24AA">
      <w:pPr>
        <w:pStyle w:val="Listeafsnit"/>
        <w:numPr>
          <w:ilvl w:val="0"/>
          <w:numId w:val="20"/>
        </w:numPr>
      </w:pPr>
      <w:r w:rsidRPr="004B14BD">
        <w:t>Rør fra dieseltank til generator er lodret. Røret er udelukkende væskefyldt, når generator er i drift. Røret er enkel</w:t>
      </w:r>
      <w:r w:rsidR="004A58D0" w:rsidRPr="004B14BD">
        <w:t>tvægget.</w:t>
      </w:r>
    </w:p>
    <w:p w14:paraId="29E0EC0B" w14:textId="1F9879D6" w:rsidR="00A57A3D" w:rsidRPr="004B14BD" w:rsidRDefault="004337D3" w:rsidP="008D24AA">
      <w:pPr>
        <w:pStyle w:val="Listeafsnit"/>
        <w:numPr>
          <w:ilvl w:val="0"/>
          <w:numId w:val="20"/>
        </w:numPr>
      </w:pPr>
      <w:r w:rsidRPr="004B14BD">
        <w:t xml:space="preserve">Hver nødgenerator vil blive installeret i sin egen container, </w:t>
      </w:r>
      <w:r w:rsidR="00A57A3D" w:rsidRPr="004B14BD">
        <w:t xml:space="preserve">som </w:t>
      </w:r>
      <w:r w:rsidRPr="004B14BD">
        <w:t xml:space="preserve">fungerer som </w:t>
      </w:r>
      <w:r w:rsidR="00A57A3D" w:rsidRPr="004B14BD">
        <w:t xml:space="preserve">spildbakke i forhold til </w:t>
      </w:r>
      <w:r w:rsidRPr="004B14BD">
        <w:t xml:space="preserve">hele mængden af </w:t>
      </w:r>
      <w:r w:rsidR="00A57A3D" w:rsidRPr="004B14BD">
        <w:t xml:space="preserve">smøreolie, kølemiddel og diesel </w:t>
      </w:r>
      <w:r w:rsidRPr="004B14BD">
        <w:t xml:space="preserve">påfyldt den enkelte </w:t>
      </w:r>
      <w:r w:rsidR="00A57A3D" w:rsidRPr="004B14BD">
        <w:t>generator</w:t>
      </w:r>
      <w:r w:rsidR="003D1857" w:rsidRPr="004B14BD">
        <w:t>.</w:t>
      </w:r>
    </w:p>
    <w:p w14:paraId="7DB807B5" w14:textId="42D6E364" w:rsidR="008D24AA" w:rsidRPr="004B14BD" w:rsidRDefault="003C4C44" w:rsidP="00811674">
      <w:pPr>
        <w:pStyle w:val="Listeafsnit"/>
        <w:numPr>
          <w:ilvl w:val="0"/>
          <w:numId w:val="20"/>
        </w:numPr>
      </w:pPr>
      <w:r w:rsidRPr="004B14BD">
        <w:t xml:space="preserve">Distributionstransformere i generatorgårde </w:t>
      </w:r>
      <w:r w:rsidR="00A54F80" w:rsidRPr="004B14BD">
        <w:t xml:space="preserve">er </w:t>
      </w:r>
      <w:r w:rsidRPr="004B14BD">
        <w:t>forud monteret på en skinne</w:t>
      </w:r>
      <w:r w:rsidR="00A54F80" w:rsidRPr="004B14BD">
        <w:t>, som placeres hen over en grav/fordybning</w:t>
      </w:r>
      <w:r w:rsidR="003137A2" w:rsidRPr="004B14BD">
        <w:t xml:space="preserve"> i generatorgården. Graven/fordybningen kan </w:t>
      </w:r>
      <w:r w:rsidR="00A54F80" w:rsidRPr="004B14BD">
        <w:t>rumme indholdet af transformerolie i den enkelte transformer.</w:t>
      </w:r>
      <w:r w:rsidR="00163933" w:rsidRPr="004B14BD">
        <w:t xml:space="preserve"> </w:t>
      </w:r>
      <w:r w:rsidR="00A002EB" w:rsidRPr="004B14BD">
        <w:t>Transformergraven afvandes via en lille pumpe, som dræner vand til overfladevandsystemet. Der er indbygget en sensor, som stopper pumpning, hvis der detekteres olie. Pumpen er tilknyttet virksomhedens SRO-anlæg.</w:t>
      </w:r>
      <w:r w:rsidR="007C0108" w:rsidRPr="004B14BD">
        <w:t xml:space="preserve"> Der er stillet </w:t>
      </w:r>
      <w:r w:rsidR="004F7A54" w:rsidRPr="004B14BD">
        <w:t>vilkår om pumpen i tilslutningstilladelsen.</w:t>
      </w:r>
    </w:p>
    <w:p w14:paraId="51A8377B" w14:textId="77777777" w:rsidR="00B63339" w:rsidRPr="004B14BD" w:rsidRDefault="00B63339" w:rsidP="00811674"/>
    <w:p w14:paraId="47FA8322" w14:textId="6C7DF195" w:rsidR="004337D3" w:rsidRPr="004B14BD" w:rsidRDefault="002E18A4" w:rsidP="004337D3">
      <w:r w:rsidRPr="004B14BD">
        <w:lastRenderedPageBreak/>
        <w:t xml:space="preserve">Påfyldning af diesel sker på tæt belægning med kontrolleret afledning til OBU-anlæg med overvågning og videre til bassiner. </w:t>
      </w:r>
      <w:r w:rsidR="00996059" w:rsidRPr="004B14BD">
        <w:t>Der forventes at forekomme 2</w:t>
      </w:r>
      <w:r w:rsidR="00304CB9" w:rsidRPr="004B14BD">
        <w:t>-3</w:t>
      </w:r>
      <w:r w:rsidR="00996059" w:rsidRPr="004B14BD">
        <w:t xml:space="preserve"> årlige påfyldninger på tankene. </w:t>
      </w:r>
      <w:r w:rsidR="004337D3" w:rsidRPr="004B14BD">
        <w:t>Tankning fra tankbil til tank sker via såkaldte</w:t>
      </w:r>
      <w:r w:rsidR="00E86B91" w:rsidRPr="004B14BD">
        <w:t xml:space="preserve"> </w:t>
      </w:r>
      <w:r w:rsidR="004337D3" w:rsidRPr="004B14BD">
        <w:t>”</w:t>
      </w:r>
      <w:r w:rsidR="00E86B91" w:rsidRPr="004B14BD">
        <w:t>fuel filing cabinets</w:t>
      </w:r>
      <w:r w:rsidR="004337D3" w:rsidRPr="004B14BD">
        <w:t>”</w:t>
      </w:r>
      <w:r w:rsidR="00E86B91" w:rsidRPr="004B14BD">
        <w:t>, som kan oversættes til et tilslutningskabinet</w:t>
      </w:r>
      <w:r w:rsidR="004337D3" w:rsidRPr="004B14BD">
        <w:t>,</w:t>
      </w:r>
      <w:r w:rsidR="00E86B91" w:rsidRPr="004B14BD">
        <w:t xml:space="preserve"> som placeres i forbindelse med sikkerhedshegnet/visuel skærm.</w:t>
      </w:r>
      <w:r w:rsidR="004337D3" w:rsidRPr="004B14BD">
        <w:t xml:space="preserve"> </w:t>
      </w:r>
      <w:r w:rsidR="00DE2419" w:rsidRPr="004B14BD">
        <w:t xml:space="preserve">Der opstilles 1 kabinet til hver generator/dieseltank. </w:t>
      </w:r>
      <w:r w:rsidR="004337D3" w:rsidRPr="004B14BD">
        <w:t>Indretning af påfyldningsområde og påfyldningsprocedure er etableret med en række forebyggende og forureningsbegrænsende foranstaltninger:</w:t>
      </w:r>
    </w:p>
    <w:p w14:paraId="0554BE80" w14:textId="77777777" w:rsidR="004337D3" w:rsidRPr="004B14BD" w:rsidRDefault="004337D3" w:rsidP="004337D3"/>
    <w:p w14:paraId="69F4B0B4" w14:textId="72F71B60" w:rsidR="008D24AA" w:rsidRPr="004B14BD" w:rsidRDefault="00DE2419" w:rsidP="008D24AA">
      <w:pPr>
        <w:pStyle w:val="Listeafsnit"/>
        <w:numPr>
          <w:ilvl w:val="0"/>
          <w:numId w:val="24"/>
        </w:numPr>
      </w:pPr>
      <w:r w:rsidRPr="004B14BD">
        <w:t>Tilslutningskabinettet placeres bag en aflåst luge på sikkerhedshegnet.</w:t>
      </w:r>
    </w:p>
    <w:p w14:paraId="0CE21F93" w14:textId="5D7676B2" w:rsidR="00DE2419" w:rsidRPr="004B14BD" w:rsidRDefault="00DE2419" w:rsidP="008D24AA">
      <w:pPr>
        <w:pStyle w:val="Listeafsnit"/>
        <w:numPr>
          <w:ilvl w:val="0"/>
          <w:numId w:val="24"/>
        </w:numPr>
      </w:pPr>
      <w:r w:rsidRPr="004B14BD">
        <w:t>Kabinettet er placeret på beton (en del af den store drænede betonflade, hvor også generatorer/tanke er placeret).</w:t>
      </w:r>
    </w:p>
    <w:p w14:paraId="24B4700B" w14:textId="28F9DDC8" w:rsidR="00DE2419" w:rsidRPr="004B14BD" w:rsidRDefault="00DE2419" w:rsidP="008D24AA">
      <w:pPr>
        <w:pStyle w:val="Listeafsnit"/>
        <w:numPr>
          <w:ilvl w:val="0"/>
          <w:numId w:val="24"/>
        </w:numPr>
      </w:pPr>
      <w:r w:rsidRPr="004B14BD">
        <w:t>Tilslutning til kabinet sker via e</w:t>
      </w:r>
      <w:r w:rsidR="002D4F3A" w:rsidRPr="004B14BD">
        <w:t>t</w:t>
      </w:r>
      <w:r w:rsidRPr="004B14BD">
        <w:t xml:space="preserve"> fast stik (Camlock, han DN80), der er monteret kontraventil</w:t>
      </w:r>
      <w:r w:rsidR="001E3D85" w:rsidRPr="004B14BD">
        <w:t xml:space="preserve">, som </w:t>
      </w:r>
      <w:r w:rsidRPr="004B14BD">
        <w:t>hindrer tilbageløb</w:t>
      </w:r>
      <w:r w:rsidR="001E3D85" w:rsidRPr="004B14BD">
        <w:t xml:space="preserve"> til kabinet</w:t>
      </w:r>
      <w:r w:rsidRPr="004B14BD">
        <w:t>.</w:t>
      </w:r>
    </w:p>
    <w:p w14:paraId="27CD5E0A" w14:textId="75963909" w:rsidR="00F22A5E" w:rsidRPr="004B14BD" w:rsidRDefault="00F22A5E" w:rsidP="00F22A5E">
      <w:pPr>
        <w:pStyle w:val="Listeafsnit"/>
        <w:numPr>
          <w:ilvl w:val="0"/>
          <w:numId w:val="24"/>
        </w:numPr>
      </w:pPr>
      <w:r w:rsidRPr="004B14BD">
        <w:t>Under kabine</w:t>
      </w:r>
      <w:r w:rsidR="00034148" w:rsidRPr="004B14BD">
        <w:t>t</w:t>
      </w:r>
      <w:r w:rsidRPr="004B14BD">
        <w:t>t</w:t>
      </w:r>
      <w:r w:rsidR="001E3D85" w:rsidRPr="004B14BD">
        <w:t>et</w:t>
      </w:r>
      <w:r w:rsidRPr="004B14BD">
        <w:t xml:space="preserve"> er der en drypbakke, som kan indeholde evt. </w:t>
      </w:r>
      <w:r w:rsidR="001E3D85" w:rsidRPr="004B14BD">
        <w:t>spild</w:t>
      </w:r>
      <w:r w:rsidRPr="004B14BD">
        <w:t xml:space="preserve"> og</w:t>
      </w:r>
      <w:r w:rsidR="001E3D85" w:rsidRPr="004B14BD">
        <w:t xml:space="preserve"> evt. tilbageløb af diesel i</w:t>
      </w:r>
      <w:r w:rsidRPr="004B14BD">
        <w:t xml:space="preserve"> den del af røret, hvor væske kan strømme bagud mod kabinet</w:t>
      </w:r>
      <w:r w:rsidR="00E82388" w:rsidRPr="004B14BD">
        <w:t>tet</w:t>
      </w:r>
      <w:r w:rsidRPr="004B14BD">
        <w:t>.</w:t>
      </w:r>
    </w:p>
    <w:p w14:paraId="3E49CBAD" w14:textId="6216EAF8" w:rsidR="006E568C" w:rsidRPr="00D13E0E" w:rsidRDefault="00975899" w:rsidP="00BE59A2">
      <w:pPr>
        <w:pStyle w:val="Listeafsnit"/>
        <w:numPr>
          <w:ilvl w:val="0"/>
          <w:numId w:val="24"/>
        </w:numPr>
        <w:rPr>
          <w:color w:val="FF0000"/>
        </w:rPr>
      </w:pPr>
      <w:r w:rsidRPr="004B14BD">
        <w:t>Ved tankning af diesel parkeres tankbil på Strongphalt.</w:t>
      </w:r>
      <w:r w:rsidR="006E568C" w:rsidRPr="004B14BD">
        <w:t xml:space="preserve"> Strongphalt er asfalt, som opfyldes med beton, og har nogle forbedrede egenskaber i forhold til alm. asfalt, men også i forhold til en betonoverflade. Den kan udlægges uden samlinger, velegnet til overflader med høj statisk belastning, har en tæt struktur, som giver en høj modstandsdygtighed over for slid og kemikalier.</w:t>
      </w:r>
    </w:p>
    <w:p w14:paraId="145964A5" w14:textId="51A47338" w:rsidR="00D13E0E" w:rsidRPr="00D13E0E" w:rsidRDefault="00D13E0E" w:rsidP="00D13E0E">
      <w:pPr>
        <w:pStyle w:val="Listeafsnit"/>
        <w:numPr>
          <w:ilvl w:val="0"/>
          <w:numId w:val="24"/>
        </w:numPr>
      </w:pPr>
      <w:r w:rsidRPr="00D13E0E">
        <w:t>Adgang til påfyldningskabinet sker via betonplade som forbinder generatorgård med vej. Betonpladen har gradient mod vej.</w:t>
      </w:r>
    </w:p>
    <w:p w14:paraId="4476D81F" w14:textId="75C28D5E" w:rsidR="00D13E0E" w:rsidRPr="00D13E0E" w:rsidRDefault="00D13E0E" w:rsidP="00D13E0E">
      <w:pPr>
        <w:pStyle w:val="Listeafsnit"/>
        <w:numPr>
          <w:ilvl w:val="0"/>
          <w:numId w:val="24"/>
        </w:numPr>
      </w:pPr>
      <w:r w:rsidRPr="00D13E0E">
        <w:t>Der er 0,5 m ekstra betonplade som minimum på hver side af påfyldningsskabet.</w:t>
      </w:r>
    </w:p>
    <w:p w14:paraId="2441264E" w14:textId="104F8F3C" w:rsidR="00D13E0E" w:rsidRPr="00D13E0E" w:rsidRDefault="00D13E0E" w:rsidP="00D13E0E">
      <w:pPr>
        <w:pStyle w:val="Listeafsnit"/>
        <w:numPr>
          <w:ilvl w:val="0"/>
          <w:numId w:val="24"/>
        </w:numPr>
      </w:pPr>
      <w:r w:rsidRPr="00D13E0E">
        <w:t>I driftsmanualen for påfyldning af brændstof, som udarbejdes af Microsoft, vil der være angivet</w:t>
      </w:r>
      <w:r w:rsidR="00386EA5">
        <w:t>,</w:t>
      </w:r>
      <w:r w:rsidRPr="00D13E0E">
        <w:t xml:space="preserve"> at færdsel skal ske på betonen ved brændstofpåfyldning.</w:t>
      </w:r>
    </w:p>
    <w:p w14:paraId="33C30983" w14:textId="21591A3F" w:rsidR="006E568C" w:rsidRPr="000A0286" w:rsidRDefault="006E568C" w:rsidP="006E568C">
      <w:pPr>
        <w:pStyle w:val="Listeafsnit"/>
        <w:numPr>
          <w:ilvl w:val="0"/>
          <w:numId w:val="24"/>
        </w:numPr>
        <w:rPr>
          <w:color w:val="FF0000"/>
        </w:rPr>
      </w:pPr>
      <w:r w:rsidRPr="004B14BD">
        <w:t>Tankning sker altid overvåget</w:t>
      </w:r>
      <w:r w:rsidR="000A0286">
        <w:t xml:space="preserve"> via SRO (og alarm på kabinettet)</w:t>
      </w:r>
      <w:r w:rsidRPr="004B14BD">
        <w:t>.</w:t>
      </w:r>
    </w:p>
    <w:p w14:paraId="7250AEC9" w14:textId="4D2F68E2" w:rsidR="000A0286" w:rsidRPr="000A0286" w:rsidRDefault="000A0286" w:rsidP="006E568C">
      <w:pPr>
        <w:pStyle w:val="Listeafsnit"/>
        <w:numPr>
          <w:ilvl w:val="0"/>
          <w:numId w:val="24"/>
        </w:numPr>
      </w:pPr>
      <w:r w:rsidRPr="000A0286">
        <w:t>Tankning vil desuden også altid ske overvåget af specialuddannet tankbil operatør</w:t>
      </w:r>
      <w:r w:rsidR="00140AAD">
        <w:t>,</w:t>
      </w:r>
      <w:r w:rsidRPr="000A0286">
        <w:t xml:space="preserve"> og der vil være en supervisor fra Microsoft til stede ved påfyldning.</w:t>
      </w:r>
    </w:p>
    <w:p w14:paraId="0ECBC504" w14:textId="77777777" w:rsidR="006E568C" w:rsidRPr="004B14BD" w:rsidRDefault="006E568C" w:rsidP="006E568C"/>
    <w:p w14:paraId="70136EAB" w14:textId="48FFE2C5" w:rsidR="00D47AD3" w:rsidRPr="004B14BD" w:rsidRDefault="006E568C" w:rsidP="006E568C">
      <w:pPr>
        <w:rPr>
          <w:color w:val="FF0000"/>
        </w:rPr>
      </w:pPr>
      <w:r w:rsidRPr="004B14BD">
        <w:t xml:space="preserve">I forhold til ovenstående vurderes </w:t>
      </w:r>
      <w:r w:rsidR="007128D8" w:rsidRPr="004B14BD">
        <w:t>Strongphalt</w:t>
      </w:r>
      <w:r w:rsidR="00914B67" w:rsidRPr="004B14BD">
        <w:t xml:space="preserve"> i denne sammenhæng </w:t>
      </w:r>
      <w:r w:rsidR="00C773F8" w:rsidRPr="004B14BD">
        <w:t xml:space="preserve">af Høje-Taastrup Kommune </w:t>
      </w:r>
      <w:r w:rsidR="00914B67" w:rsidRPr="004B14BD">
        <w:t xml:space="preserve">som tæt belægning. Ved et eventuelt spild, vil dieselolie ledes på asfalten </w:t>
      </w:r>
      <w:r w:rsidRPr="004B14BD">
        <w:t xml:space="preserve">ude på vejen </w:t>
      </w:r>
      <w:r w:rsidR="00914B67" w:rsidRPr="004B14BD">
        <w:t>langs kantstenen</w:t>
      </w:r>
      <w:r w:rsidR="00C773F8" w:rsidRPr="004B14BD">
        <w:t xml:space="preserve"> </w:t>
      </w:r>
      <w:r w:rsidR="00914B67" w:rsidRPr="004B14BD">
        <w:t>til nærmeste nedløbsrist</w:t>
      </w:r>
      <w:r w:rsidR="00292464" w:rsidRPr="004B14BD">
        <w:t xml:space="preserve"> og videre til OBU-anlæg og bassiner</w:t>
      </w:r>
      <w:r w:rsidR="00914B67" w:rsidRPr="004B14BD">
        <w:t>. Et eventuelt spild vil dermed udelukkende opholde sig på asfalten i kort tid. Der er ikke gennemsivning af olieprodukter på en asfaltbelægning, hvis olien er på belægningen i kort tid</w:t>
      </w:r>
      <w:r w:rsidR="00393BE2" w:rsidRPr="004B14BD">
        <w:t xml:space="preserve">. </w:t>
      </w:r>
      <w:r w:rsidR="00914B67" w:rsidRPr="004B14BD">
        <w:t>Det er først, når olien ligger i længere tid, at asfalten kan blive nedbrudt</w:t>
      </w:r>
      <w:r w:rsidR="00393BE2" w:rsidRPr="004B14BD">
        <w:rPr>
          <w:rStyle w:val="Fodnotehenvisning"/>
        </w:rPr>
        <w:footnoteReference w:id="22"/>
      </w:r>
      <w:r w:rsidR="00393BE2" w:rsidRPr="004B14BD">
        <w:t>.</w:t>
      </w:r>
      <w:r w:rsidR="00292464" w:rsidRPr="004B14BD">
        <w:t xml:space="preserve"> Det er til gengæld vigtigt, at samlinger og overgange </w:t>
      </w:r>
      <w:r w:rsidR="00C773F8" w:rsidRPr="004B14BD">
        <w:t xml:space="preserve">mellem forskellige tætte belægninger </w:t>
      </w:r>
      <w:r w:rsidRPr="004B14BD">
        <w:t>udføres korrekt</w:t>
      </w:r>
      <w:r w:rsidR="00292464" w:rsidRPr="004B14BD">
        <w:t xml:space="preserve">. </w:t>
      </w:r>
      <w:r w:rsidR="00975899" w:rsidRPr="004B14BD">
        <w:t xml:space="preserve">I forhold til overgange ved kantsten </w:t>
      </w:r>
      <w:r w:rsidR="00C773F8" w:rsidRPr="004B14BD">
        <w:t xml:space="preserve">langs veje </w:t>
      </w:r>
      <w:r w:rsidR="00975899" w:rsidRPr="004B14BD">
        <w:t xml:space="preserve">vil Strongphalt støde helt op til kantsten, og der vil være særlig fokus på at </w:t>
      </w:r>
      <w:r w:rsidR="00975899" w:rsidRPr="00180827">
        <w:rPr>
          <w:color w:val="000000" w:themeColor="text1"/>
        </w:rPr>
        <w:t xml:space="preserve">inspicere samlingen </w:t>
      </w:r>
      <w:r w:rsidR="002E18A4" w:rsidRPr="00180827">
        <w:rPr>
          <w:color w:val="000000" w:themeColor="text1"/>
        </w:rPr>
        <w:t xml:space="preserve">mellem asfalt og kantsten </w:t>
      </w:r>
      <w:r w:rsidR="00975899" w:rsidRPr="00180827">
        <w:rPr>
          <w:color w:val="000000" w:themeColor="text1"/>
        </w:rPr>
        <w:t xml:space="preserve">ved etablering af asfaltbelægningen. </w:t>
      </w:r>
      <w:r w:rsidR="00180827" w:rsidRPr="00180827">
        <w:rPr>
          <w:color w:val="000000" w:themeColor="text1"/>
        </w:rPr>
        <w:t>Der er desuden en samling mellem betonkantsten og betonflade</w:t>
      </w:r>
      <w:r w:rsidR="00180827">
        <w:rPr>
          <w:color w:val="000000" w:themeColor="text1"/>
        </w:rPr>
        <w:t>, som også skal være tæt.</w:t>
      </w:r>
    </w:p>
    <w:p w14:paraId="1A267F1E" w14:textId="77777777" w:rsidR="00292464" w:rsidRPr="004B14BD" w:rsidRDefault="00292464" w:rsidP="00292464">
      <w:pPr>
        <w:pStyle w:val="Listeafsnit"/>
        <w:rPr>
          <w:color w:val="FF0000"/>
        </w:rPr>
      </w:pPr>
    </w:p>
    <w:p w14:paraId="159706AA" w14:textId="050BC2BC" w:rsidR="00A57A3D" w:rsidRPr="004B14BD" w:rsidRDefault="005F0F8E" w:rsidP="00811674">
      <w:r w:rsidRPr="004B14BD">
        <w:t xml:space="preserve">Kommunen har vurderet, at der skal stilles vilkår om følgende for at </w:t>
      </w:r>
      <w:r w:rsidR="00A57A3D" w:rsidRPr="004B14BD">
        <w:t xml:space="preserve">forebygge mod forurening og sikre optimal drift af </w:t>
      </w:r>
      <w:r w:rsidR="002B0B4A" w:rsidRPr="004B14BD">
        <w:t>nødstrøms</w:t>
      </w:r>
      <w:r w:rsidR="00A57A3D" w:rsidRPr="004B14BD">
        <w:t>anlægget</w:t>
      </w:r>
      <w:r w:rsidR="001708AE" w:rsidRPr="004B14BD">
        <w:t>:</w:t>
      </w:r>
      <w:r w:rsidR="00A57A3D" w:rsidRPr="004B14BD">
        <w:t xml:space="preserve"> </w:t>
      </w:r>
    </w:p>
    <w:p w14:paraId="11DD04DE" w14:textId="16ADE1BF" w:rsidR="00A57A3D" w:rsidRPr="004B14BD" w:rsidRDefault="00A57A3D" w:rsidP="00811674">
      <w:pPr>
        <w:rPr>
          <w:color w:val="FF0000"/>
        </w:rPr>
      </w:pPr>
    </w:p>
    <w:p w14:paraId="2AB4E4BD" w14:textId="59B179AE" w:rsidR="00822E48" w:rsidRPr="004B14BD" w:rsidRDefault="00822E48" w:rsidP="00000059">
      <w:pPr>
        <w:pStyle w:val="Listeafsnit"/>
        <w:numPr>
          <w:ilvl w:val="0"/>
          <w:numId w:val="30"/>
        </w:numPr>
      </w:pPr>
      <w:r w:rsidRPr="004B14BD">
        <w:t xml:space="preserve">Krav om tætte belægninger i </w:t>
      </w:r>
      <w:r w:rsidR="003B78D5" w:rsidRPr="004B14BD">
        <w:t>områder med nødstrømsgeneratorer, dieseltanke og påfyldningsområder, hvor der er risiko for spild</w:t>
      </w:r>
      <w:r w:rsidRPr="004B14BD">
        <w:t xml:space="preserve">. </w:t>
      </w:r>
    </w:p>
    <w:p w14:paraId="1FE2B657" w14:textId="0FEEA14B" w:rsidR="003B78D5" w:rsidRPr="004B14BD" w:rsidRDefault="003B78D5" w:rsidP="003B78D5">
      <w:pPr>
        <w:pStyle w:val="Listeafsnit"/>
        <w:numPr>
          <w:ilvl w:val="0"/>
          <w:numId w:val="30"/>
        </w:numPr>
      </w:pPr>
      <w:r w:rsidRPr="004B14BD">
        <w:t xml:space="preserve">Årlig visuel kontrol af tætte belægninger samt samlinger mellem </w:t>
      </w:r>
      <w:r w:rsidR="00180827">
        <w:t>asfalt (</w:t>
      </w:r>
      <w:r w:rsidRPr="004B14BD">
        <w:t>Strongphalt</w:t>
      </w:r>
      <w:r w:rsidR="00180827">
        <w:t>)/kantsten</w:t>
      </w:r>
      <w:r w:rsidRPr="004B14BD">
        <w:t xml:space="preserve"> og kan</w:t>
      </w:r>
      <w:r w:rsidR="00E35D35">
        <w:t>t</w:t>
      </w:r>
      <w:r w:rsidRPr="004B14BD">
        <w:t>sten</w:t>
      </w:r>
      <w:r w:rsidR="00180827">
        <w:t>/beton</w:t>
      </w:r>
      <w:r w:rsidRPr="004B14BD">
        <w:t xml:space="preserve"> i områder, hvor der er risiko for spild. </w:t>
      </w:r>
    </w:p>
    <w:p w14:paraId="7F810F54" w14:textId="0C124892" w:rsidR="00024B96" w:rsidRPr="004B14BD" w:rsidRDefault="00024B96" w:rsidP="003B78D5">
      <w:pPr>
        <w:pStyle w:val="Listeafsnit"/>
        <w:numPr>
          <w:ilvl w:val="0"/>
          <w:numId w:val="30"/>
        </w:numPr>
      </w:pPr>
      <w:r w:rsidRPr="004B14BD">
        <w:t xml:space="preserve">Korrekt opbevaring af farligt affald, kemikalier og hjælpestoffer med sikring mod spild. </w:t>
      </w:r>
    </w:p>
    <w:p w14:paraId="642F7E5D" w14:textId="4B5CD1E9" w:rsidR="00000059" w:rsidRPr="004B14BD" w:rsidRDefault="00A14E71" w:rsidP="00000059">
      <w:pPr>
        <w:pStyle w:val="Listeafsnit"/>
        <w:numPr>
          <w:ilvl w:val="0"/>
          <w:numId w:val="30"/>
        </w:numPr>
      </w:pPr>
      <w:r>
        <w:lastRenderedPageBreak/>
        <w:t>D</w:t>
      </w:r>
      <w:r w:rsidR="00000059" w:rsidRPr="004B14BD">
        <w:t xml:space="preserve">ieseltanke skal være dobbeltvæggede med overvågning. </w:t>
      </w:r>
      <w:r w:rsidR="00CA43C0" w:rsidRPr="004B14BD">
        <w:t>Når tankene er dobbeltvæggede kræves der jf</w:t>
      </w:r>
      <w:r w:rsidR="00E35D35">
        <w:t>.</w:t>
      </w:r>
      <w:r w:rsidR="00CA43C0" w:rsidRPr="004B14BD">
        <w:t xml:space="preserve"> Olietankbekendtgørelsens § 42 stk</w:t>
      </w:r>
      <w:r w:rsidR="00E35D35">
        <w:t>.</w:t>
      </w:r>
      <w:r w:rsidR="00CA43C0" w:rsidRPr="004B14BD">
        <w:t xml:space="preserve"> 3 ikke tæthedsprøvning eller inspektion af anlæggene.</w:t>
      </w:r>
    </w:p>
    <w:p w14:paraId="6FFF8690" w14:textId="17A68C28" w:rsidR="007C0108" w:rsidRPr="004B14BD" w:rsidRDefault="007C0108" w:rsidP="007C0108">
      <w:pPr>
        <w:pStyle w:val="Listeafsnit"/>
        <w:numPr>
          <w:ilvl w:val="0"/>
          <w:numId w:val="30"/>
        </w:numPr>
      </w:pPr>
      <w:r w:rsidRPr="004B14BD">
        <w:t>Alle rør til dieselolie skal etableres indenfor konturen af den tætte belægning i generatorgårde. Rørene skal være hævet over jorden, så der er umiddelbar mulighed for visuel inspektion. Rørene skal være dobbeltvæggede med lækageovervågning og tilsluttet virksomhedens SRO-anlæg. Dog må rør fra dieseltank til generator være enkeltvægget. Rør fra dieseltank til generator skal være lodret og må udelukkende være væskefyldt ved drift af generator.</w:t>
      </w:r>
    </w:p>
    <w:p w14:paraId="6B5B90B4" w14:textId="1846FCCD" w:rsidR="007C0108" w:rsidRPr="004B14BD" w:rsidRDefault="007C0108" w:rsidP="007C0108">
      <w:pPr>
        <w:pStyle w:val="Listeafsnit"/>
        <w:numPr>
          <w:ilvl w:val="0"/>
          <w:numId w:val="30"/>
        </w:numPr>
        <w:rPr>
          <w:color w:val="000000" w:themeColor="text1"/>
        </w:rPr>
      </w:pPr>
      <w:r w:rsidRPr="004B14BD">
        <w:rPr>
          <w:color w:val="000000" w:themeColor="text1"/>
        </w:rPr>
        <w:t>Hver generatorcontainer skal kunne tilbageholde indholdet af smøreolie, kølemiddel og dieselolie påfyldt den enkelte generator.</w:t>
      </w:r>
    </w:p>
    <w:p w14:paraId="67106155" w14:textId="5A9A2C84" w:rsidR="00A57A3D" w:rsidRPr="00554462" w:rsidRDefault="005F0F8E" w:rsidP="00000059">
      <w:pPr>
        <w:pStyle w:val="Listeafsnit"/>
        <w:numPr>
          <w:ilvl w:val="0"/>
          <w:numId w:val="30"/>
        </w:numPr>
        <w:rPr>
          <w:color w:val="000000" w:themeColor="text1"/>
        </w:rPr>
      </w:pPr>
      <w:r w:rsidRPr="004B14BD">
        <w:t>Månedlig</w:t>
      </w:r>
      <w:r w:rsidR="00A57A3D" w:rsidRPr="004B14BD">
        <w:t xml:space="preserve"> inspektion af </w:t>
      </w:r>
      <w:r w:rsidR="0022304A" w:rsidRPr="004B14BD">
        <w:t>generator</w:t>
      </w:r>
      <w:r w:rsidR="00A57A3D" w:rsidRPr="004B14BD">
        <w:t xml:space="preserve">containeren for utilsigtet spild, lækage eller </w:t>
      </w:r>
      <w:r w:rsidR="00A57A3D" w:rsidRPr="00554462">
        <w:rPr>
          <w:color w:val="000000" w:themeColor="text1"/>
        </w:rPr>
        <w:t>korrosion</w:t>
      </w:r>
      <w:r w:rsidR="0048765C" w:rsidRPr="00554462">
        <w:rPr>
          <w:color w:val="000000" w:themeColor="text1"/>
        </w:rPr>
        <w:t>.</w:t>
      </w:r>
    </w:p>
    <w:p w14:paraId="7A72EBEB" w14:textId="4C4D5921" w:rsidR="00A57A3D" w:rsidRPr="00554462" w:rsidRDefault="00554462" w:rsidP="00000059">
      <w:pPr>
        <w:pStyle w:val="Listeafsnit"/>
        <w:numPr>
          <w:ilvl w:val="0"/>
          <w:numId w:val="30"/>
        </w:numPr>
        <w:rPr>
          <w:color w:val="000000" w:themeColor="text1"/>
        </w:rPr>
      </w:pPr>
      <w:r w:rsidRPr="00554462">
        <w:rPr>
          <w:color w:val="000000" w:themeColor="text1"/>
        </w:rPr>
        <w:t>Kontrol af t</w:t>
      </w:r>
      <w:r w:rsidR="00A57A3D" w:rsidRPr="00554462">
        <w:rPr>
          <w:color w:val="000000" w:themeColor="text1"/>
        </w:rPr>
        <w:t xml:space="preserve">æthed af </w:t>
      </w:r>
      <w:r w:rsidR="007C0108" w:rsidRPr="00554462">
        <w:rPr>
          <w:color w:val="000000" w:themeColor="text1"/>
        </w:rPr>
        <w:t>generator</w:t>
      </w:r>
      <w:r w:rsidR="00A57A3D" w:rsidRPr="00554462">
        <w:rPr>
          <w:color w:val="000000" w:themeColor="text1"/>
        </w:rPr>
        <w:t>container hver 10. år</w:t>
      </w:r>
      <w:r w:rsidR="0048765C" w:rsidRPr="00554462">
        <w:rPr>
          <w:color w:val="000000" w:themeColor="text1"/>
        </w:rPr>
        <w:t>.</w:t>
      </w:r>
    </w:p>
    <w:p w14:paraId="11F3721E" w14:textId="14F626F5" w:rsidR="007C0108" w:rsidRPr="004B14BD" w:rsidRDefault="007C0108" w:rsidP="00000059">
      <w:pPr>
        <w:pStyle w:val="Listeafsnit"/>
        <w:numPr>
          <w:ilvl w:val="0"/>
          <w:numId w:val="30"/>
        </w:numPr>
      </w:pPr>
      <w:r w:rsidRPr="004B14BD">
        <w:t xml:space="preserve">Krav om, at distributionstransformere skal placeres på tæt belægning med mulighed for opsamling af </w:t>
      </w:r>
      <w:r w:rsidR="00822E48" w:rsidRPr="004B14BD">
        <w:t>spild svarende til mængden af påfyldt transformerolie.</w:t>
      </w:r>
    </w:p>
    <w:p w14:paraId="435AF5D2" w14:textId="6BB290E8" w:rsidR="00D1384B" w:rsidRPr="004B14BD" w:rsidRDefault="00D935A5" w:rsidP="003C265C">
      <w:pPr>
        <w:pStyle w:val="Listeafsnit"/>
        <w:numPr>
          <w:ilvl w:val="0"/>
          <w:numId w:val="30"/>
        </w:numPr>
        <w:rPr>
          <w:color w:val="FF0000"/>
        </w:rPr>
      </w:pPr>
      <w:r w:rsidRPr="004B14BD">
        <w:t>Krav om</w:t>
      </w:r>
      <w:r w:rsidR="0022304A" w:rsidRPr="004B14BD">
        <w:t>, at</w:t>
      </w:r>
      <w:r w:rsidRPr="004B14BD">
        <w:t xml:space="preserve"> tankningsprocedure </w:t>
      </w:r>
      <w:r w:rsidR="003E07E3">
        <w:t>for</w:t>
      </w:r>
      <w:r w:rsidRPr="004B14BD">
        <w:t xml:space="preserve"> påfyldning af diesel til tanke foregår, som beskrevet i ansøgningen. </w:t>
      </w:r>
    </w:p>
    <w:p w14:paraId="0C22EA11" w14:textId="239C7FEF" w:rsidR="00C25340" w:rsidRPr="004B14BD" w:rsidRDefault="00C25340" w:rsidP="00C25340">
      <w:pPr>
        <w:pStyle w:val="Listeafsnit"/>
        <w:numPr>
          <w:ilvl w:val="0"/>
          <w:numId w:val="30"/>
        </w:numPr>
      </w:pPr>
      <w:r w:rsidRPr="004B14BD">
        <w:t xml:space="preserve">Krav om, at påfyldning af smøreolie, kølemiddel og tømning af spildolie på generatorer skal ske overvåget. </w:t>
      </w:r>
    </w:p>
    <w:p w14:paraId="45E4B59C" w14:textId="160FDA0C" w:rsidR="00585E58" w:rsidRPr="004B14BD" w:rsidRDefault="00585E58" w:rsidP="00C25340">
      <w:pPr>
        <w:pStyle w:val="Listeafsnit"/>
        <w:numPr>
          <w:ilvl w:val="0"/>
          <w:numId w:val="30"/>
        </w:numPr>
      </w:pPr>
      <w:r w:rsidRPr="004B14BD">
        <w:t>Krav om, at eventuelt spild skal opsamles, og olieudskillere/kloakbrønde skal tømmes, hvis spildet er ledt hertil. Kommunen skal underrettes hurtigst muligt ved spild af olie eller kemikalier.</w:t>
      </w:r>
    </w:p>
    <w:p w14:paraId="792CC790" w14:textId="41409915" w:rsidR="007B03B3" w:rsidRPr="004B14BD" w:rsidRDefault="007B03B3" w:rsidP="00C25340">
      <w:pPr>
        <w:pStyle w:val="Listeafsnit"/>
        <w:numPr>
          <w:ilvl w:val="0"/>
          <w:numId w:val="30"/>
        </w:numPr>
      </w:pPr>
      <w:r w:rsidRPr="004B14BD">
        <w:t>Krav om føring af driftsjournal i forhold til vilkår om beskyttelse af jord, grundvand og overfladevand.</w:t>
      </w:r>
    </w:p>
    <w:p w14:paraId="663D8AA6" w14:textId="7731B3BA" w:rsidR="00D66239" w:rsidRPr="004B14BD" w:rsidRDefault="00D66239" w:rsidP="00D66239"/>
    <w:p w14:paraId="74D875D3" w14:textId="20FE7E7A" w:rsidR="0071513C" w:rsidRPr="004B14BD" w:rsidRDefault="00D66239" w:rsidP="0071513C">
      <w:pPr>
        <w:rPr>
          <w:color w:val="000000" w:themeColor="text1"/>
        </w:rPr>
      </w:pPr>
      <w:r w:rsidRPr="004B14BD">
        <w:rPr>
          <w:color w:val="000000" w:themeColor="text1"/>
        </w:rPr>
        <w:t>Desuden har kommunen vurderet, at der i henhold til</w:t>
      </w:r>
      <w:r w:rsidR="0071513C" w:rsidRPr="004B14BD">
        <w:rPr>
          <w:color w:val="000000" w:themeColor="text1"/>
        </w:rPr>
        <w:t xml:space="preserve"> </w:t>
      </w:r>
      <w:r w:rsidRPr="004B14BD">
        <w:rPr>
          <w:color w:val="000000" w:themeColor="text1"/>
        </w:rPr>
        <w:t>godkendelsesbekendtgørelsens</w:t>
      </w:r>
      <w:r w:rsidRPr="004B14BD">
        <w:rPr>
          <w:rStyle w:val="Fodnotehenvisning"/>
          <w:color w:val="000000" w:themeColor="text1"/>
        </w:rPr>
        <w:footnoteReference w:id="23"/>
      </w:r>
      <w:r w:rsidRPr="004B14BD">
        <w:rPr>
          <w:color w:val="000000" w:themeColor="text1"/>
        </w:rPr>
        <w:t xml:space="preserve"> §22 stk. 2 skal fastsættes vilkår</w:t>
      </w:r>
      <w:r w:rsidR="005636E6" w:rsidRPr="004B14BD">
        <w:rPr>
          <w:color w:val="000000" w:themeColor="text1"/>
        </w:rPr>
        <w:t xml:space="preserve"> om</w:t>
      </w:r>
      <w:r w:rsidR="00894717">
        <w:rPr>
          <w:color w:val="000000" w:themeColor="text1"/>
        </w:rPr>
        <w:t xml:space="preserve"> t</w:t>
      </w:r>
      <w:r w:rsidR="005636E6" w:rsidRPr="004B14BD">
        <w:rPr>
          <w:color w:val="000000" w:themeColor="text1"/>
        </w:rPr>
        <w:t>æt</w:t>
      </w:r>
      <w:r w:rsidR="0071513C" w:rsidRPr="004B14BD">
        <w:rPr>
          <w:color w:val="000000" w:themeColor="text1"/>
        </w:rPr>
        <w:t xml:space="preserve">hedskontrol </w:t>
      </w:r>
      <w:r w:rsidR="00894717">
        <w:rPr>
          <w:color w:val="000000" w:themeColor="text1"/>
        </w:rPr>
        <w:t xml:space="preserve">hvert 10. år </w:t>
      </w:r>
      <w:r w:rsidR="0071513C" w:rsidRPr="004B14BD">
        <w:rPr>
          <w:color w:val="000000" w:themeColor="text1"/>
        </w:rPr>
        <w:t xml:space="preserve">af det samlede regnvands-afløbssystem fra generatorgårde og rendestensbrønde i veje til og med olieudskillere. Tæthedsprøvningen skal udføres i overensstemmelse med normen for tæthed af afløbssystemer, DS 455, eller tilsvarende norm. Ved anvendelse af DS 455 skal prøvningsperioden være på mindst en time. Hvis der konstateres lækage, skal afløbssystemet udbedres, så det ved en ny tæthedsprøvning og inden ibrugtagning konstateres tæt. </w:t>
      </w:r>
    </w:p>
    <w:p w14:paraId="495152BE" w14:textId="4FE01405" w:rsidR="0071513C" w:rsidRPr="004B14BD" w:rsidRDefault="0071513C" w:rsidP="00F22A5E">
      <w:pPr>
        <w:rPr>
          <w:color w:val="000000" w:themeColor="text1"/>
        </w:rPr>
      </w:pPr>
    </w:p>
    <w:p w14:paraId="5EC9C3EA" w14:textId="2F2D5401" w:rsidR="0005347B" w:rsidRPr="004B14BD" w:rsidRDefault="0071513C" w:rsidP="00F22A5E">
      <w:pPr>
        <w:rPr>
          <w:color w:val="000000" w:themeColor="text1"/>
        </w:rPr>
      </w:pPr>
      <w:r w:rsidRPr="004B14BD">
        <w:rPr>
          <w:color w:val="000000" w:themeColor="text1"/>
        </w:rPr>
        <w:t>Vilkår om</w:t>
      </w:r>
      <w:r w:rsidR="00405467">
        <w:rPr>
          <w:color w:val="000000" w:themeColor="text1"/>
        </w:rPr>
        <w:t xml:space="preserve"> t</w:t>
      </w:r>
      <w:r w:rsidRPr="004B14BD">
        <w:rPr>
          <w:color w:val="000000" w:themeColor="text1"/>
        </w:rPr>
        <w:t xml:space="preserve">æthedsprøvning </w:t>
      </w:r>
      <w:r w:rsidR="00405467">
        <w:rPr>
          <w:color w:val="000000" w:themeColor="text1"/>
        </w:rPr>
        <w:t xml:space="preserve">hvert 10. år </w:t>
      </w:r>
      <w:r w:rsidRPr="004B14BD">
        <w:rPr>
          <w:color w:val="000000" w:themeColor="text1"/>
        </w:rPr>
        <w:t xml:space="preserve">af regnvandssystemet er </w:t>
      </w:r>
      <w:r w:rsidR="0005347B" w:rsidRPr="004B14BD">
        <w:rPr>
          <w:color w:val="000000" w:themeColor="text1"/>
        </w:rPr>
        <w:t xml:space="preserve">en opfølgning af vilkår om tæthedsprøvning i tilslutningstilladelsen, hvor der er stillet krav om førstegangstæthedskontrol. </w:t>
      </w:r>
    </w:p>
    <w:p w14:paraId="626CEB37" w14:textId="3F5FF1BD" w:rsidR="0071513C" w:rsidRPr="004B14BD" w:rsidRDefault="0005347B" w:rsidP="00F22A5E">
      <w:pPr>
        <w:rPr>
          <w:color w:val="FF0000"/>
        </w:rPr>
      </w:pPr>
      <w:r w:rsidRPr="004B14BD">
        <w:rPr>
          <w:color w:val="FF0000"/>
        </w:rPr>
        <w:t xml:space="preserve"> </w:t>
      </w:r>
    </w:p>
    <w:p w14:paraId="292CE1D6" w14:textId="28038643" w:rsidR="000B6712" w:rsidRPr="004B14BD" w:rsidRDefault="006A48A6" w:rsidP="006A48A6">
      <w:r w:rsidRPr="004B14BD">
        <w:t>Kommunen vurderer</w:t>
      </w:r>
      <w:r w:rsidR="00CF014A" w:rsidRPr="004B14BD">
        <w:t xml:space="preserve"> herefter</w:t>
      </w:r>
      <w:r w:rsidRPr="004B14BD">
        <w:t>, at de indretninger og barrierer mod spild, der er beskrevet jf. ovenstående tilsammen med de stillede vilkår, er tilstrækkelig til at forhindre og forebygge forurening af jord og grundvand samt recipient.</w:t>
      </w:r>
    </w:p>
    <w:p w14:paraId="39E09FAB" w14:textId="1B92CBFE" w:rsidR="000B6712" w:rsidRPr="004B14BD" w:rsidRDefault="00F477A5" w:rsidP="008A12FB">
      <w:pPr>
        <w:pStyle w:val="Overskrift2"/>
      </w:pPr>
      <w:bookmarkStart w:id="47" w:name="_Toc120196522"/>
      <w:r w:rsidRPr="004B14BD">
        <w:t xml:space="preserve">2.11 </w:t>
      </w:r>
      <w:r w:rsidR="000B6712" w:rsidRPr="004B14BD">
        <w:t>Spildevand</w:t>
      </w:r>
      <w:bookmarkEnd w:id="47"/>
    </w:p>
    <w:p w14:paraId="69A88179" w14:textId="77777777" w:rsidR="00B56AB3" w:rsidRPr="004B14BD" w:rsidRDefault="00B56AB3" w:rsidP="00B56AB3"/>
    <w:p w14:paraId="01C30C1B" w14:textId="22128E1E" w:rsidR="00BE5937" w:rsidRPr="004B14BD" w:rsidRDefault="00BE5937" w:rsidP="00BE5937">
      <w:r w:rsidRPr="004B14BD">
        <w:t>I forbindelse med etablering af datacenteret er der meddelt separat tilslutningstilladelse efter miljøbeskyttelseslovens § 28, stk.</w:t>
      </w:r>
      <w:r w:rsidR="004012D4" w:rsidRPr="004B14BD">
        <w:t xml:space="preserve"> </w:t>
      </w:r>
      <w:r w:rsidRPr="004B14BD">
        <w:t xml:space="preserve">3 til håndtering af regnvand samt tilslutning af </w:t>
      </w:r>
      <w:r w:rsidR="004012D4" w:rsidRPr="004B14BD">
        <w:t>eventuelt fremtidigt kølevand</w:t>
      </w:r>
      <w:r w:rsidRPr="004B14BD">
        <w:t xml:space="preserve">. </w:t>
      </w:r>
    </w:p>
    <w:p w14:paraId="5291AAE1" w14:textId="77777777" w:rsidR="00BE5937" w:rsidRPr="004B14BD" w:rsidRDefault="00BE5937" w:rsidP="00BE5937"/>
    <w:p w14:paraId="3EFA995B" w14:textId="7A34D36C" w:rsidR="00BE5937" w:rsidRPr="004B14BD" w:rsidRDefault="00BE5937" w:rsidP="00BE5937">
      <w:r w:rsidRPr="004B14BD">
        <w:t>Tilladelsen indeholder krav om drift</w:t>
      </w:r>
      <w:r w:rsidR="004012D4" w:rsidRPr="004B14BD">
        <w:t xml:space="preserve">, </w:t>
      </w:r>
      <w:r w:rsidRPr="004B14BD">
        <w:t>vedligeholdelse</w:t>
      </w:r>
      <w:r w:rsidR="004012D4" w:rsidRPr="004B14BD">
        <w:t xml:space="preserve"> og overvågning</w:t>
      </w:r>
      <w:r w:rsidRPr="004B14BD">
        <w:t xml:space="preserve"> af olieudskilleranlægget, </w:t>
      </w:r>
      <w:r w:rsidR="004012D4" w:rsidRPr="004B14BD">
        <w:t xml:space="preserve">indretning af bassiner, etablering af spærreventiler ved udløb fra bassiner, </w:t>
      </w:r>
      <w:r w:rsidR="004012D4" w:rsidRPr="004B14BD">
        <w:lastRenderedPageBreak/>
        <w:t>etablering af spærreventiler i afløb i batterirum samt vurdering af eventuel udledning af brandslukningsvand fra batterirum.</w:t>
      </w:r>
      <w:r w:rsidRPr="004B14BD">
        <w:t xml:space="preserve"> </w:t>
      </w:r>
    </w:p>
    <w:p w14:paraId="59E921E6" w14:textId="77777777" w:rsidR="004012D4" w:rsidRPr="004B14BD" w:rsidRDefault="004012D4" w:rsidP="00BE5937"/>
    <w:p w14:paraId="56F24FEE" w14:textId="64C0F7A3" w:rsidR="000B6712" w:rsidRPr="004B14BD" w:rsidRDefault="00BE5937" w:rsidP="00BE5937">
      <w:r w:rsidRPr="004B14BD">
        <w:t>Der er ikke yderligere regulering af spildevandsforholdene i denne miljøgodkendelse.</w:t>
      </w:r>
      <w:r w:rsidR="000B6712" w:rsidRPr="004B14BD">
        <w:t xml:space="preserve"> </w:t>
      </w:r>
    </w:p>
    <w:p w14:paraId="74335D8A" w14:textId="2BAD2974" w:rsidR="001B6722" w:rsidRPr="004B14BD" w:rsidRDefault="000B6712" w:rsidP="00CF53C2">
      <w:pPr>
        <w:pStyle w:val="Overskrift2"/>
        <w:numPr>
          <w:ilvl w:val="1"/>
          <w:numId w:val="47"/>
        </w:numPr>
      </w:pPr>
      <w:bookmarkStart w:id="48" w:name="_Toc120196523"/>
      <w:r w:rsidRPr="004B14BD">
        <w:t>Bedst tilgængelige teknologi-BAT</w:t>
      </w:r>
      <w:bookmarkEnd w:id="48"/>
    </w:p>
    <w:p w14:paraId="4A6F5217" w14:textId="77777777" w:rsidR="00CF53C2" w:rsidRPr="004B14BD" w:rsidRDefault="00CF53C2" w:rsidP="00CF53C2">
      <w:pPr>
        <w:ind w:left="360"/>
      </w:pPr>
    </w:p>
    <w:p w14:paraId="2BA2387A" w14:textId="65D32BAF" w:rsidR="008771D6" w:rsidRPr="004B14BD" w:rsidRDefault="008771D6" w:rsidP="008771D6">
      <w:pPr>
        <w:rPr>
          <w:color w:val="FF0000"/>
        </w:rPr>
      </w:pPr>
      <w:r w:rsidRPr="004B14BD">
        <w:t>BAT konklusioner for store fyringsanlæg</w:t>
      </w:r>
      <w:r w:rsidRPr="004B14BD">
        <w:rPr>
          <w:rStyle w:val="Fodnotehenvisning"/>
        </w:rPr>
        <w:footnoteReference w:id="24"/>
      </w:r>
      <w:r w:rsidRPr="004B14BD">
        <w:t xml:space="preserve"> finder ikke anvendelse på nødstrømsanlægget, idet det enkelte fyringsanlæg (generator) har en indfyret termisk effekt mindre end 15 MW</w:t>
      </w:r>
      <w:r w:rsidR="00277FE6">
        <w:t>,</w:t>
      </w:r>
      <w:r w:rsidRPr="004B14BD">
        <w:t xml:space="preserve"> og de enkelte fyringsanlæg ikke er forbundet med en fælles skorsten. De enkelte generatorer har hver en indfyret termisk effekt på 7,5 MW. </w:t>
      </w:r>
    </w:p>
    <w:p w14:paraId="5C736F68" w14:textId="77777777" w:rsidR="008771D6" w:rsidRPr="004B14BD" w:rsidRDefault="008771D6" w:rsidP="008771D6"/>
    <w:p w14:paraId="1E09C62A" w14:textId="73BD2189" w:rsidR="00B7250D" w:rsidRPr="004B14BD" w:rsidRDefault="008771D6" w:rsidP="008771D6">
      <w:r w:rsidRPr="004B14BD">
        <w:t>Desuden er der tale om et nødstrømsanlæg med en samlet årlig driftstid på 96 timer og 40 min,</w:t>
      </w:r>
      <w:r w:rsidR="00A002BC" w:rsidRPr="004B14BD">
        <w:t xml:space="preserve"> </w:t>
      </w:r>
      <w:r w:rsidRPr="004B14BD">
        <w:t xml:space="preserve">som dermed er mindre end 500 timer. Anlægget er derfor ikke omfattet af BAT-AEL konklusionerne for emissionsvilkår. </w:t>
      </w:r>
    </w:p>
    <w:p w14:paraId="6745BCFC" w14:textId="77777777" w:rsidR="008771D6" w:rsidRPr="004B14BD" w:rsidRDefault="008771D6" w:rsidP="008771D6"/>
    <w:p w14:paraId="4E80B221" w14:textId="4AC912D5" w:rsidR="00B9075D" w:rsidRPr="004B14BD" w:rsidRDefault="00B9075D" w:rsidP="00B9075D">
      <w:r w:rsidRPr="004B14BD">
        <w:t xml:space="preserve">Derimod er </w:t>
      </w:r>
      <w:r w:rsidR="0012628D" w:rsidRPr="004B14BD">
        <w:t>anlægget</w:t>
      </w:r>
      <w:r w:rsidRPr="004B14BD">
        <w:t xml:space="preserve"> omfattet af MCP-bekendtgørelsen, hvis krav per definition er BAT.</w:t>
      </w:r>
    </w:p>
    <w:p w14:paraId="54FAC431" w14:textId="1436DA6F" w:rsidR="00ED6BA8" w:rsidRPr="004B14BD" w:rsidRDefault="00ED6BA8" w:rsidP="00B9075D">
      <w:pPr>
        <w:rPr>
          <w:color w:val="FF0000"/>
        </w:rPr>
      </w:pPr>
    </w:p>
    <w:p w14:paraId="605A181E" w14:textId="77777777" w:rsidR="00387188" w:rsidRPr="004B14BD" w:rsidRDefault="008771D6" w:rsidP="00387188">
      <w:r w:rsidRPr="004B14BD">
        <w:t>BREF for Emissioner fra oplagring vurderes ikke relevant, da alle dieselolieoplag er omfattet og opfylder krav i olietankbekendtgørelsen, hvor alle relevante BAT krav er</w:t>
      </w:r>
      <w:r w:rsidR="0078084D" w:rsidRPr="004B14BD">
        <w:t xml:space="preserve"> </w:t>
      </w:r>
      <w:r w:rsidRPr="004B14BD">
        <w:t xml:space="preserve">medtaget. Diesel opbevares </w:t>
      </w:r>
      <w:r w:rsidR="0078084D" w:rsidRPr="004B14BD">
        <w:t xml:space="preserve">således </w:t>
      </w:r>
      <w:r w:rsidRPr="004B14BD">
        <w:t xml:space="preserve">i særskilte </w:t>
      </w:r>
      <w:r w:rsidR="002C05D4" w:rsidRPr="004B14BD">
        <w:t>dobbeltvæggede tanke med overvågning i form af højt olieniveau, lavt olieniveau, automatisk overfyldningssikring samt lækagedetektion.</w:t>
      </w:r>
      <w:r w:rsidR="00387188" w:rsidRPr="004B14BD">
        <w:t xml:space="preserve"> </w:t>
      </w:r>
    </w:p>
    <w:p w14:paraId="1B02BA66" w14:textId="77777777" w:rsidR="00387188" w:rsidRPr="004B14BD" w:rsidRDefault="00387188" w:rsidP="00387188"/>
    <w:p w14:paraId="314508E2" w14:textId="7DA0CE59" w:rsidR="008771D6" w:rsidRPr="004B14BD" w:rsidRDefault="00387188" w:rsidP="00B9075D">
      <w:pPr>
        <w:rPr>
          <w:color w:val="000000" w:themeColor="text1"/>
        </w:rPr>
      </w:pPr>
      <w:r w:rsidRPr="004B14BD">
        <w:t xml:space="preserve">Det er desuden i afsnittet ”Beskyttelse af jord, grundvand og overfladevand”, beskrevet hvordan påfyldningsområder, generatorgårde </w:t>
      </w:r>
      <w:r w:rsidRPr="004B14BD">
        <w:rPr>
          <w:color w:val="000000" w:themeColor="text1"/>
        </w:rPr>
        <w:t>og generatorcontainerne er etableret med en række forebyggende og forureningsbegrænsende foranstaltninger til sikring mod spild</w:t>
      </w:r>
      <w:r w:rsidR="00927966">
        <w:rPr>
          <w:color w:val="000000" w:themeColor="text1"/>
        </w:rPr>
        <w:t xml:space="preserve">. Der </w:t>
      </w:r>
      <w:r w:rsidRPr="004B14BD">
        <w:rPr>
          <w:color w:val="000000" w:themeColor="text1"/>
        </w:rPr>
        <w:t xml:space="preserve">er </w:t>
      </w:r>
      <w:r w:rsidR="00927966">
        <w:rPr>
          <w:color w:val="000000" w:themeColor="text1"/>
        </w:rPr>
        <w:t xml:space="preserve">desuden </w:t>
      </w:r>
      <w:r w:rsidRPr="004B14BD">
        <w:rPr>
          <w:color w:val="000000" w:themeColor="text1"/>
        </w:rPr>
        <w:t>stillet vilkår om tæthedskontrol</w:t>
      </w:r>
      <w:r w:rsidR="00927966">
        <w:rPr>
          <w:color w:val="000000" w:themeColor="text1"/>
        </w:rPr>
        <w:t xml:space="preserve"> hvert 10. år</w:t>
      </w:r>
      <w:r w:rsidRPr="004B14BD">
        <w:rPr>
          <w:color w:val="000000" w:themeColor="text1"/>
        </w:rPr>
        <w:t xml:space="preserve"> af det samlede regnvands-afløbssystem fra generatorgårde og rendestensbrønde i veje til og med olieudskillere.</w:t>
      </w:r>
      <w:r w:rsidR="00E82FAB" w:rsidRPr="004B14BD">
        <w:rPr>
          <w:color w:val="000000" w:themeColor="text1"/>
        </w:rPr>
        <w:t xml:space="preserve"> </w:t>
      </w:r>
    </w:p>
    <w:p w14:paraId="092989D2" w14:textId="59A75D59" w:rsidR="008771D6" w:rsidRPr="004B14BD" w:rsidRDefault="008771D6" w:rsidP="00B9075D">
      <w:pPr>
        <w:rPr>
          <w:color w:val="FF0000"/>
        </w:rPr>
      </w:pPr>
    </w:p>
    <w:p w14:paraId="04B4F67A" w14:textId="67996DC4" w:rsidR="00853864" w:rsidRPr="004B14BD" w:rsidRDefault="00853864" w:rsidP="00853864">
      <w:r w:rsidRPr="004B14BD">
        <w:t>I forhold til krav om miljøledelse vurderes det, at de krav</w:t>
      </w:r>
      <w:r w:rsidR="00BD59A6" w:rsidRPr="004B14BD">
        <w:t>,</w:t>
      </w:r>
      <w:r w:rsidRPr="004B14BD">
        <w:t xml:space="preserve"> der stilles til virksomhedens egenkontrol er dækkende for de miljøpåvirkninger</w:t>
      </w:r>
      <w:r w:rsidR="00A62F19" w:rsidRPr="004B14BD">
        <w:t>,</w:t>
      </w:r>
      <w:r w:rsidRPr="004B14BD">
        <w:t xml:space="preserve"> som nødstrømsanlægget og de </w:t>
      </w:r>
      <w:r w:rsidR="00A62F19" w:rsidRPr="004B14BD">
        <w:t xml:space="preserve">forbundne </w:t>
      </w:r>
      <w:r w:rsidRPr="004B14BD">
        <w:t>aktiviteter</w:t>
      </w:r>
      <w:r w:rsidR="00A62F19" w:rsidRPr="004B14BD">
        <w:t xml:space="preserve"> kan medføre</w:t>
      </w:r>
      <w:r w:rsidRPr="004B14BD">
        <w:t>.</w:t>
      </w:r>
    </w:p>
    <w:p w14:paraId="65CEC85B" w14:textId="77777777" w:rsidR="00853864" w:rsidRPr="004B14BD" w:rsidRDefault="00853864" w:rsidP="00B9075D">
      <w:pPr>
        <w:rPr>
          <w:color w:val="FF0000"/>
        </w:rPr>
      </w:pPr>
    </w:p>
    <w:p w14:paraId="3A94D6DF" w14:textId="25CDD019" w:rsidR="00B9075D" w:rsidRPr="004B14BD" w:rsidRDefault="00B9075D" w:rsidP="00B9075D">
      <w:r w:rsidRPr="004B14BD">
        <w:t xml:space="preserve">Det er </w:t>
      </w:r>
      <w:r w:rsidR="002C05D4" w:rsidRPr="004B14BD">
        <w:t xml:space="preserve">Høje-Taastrup </w:t>
      </w:r>
      <w:r w:rsidRPr="004B14BD">
        <w:t>Kommunes vurdering, at der er truffet de fornødne foranstaltninger med afgørelsens vilkår til at forebygge og begrænse forurening ved anvendelse af BAT.</w:t>
      </w:r>
    </w:p>
    <w:p w14:paraId="2CA7FB59" w14:textId="3686344E" w:rsidR="00A7307A" w:rsidRPr="004B14BD" w:rsidRDefault="00F477A5" w:rsidP="00A7307A">
      <w:pPr>
        <w:pStyle w:val="Overskrift2"/>
      </w:pPr>
      <w:bookmarkStart w:id="49" w:name="_Toc120196524"/>
      <w:r w:rsidRPr="004B14BD">
        <w:t xml:space="preserve">2.13 </w:t>
      </w:r>
      <w:r w:rsidR="00A7307A" w:rsidRPr="004B14BD">
        <w:t>Energi og råvareudnyttelse</w:t>
      </w:r>
      <w:bookmarkEnd w:id="49"/>
    </w:p>
    <w:p w14:paraId="43624A31" w14:textId="77777777" w:rsidR="00A7307A" w:rsidRPr="004B14BD" w:rsidRDefault="00A7307A" w:rsidP="00A7307A">
      <w:pPr>
        <w:rPr>
          <w:color w:val="000000" w:themeColor="text1"/>
        </w:rPr>
      </w:pPr>
    </w:p>
    <w:p w14:paraId="2CC510DE" w14:textId="77777777" w:rsidR="00A7307A" w:rsidRPr="004B14BD" w:rsidRDefault="00A7307A" w:rsidP="00A7307A">
      <w:r w:rsidRPr="004B14BD">
        <w:t>Ifølge godkendelsesbekendtgørelsens kapitel 10, ” Afgørelse om godkendelse” § 20 skal Høje-Taastrup Kommune sikre sig, at virksomheden indrettes og drives på en sådan måde, at energi- og råvareforbruget udnyttes mest effektivt.</w:t>
      </w:r>
    </w:p>
    <w:p w14:paraId="1F24F10A" w14:textId="77777777" w:rsidR="00A7307A" w:rsidRPr="004B14BD" w:rsidRDefault="00A7307A" w:rsidP="00A7307A"/>
    <w:p w14:paraId="673FBEAF" w14:textId="291C0A33" w:rsidR="00A7307A" w:rsidRPr="004B14BD" w:rsidRDefault="00A7307A" w:rsidP="00A7307A">
      <w:r w:rsidRPr="004B14BD">
        <w:t>Desuden har Høje-Taastrup Kommune ambitiøse planer om at nedbringe CO</w:t>
      </w:r>
      <w:r w:rsidRPr="002963E1">
        <w:rPr>
          <w:vertAlign w:val="subscript"/>
        </w:rPr>
        <w:t>2</w:t>
      </w:r>
      <w:r w:rsidRPr="004B14BD">
        <w:t>-udledningen. Dette er beskrevet i ”Klimaplan 2030 - Danmarks grønneste vækstkommune”, hvor målet er 50% CO</w:t>
      </w:r>
      <w:r w:rsidRPr="004B14BD">
        <w:rPr>
          <w:vertAlign w:val="subscript"/>
        </w:rPr>
        <w:t>2</w:t>
      </w:r>
      <w:r w:rsidRPr="004B14BD">
        <w:t xml:space="preserve">-reduktion i 2030 i forhold til 2017. Klimaplan 2030 omfatter 50 indsatser inden for temaerne energieffektivisering, varmeforsyning, </w:t>
      </w:r>
      <w:r w:rsidRPr="004B14BD">
        <w:lastRenderedPageBreak/>
        <w:t>elforsyning og transport, som alle giver et væsentlig bidrag til målsætningen. Indsatserne vil blive støttet op med et større fokus på den grønne omstilling og reduktion af CO</w:t>
      </w:r>
      <w:r w:rsidRPr="004B14BD">
        <w:rPr>
          <w:vertAlign w:val="subscript"/>
        </w:rPr>
        <w:t>2</w:t>
      </w:r>
      <w:r w:rsidRPr="004B14BD">
        <w:t>-udledningen blandt andet i den kommunale planlægning, arealudnyttelse, kommunale indkøb og spildevandshåndtering. For at nå målet kræver det, at kommunen, virksomhederne og borgerne yder en stor indsats i fællesskab.</w:t>
      </w:r>
    </w:p>
    <w:p w14:paraId="1383264E" w14:textId="77777777" w:rsidR="00A7307A" w:rsidRPr="004B14BD" w:rsidRDefault="00A7307A" w:rsidP="00A7307A"/>
    <w:p w14:paraId="61A25BC8" w14:textId="33C01A60" w:rsidR="00A7307A" w:rsidRPr="004B14BD" w:rsidRDefault="00A7307A" w:rsidP="00A7307A">
      <w:r w:rsidRPr="004B14BD">
        <w:t>Der vil derfor blive stillet vilkår om</w:t>
      </w:r>
      <w:r w:rsidR="00E82FAB" w:rsidRPr="004B14BD">
        <w:t>,</w:t>
      </w:r>
      <w:r w:rsidRPr="004B14BD">
        <w:t xml:space="preserve"> at virksomheden løbende skal følge og registrere deres energi- og råvareforbrug og redegøre for deres effektiviseringsplaner. </w:t>
      </w:r>
    </w:p>
    <w:p w14:paraId="14991F4A" w14:textId="38C79943" w:rsidR="00853864" w:rsidRPr="004B14BD" w:rsidRDefault="00F477A5" w:rsidP="00B83916">
      <w:pPr>
        <w:pStyle w:val="Overskrift2"/>
      </w:pPr>
      <w:bookmarkStart w:id="50" w:name="_Toc120196525"/>
      <w:r w:rsidRPr="004B14BD">
        <w:t xml:space="preserve">2.14 </w:t>
      </w:r>
      <w:r w:rsidR="00853864" w:rsidRPr="004B14BD">
        <w:t>Foranstaltninger i forbindelse med virksomhedens ophør</w:t>
      </w:r>
      <w:bookmarkEnd w:id="50"/>
    </w:p>
    <w:p w14:paraId="49ED9C8A" w14:textId="77777777" w:rsidR="00CE44A8" w:rsidRPr="004B14BD" w:rsidRDefault="00CE44A8" w:rsidP="00B83916"/>
    <w:p w14:paraId="799ED0E3" w14:textId="63507689" w:rsidR="00853864" w:rsidRPr="004B14BD" w:rsidRDefault="00853864" w:rsidP="00B83916">
      <w:r w:rsidRPr="004B14BD">
        <w:t>Ved ophør af drift, skal virksomheden træffe de nødvendige foranstaltninger for at undgå fremtidig forureningsfare og for at efterlade stedet i tilfredsstillende stand.</w:t>
      </w:r>
    </w:p>
    <w:p w14:paraId="20E05377" w14:textId="77777777" w:rsidR="0002050F" w:rsidRPr="004B14BD" w:rsidRDefault="0002050F" w:rsidP="00B83916"/>
    <w:p w14:paraId="54B29D7C" w14:textId="0D6F0D6B" w:rsidR="0002050F" w:rsidRPr="004B14BD" w:rsidRDefault="0002050F" w:rsidP="0002050F">
      <w:r w:rsidRPr="004B14BD">
        <w:t>Ansøger oplyser, at på det tidspunkt virksomheden ophører</w:t>
      </w:r>
      <w:r w:rsidR="00334292">
        <w:t>,</w:t>
      </w:r>
      <w:r w:rsidRPr="004B14BD">
        <w:t xml:space="preserve"> vil grunden blive bragt i den stand, som den til enhver ti</w:t>
      </w:r>
      <w:r w:rsidR="00B90474">
        <w:t>d</w:t>
      </w:r>
      <w:r w:rsidRPr="004B14BD">
        <w:t xml:space="preserve"> gældende lovgivning kræver.</w:t>
      </w:r>
    </w:p>
    <w:p w14:paraId="0F1C0EA5" w14:textId="77777777" w:rsidR="00CE44A8" w:rsidRPr="004B14BD" w:rsidRDefault="00CE44A8" w:rsidP="00B83916">
      <w:pPr>
        <w:rPr>
          <w:color w:val="FF0000"/>
        </w:rPr>
      </w:pPr>
    </w:p>
    <w:p w14:paraId="65ACCC62" w14:textId="52DE2F33" w:rsidR="00CE44A8" w:rsidRPr="004B14BD" w:rsidRDefault="00CE44A8" w:rsidP="00B83916">
      <w:r w:rsidRPr="004B14BD">
        <w:t>Kommunen vurderer, at der skal stilles følgende vilkår til sikring af, at nedlukning og afvikling foregår miljømæssigt forsvarligt.</w:t>
      </w:r>
    </w:p>
    <w:p w14:paraId="2B3492BE" w14:textId="77777777" w:rsidR="00CE44A8" w:rsidRPr="004B14BD" w:rsidRDefault="00CE44A8" w:rsidP="00B83916"/>
    <w:p w14:paraId="76DA91E7" w14:textId="0DF10BF9" w:rsidR="00C22169" w:rsidRPr="004B14BD" w:rsidRDefault="00C22169" w:rsidP="00C22169">
      <w:r w:rsidRPr="004B14BD">
        <w:t xml:space="preserve">Senest </w:t>
      </w:r>
      <w:r>
        <w:t xml:space="preserve">3 måneder før driften ophører, skal virksomheden indsende en plan til kommunen for </w:t>
      </w:r>
      <w:r w:rsidRPr="004B14BD">
        <w:t>nedlukning og afvikling af anlæg samt rydning af arealet.</w:t>
      </w:r>
    </w:p>
    <w:p w14:paraId="7E456F5B" w14:textId="77777777" w:rsidR="00CE44A8" w:rsidRPr="004B14BD" w:rsidRDefault="00CE44A8" w:rsidP="00B83916">
      <w:pPr>
        <w:rPr>
          <w:color w:val="FF0000"/>
        </w:rPr>
      </w:pPr>
    </w:p>
    <w:p w14:paraId="6AC90C98" w14:textId="77777777" w:rsidR="00CE44A8" w:rsidRPr="004B14BD" w:rsidRDefault="00CE44A8" w:rsidP="00B83916">
      <w:r w:rsidRPr="004B14BD">
        <w:t>Planen skal redegøre for:</w:t>
      </w:r>
    </w:p>
    <w:p w14:paraId="3DF50EF7" w14:textId="77777777" w:rsidR="00CE44A8" w:rsidRPr="004B14BD" w:rsidRDefault="00CE44A8" w:rsidP="00B83916"/>
    <w:p w14:paraId="66F6EC42" w14:textId="02B94951" w:rsidR="00CE44A8" w:rsidRPr="004B14BD" w:rsidRDefault="00CE44A8" w:rsidP="00B83916">
      <w:pPr>
        <w:pStyle w:val="Listeafsnit"/>
        <w:numPr>
          <w:ilvl w:val="0"/>
          <w:numId w:val="44"/>
        </w:numPr>
      </w:pPr>
      <w:r w:rsidRPr="004B14BD">
        <w:t xml:space="preserve">Tømning og rengøring af tankanlæg, rørføringer og procesanlæg, som aktuelt eller på sigt vil indebære fare for forurening af jord, grundvand, overfladevand eller spildevandssystemet. </w:t>
      </w:r>
    </w:p>
    <w:p w14:paraId="29D2994A" w14:textId="77777777" w:rsidR="00CE44A8" w:rsidRPr="004B14BD" w:rsidRDefault="00CE44A8" w:rsidP="00B83916">
      <w:pPr>
        <w:pStyle w:val="Listeafsnit"/>
        <w:numPr>
          <w:ilvl w:val="0"/>
          <w:numId w:val="44"/>
        </w:numPr>
      </w:pPr>
      <w:r w:rsidRPr="004B14BD">
        <w:t>Sikring af tankanlæg, rørføringer og procesanlæg mod utilsigtet brug</w:t>
      </w:r>
    </w:p>
    <w:p w14:paraId="737A390C" w14:textId="5889C104" w:rsidR="00CE44A8" w:rsidRPr="004B14BD" w:rsidRDefault="00CE44A8" w:rsidP="00B83916">
      <w:pPr>
        <w:pStyle w:val="Listeafsnit"/>
        <w:numPr>
          <w:ilvl w:val="0"/>
          <w:numId w:val="44"/>
        </w:numPr>
      </w:pPr>
      <w:r w:rsidRPr="004B14BD">
        <w:t>Tømning af generatorer for olie og andre væsker, som kan udgøre en fare for forurening.</w:t>
      </w:r>
    </w:p>
    <w:p w14:paraId="32EB79D8" w14:textId="77777777" w:rsidR="00CE44A8" w:rsidRPr="004B14BD" w:rsidRDefault="00CE44A8" w:rsidP="00B83916">
      <w:pPr>
        <w:pStyle w:val="Listeafsnit"/>
        <w:numPr>
          <w:ilvl w:val="0"/>
          <w:numId w:val="44"/>
        </w:numPr>
      </w:pPr>
      <w:r w:rsidRPr="004B14BD">
        <w:t>Rydning af udendørsarealer og bortskaffelse af råvarer, affald og kemikalier.</w:t>
      </w:r>
    </w:p>
    <w:p w14:paraId="0EAE304F" w14:textId="77777777" w:rsidR="00CE44A8" w:rsidRPr="004B14BD" w:rsidRDefault="00CE44A8" w:rsidP="00B83916">
      <w:pPr>
        <w:pStyle w:val="Listeafsnit"/>
        <w:numPr>
          <w:ilvl w:val="0"/>
          <w:numId w:val="44"/>
        </w:numPr>
      </w:pPr>
      <w:r w:rsidRPr="004B14BD">
        <w:t>Bortskaffelse af faste belægninger, bygningsdele m.v.</w:t>
      </w:r>
    </w:p>
    <w:p w14:paraId="4B7FFC33" w14:textId="77777777" w:rsidR="00CE44A8" w:rsidRPr="004B14BD" w:rsidRDefault="00CE44A8" w:rsidP="00B83916">
      <w:pPr>
        <w:pStyle w:val="Listeafsnit"/>
        <w:numPr>
          <w:ilvl w:val="0"/>
          <w:numId w:val="44"/>
        </w:numPr>
      </w:pPr>
      <w:r w:rsidRPr="004B14BD">
        <w:t xml:space="preserve">Tømning af olieudskillere og interne kloakker mv. </w:t>
      </w:r>
    </w:p>
    <w:p w14:paraId="07FAFE88" w14:textId="77777777" w:rsidR="00CE44A8" w:rsidRPr="004B14BD" w:rsidRDefault="00CE44A8" w:rsidP="00B83916"/>
    <w:p w14:paraId="43035E41" w14:textId="51A80E42" w:rsidR="00CE44A8" w:rsidRPr="004B14BD" w:rsidRDefault="00CE44A8" w:rsidP="00B83916">
      <w:r w:rsidRPr="004B14BD">
        <w:t>Planen skal godkendes af kommunen inden opstart.</w:t>
      </w:r>
    </w:p>
    <w:p w14:paraId="3737DA69" w14:textId="77777777" w:rsidR="00CE44A8" w:rsidRPr="004B14BD" w:rsidRDefault="00CE44A8" w:rsidP="00B83916"/>
    <w:p w14:paraId="2CDC88E2" w14:textId="30C58C92" w:rsidR="00327869" w:rsidRPr="004B14BD" w:rsidRDefault="00853864" w:rsidP="00B83916">
      <w:pPr>
        <w:rPr>
          <w:color w:val="000000" w:themeColor="text1"/>
        </w:rPr>
      </w:pPr>
      <w:r w:rsidRPr="004B14BD">
        <w:rPr>
          <w:color w:val="000000" w:themeColor="text1"/>
        </w:rPr>
        <w:t>Da aktiviteterne er omfattet af bilag 1 i godkendelsesbekendtgørelsen</w:t>
      </w:r>
      <w:r w:rsidR="00327869" w:rsidRPr="004B14BD">
        <w:rPr>
          <w:color w:val="000000" w:themeColor="text1"/>
        </w:rPr>
        <w:t>,</w:t>
      </w:r>
      <w:r w:rsidRPr="004B14BD">
        <w:rPr>
          <w:color w:val="000000" w:themeColor="text1"/>
        </w:rPr>
        <w:t xml:space="preserve"> skal planen indeholde en vurdering af jordens og grundvandets forureningstilstand som følge af de pågældende aktiviteter, jf. § 38 K, stk. 1, i lov om forurenet jord. Vurderingen skal opfylde kravene i bilag 7 til godkendelsesbekendtgørelsen for ophør af aktiviteter. </w:t>
      </w:r>
    </w:p>
    <w:p w14:paraId="67E8A000" w14:textId="77777777" w:rsidR="00327869" w:rsidRPr="004B14BD" w:rsidRDefault="00327869" w:rsidP="00B83916">
      <w:pPr>
        <w:rPr>
          <w:color w:val="000000" w:themeColor="text1"/>
        </w:rPr>
      </w:pPr>
    </w:p>
    <w:p w14:paraId="28068B0A" w14:textId="17964EBD" w:rsidR="00853864" w:rsidRPr="004B14BD" w:rsidRDefault="0010148F" w:rsidP="00B83916">
      <w:pPr>
        <w:rPr>
          <w:color w:val="000000" w:themeColor="text1"/>
        </w:rPr>
      </w:pPr>
      <w:r w:rsidRPr="004B14BD">
        <w:rPr>
          <w:color w:val="000000" w:themeColor="text1"/>
        </w:rPr>
        <w:t xml:space="preserve">Høje-Taastrup </w:t>
      </w:r>
      <w:r w:rsidR="00853864" w:rsidRPr="004B14BD">
        <w:rPr>
          <w:color w:val="000000" w:themeColor="text1"/>
        </w:rPr>
        <w:t>Kommune vurderer</w:t>
      </w:r>
      <w:r w:rsidR="00611BE0" w:rsidRPr="004B14BD">
        <w:rPr>
          <w:color w:val="000000" w:themeColor="text1"/>
        </w:rPr>
        <w:t xml:space="preserve"> her</w:t>
      </w:r>
      <w:r w:rsidR="00B0638E" w:rsidRPr="004B14BD">
        <w:rPr>
          <w:color w:val="000000" w:themeColor="text1"/>
        </w:rPr>
        <w:t>e</w:t>
      </w:r>
      <w:r w:rsidR="00611BE0" w:rsidRPr="004B14BD">
        <w:rPr>
          <w:color w:val="000000" w:themeColor="text1"/>
        </w:rPr>
        <w:t>fter</w:t>
      </w:r>
      <w:r w:rsidR="00853864" w:rsidRPr="004B14BD">
        <w:rPr>
          <w:color w:val="000000" w:themeColor="text1"/>
        </w:rPr>
        <w:t xml:space="preserve"> planens indhold som dækkende for foranstaltninger </w:t>
      </w:r>
      <w:r w:rsidR="0025262A" w:rsidRPr="004B14BD">
        <w:rPr>
          <w:color w:val="000000" w:themeColor="text1"/>
        </w:rPr>
        <w:t>til</w:t>
      </w:r>
      <w:r w:rsidR="00853864" w:rsidRPr="004B14BD">
        <w:rPr>
          <w:color w:val="000000" w:themeColor="text1"/>
        </w:rPr>
        <w:t xml:space="preserve"> forebyggelse af forurening.</w:t>
      </w:r>
    </w:p>
    <w:p w14:paraId="71987622" w14:textId="38949304" w:rsidR="001B6722" w:rsidRPr="004B14BD" w:rsidRDefault="00F477A5" w:rsidP="002261FF">
      <w:pPr>
        <w:pStyle w:val="Overskrift2"/>
      </w:pPr>
      <w:bookmarkStart w:id="51" w:name="_Toc120196526"/>
      <w:r w:rsidRPr="004B14BD">
        <w:t xml:space="preserve">2.15 </w:t>
      </w:r>
      <w:r w:rsidR="002C05D4" w:rsidRPr="004B14BD">
        <w:t>H</w:t>
      </w:r>
      <w:r w:rsidR="001B6722" w:rsidRPr="004B14BD">
        <w:t>abitat</w:t>
      </w:r>
      <w:r w:rsidR="000F6675" w:rsidRPr="004B14BD">
        <w:t>bekendtgørelsen</w:t>
      </w:r>
      <w:bookmarkEnd w:id="51"/>
      <w:r w:rsidR="000F6675" w:rsidRPr="004B14BD">
        <w:t xml:space="preserve"> </w:t>
      </w:r>
    </w:p>
    <w:p w14:paraId="36D8CA2F" w14:textId="77777777" w:rsidR="0078415E" w:rsidRPr="004B14BD" w:rsidRDefault="0078415E" w:rsidP="0078415E"/>
    <w:p w14:paraId="00F8F210" w14:textId="0E04D76B" w:rsidR="001B6722" w:rsidRPr="004B14BD" w:rsidRDefault="001B6722" w:rsidP="001B6722">
      <w:pPr>
        <w:rPr>
          <w:szCs w:val="24"/>
        </w:rPr>
      </w:pPr>
      <w:r w:rsidRPr="004B14BD">
        <w:rPr>
          <w:szCs w:val="24"/>
        </w:rPr>
        <w:t>Sager om godkendelse efter miljøbeskyttelseslovens § 33 er omfattet af § 6</w:t>
      </w:r>
      <w:r w:rsidRPr="004B14BD">
        <w:rPr>
          <w:szCs w:val="24"/>
          <w:vertAlign w:val="superscript"/>
        </w:rPr>
        <w:footnoteReference w:id="25"/>
      </w:r>
      <w:r w:rsidRPr="004B14BD">
        <w:rPr>
          <w:szCs w:val="24"/>
        </w:rPr>
        <w:t xml:space="preserve"> i Habitatbekendtgørelsen</w:t>
      </w:r>
      <w:r w:rsidRPr="004B14BD">
        <w:rPr>
          <w:szCs w:val="24"/>
          <w:vertAlign w:val="superscript"/>
        </w:rPr>
        <w:footnoteReference w:id="26"/>
      </w:r>
      <w:r w:rsidRPr="004B14BD">
        <w:rPr>
          <w:szCs w:val="24"/>
        </w:rPr>
        <w:t xml:space="preserve">. Det følger af bestemmelserne, at der skal foretages en </w:t>
      </w:r>
      <w:r w:rsidRPr="004B14BD">
        <w:rPr>
          <w:szCs w:val="24"/>
        </w:rPr>
        <w:lastRenderedPageBreak/>
        <w:t xml:space="preserve">vurdering af, om etableringen af nødstrømsanlægget kan påvirke Natura 2000-områder væsentligt. </w:t>
      </w:r>
    </w:p>
    <w:p w14:paraId="6AC8E9ED" w14:textId="77777777" w:rsidR="002261FF" w:rsidRPr="004B14BD" w:rsidRDefault="002261FF" w:rsidP="001B6722">
      <w:pPr>
        <w:rPr>
          <w:szCs w:val="24"/>
        </w:rPr>
      </w:pPr>
    </w:p>
    <w:p w14:paraId="071155D2" w14:textId="3F1603F5" w:rsidR="001E5D7F" w:rsidRPr="004B14BD" w:rsidRDefault="001E5D7F" w:rsidP="001E5D7F">
      <w:pPr>
        <w:rPr>
          <w:szCs w:val="24"/>
        </w:rPr>
      </w:pPr>
      <w:bookmarkStart w:id="52" w:name="_Toc424893129"/>
      <w:r w:rsidRPr="004B14BD">
        <w:rPr>
          <w:color w:val="000000" w:themeColor="text1"/>
          <w:szCs w:val="24"/>
        </w:rPr>
        <w:t xml:space="preserve">SWECO A/S har på vegne af Microsoft ApS udarbejdet et notat ”Habitatvurdering” af 26. september 2022. Notatet gennemgår og vurderer luftimmission, påvirkning af overfladevand og natur, herunder bilag IV beskyttede arter, med henblik på at undersøge, om der vil kunne forekomme væsentlige indirekte påvirkninger af habitatområdet som følge af projektet. </w:t>
      </w:r>
      <w:r w:rsidRPr="004B14BD">
        <w:rPr>
          <w:szCs w:val="24"/>
        </w:rPr>
        <w:t>Konklusionen i notatet er, at projektet ikke vil medføre væsentlig påvirkning af det nærmeste Natura 2000-område eller påvirke beskyttede arter. Høje-Taastrup Kommune er enige i denne vurdering. Kommunen vurderer derfor, at der ikke er behov for at udarbejde en egentlig konsekvensvurdering i henhold til ”Bekendtgørelse om udpegning og administration af internationale naturbeskyttelsesområder samt beskyttelse af visse arter”. I det følgende er der kortfattet redegjort for notatets indhold.</w:t>
      </w:r>
    </w:p>
    <w:p w14:paraId="4AA29E15" w14:textId="77777777" w:rsidR="001E5D7F" w:rsidRPr="004B14BD" w:rsidRDefault="001E5D7F" w:rsidP="001E5D7F">
      <w:pPr>
        <w:rPr>
          <w:szCs w:val="24"/>
        </w:rPr>
      </w:pPr>
    </w:p>
    <w:bookmarkEnd w:id="52"/>
    <w:p w14:paraId="48C906CC" w14:textId="62E061DC" w:rsidR="001B6722" w:rsidRPr="004B14BD" w:rsidRDefault="001E6B8B" w:rsidP="002261FF">
      <w:pPr>
        <w:rPr>
          <w:b/>
          <w:bCs/>
        </w:rPr>
      </w:pPr>
      <w:r w:rsidRPr="004B14BD">
        <w:rPr>
          <w:b/>
          <w:bCs/>
        </w:rPr>
        <w:t>Natura 2000-område</w:t>
      </w:r>
    </w:p>
    <w:p w14:paraId="5517228A" w14:textId="77777777" w:rsidR="0078415E" w:rsidRPr="004B14BD" w:rsidRDefault="0078415E" w:rsidP="002261FF">
      <w:pPr>
        <w:rPr>
          <w:b/>
          <w:bCs/>
        </w:rPr>
      </w:pPr>
    </w:p>
    <w:p w14:paraId="6316A58F" w14:textId="570A5359" w:rsidR="001B6722" w:rsidRPr="004B14BD" w:rsidRDefault="001B6722" w:rsidP="001B6722">
      <w:pPr>
        <w:rPr>
          <w:szCs w:val="24"/>
        </w:rPr>
      </w:pPr>
      <w:r w:rsidRPr="004B14BD">
        <w:rPr>
          <w:szCs w:val="24"/>
        </w:rPr>
        <w:t xml:space="preserve">Det nærmeste Natura 2000 område er Vasby </w:t>
      </w:r>
      <w:r w:rsidR="00DB2654" w:rsidRPr="004B14BD">
        <w:rPr>
          <w:szCs w:val="24"/>
        </w:rPr>
        <w:t xml:space="preserve">Mose </w:t>
      </w:r>
      <w:r w:rsidR="00274F87" w:rsidRPr="004B14BD">
        <w:rPr>
          <w:szCs w:val="24"/>
        </w:rPr>
        <w:t xml:space="preserve">og Sengeløse </w:t>
      </w:r>
      <w:r w:rsidRPr="004B14BD">
        <w:rPr>
          <w:szCs w:val="24"/>
        </w:rPr>
        <w:t xml:space="preserve">Mose (habitatområde nr. 124), der ligger </w:t>
      </w:r>
      <w:r w:rsidR="00DD379A" w:rsidRPr="004B14BD">
        <w:rPr>
          <w:szCs w:val="24"/>
        </w:rPr>
        <w:t xml:space="preserve">mindst </w:t>
      </w:r>
      <w:r w:rsidRPr="004B14BD">
        <w:rPr>
          <w:szCs w:val="24"/>
        </w:rPr>
        <w:t>4 km nord for virksomheden. Udpegningsgrundlaget for Vasby</w:t>
      </w:r>
      <w:r w:rsidR="00D73E5C" w:rsidRPr="004B14BD">
        <w:rPr>
          <w:szCs w:val="24"/>
        </w:rPr>
        <w:t xml:space="preserve"> og Sengeløse</w:t>
      </w:r>
      <w:r w:rsidRPr="004B14BD">
        <w:rPr>
          <w:szCs w:val="24"/>
        </w:rPr>
        <w:t xml:space="preserve"> Mose er en række naturtyper, specielt rigkær og tidvis våd eng samt to arter af vindelsnegle. Området er sårbart over for næringsstoftilførsel. Der er mere end 10 km til Roskilde Fjord, der er det næst-nærmeste Natura 2000-område. </w:t>
      </w:r>
    </w:p>
    <w:p w14:paraId="76DA5CE7" w14:textId="77777777" w:rsidR="001B6722" w:rsidRPr="004B14BD" w:rsidRDefault="001B6722" w:rsidP="001B6722">
      <w:pPr>
        <w:rPr>
          <w:color w:val="FF0000"/>
          <w:szCs w:val="24"/>
        </w:rPr>
      </w:pPr>
    </w:p>
    <w:p w14:paraId="760F8E25" w14:textId="7394FE5E" w:rsidR="00F76CEF" w:rsidRPr="004B14BD" w:rsidRDefault="001E6B8B" w:rsidP="00F76CEF">
      <w:pPr>
        <w:rPr>
          <w:b/>
          <w:bCs/>
          <w:color w:val="000000" w:themeColor="text1"/>
          <w:szCs w:val="24"/>
        </w:rPr>
      </w:pPr>
      <w:r w:rsidRPr="004B14BD">
        <w:rPr>
          <w:b/>
          <w:bCs/>
          <w:color w:val="000000" w:themeColor="text1"/>
          <w:szCs w:val="24"/>
        </w:rPr>
        <w:t>Luftimmission i relation til Natura 2000-område</w:t>
      </w:r>
    </w:p>
    <w:p w14:paraId="35EF4E1E" w14:textId="77777777" w:rsidR="0078415E" w:rsidRPr="004B14BD" w:rsidRDefault="0078415E" w:rsidP="00F76CEF">
      <w:pPr>
        <w:rPr>
          <w:b/>
          <w:bCs/>
          <w:color w:val="000000" w:themeColor="text1"/>
          <w:szCs w:val="24"/>
        </w:rPr>
      </w:pPr>
    </w:p>
    <w:p w14:paraId="21FF465B" w14:textId="6E71F372" w:rsidR="00CC1394" w:rsidRPr="004B14BD" w:rsidRDefault="00CC1394" w:rsidP="00CC1394">
      <w:pPr>
        <w:rPr>
          <w:color w:val="000000" w:themeColor="text1"/>
          <w:szCs w:val="24"/>
        </w:rPr>
      </w:pPr>
      <w:r w:rsidRPr="004B14BD">
        <w:rPr>
          <w:color w:val="000000" w:themeColor="text1"/>
          <w:szCs w:val="24"/>
        </w:rPr>
        <w:t>Under test og vedligehold af nødgeneratorerne vil der være luftemissioner fra forbrænding</w:t>
      </w:r>
      <w:r w:rsidR="00A771EB" w:rsidRPr="004B14BD">
        <w:rPr>
          <w:color w:val="000000" w:themeColor="text1"/>
          <w:szCs w:val="24"/>
        </w:rPr>
        <w:t xml:space="preserve"> af diesel</w:t>
      </w:r>
      <w:r w:rsidRPr="004B14BD">
        <w:rPr>
          <w:color w:val="000000" w:themeColor="text1"/>
          <w:szCs w:val="24"/>
        </w:rPr>
        <w:t xml:space="preserve">. Under daglig normal drift, er der ingen emissioner fra nødstrømsanlægget. </w:t>
      </w:r>
    </w:p>
    <w:p w14:paraId="40221B77" w14:textId="77777777" w:rsidR="00CC1394" w:rsidRPr="004B14BD" w:rsidRDefault="00CC1394" w:rsidP="00CC1394">
      <w:pPr>
        <w:rPr>
          <w:color w:val="000000" w:themeColor="text1"/>
          <w:szCs w:val="24"/>
        </w:rPr>
      </w:pPr>
    </w:p>
    <w:p w14:paraId="1864A536" w14:textId="4254F7AA" w:rsidR="00CC1394" w:rsidRPr="004B14BD" w:rsidRDefault="00CC1394" w:rsidP="00CC1394">
      <w:pPr>
        <w:rPr>
          <w:color w:val="000000" w:themeColor="text1"/>
          <w:szCs w:val="24"/>
        </w:rPr>
      </w:pPr>
      <w:r w:rsidRPr="004B14BD">
        <w:rPr>
          <w:color w:val="000000" w:themeColor="text1"/>
          <w:szCs w:val="24"/>
        </w:rPr>
        <w:t xml:space="preserve">Udledningen af NOx i forbindelse </w:t>
      </w:r>
      <w:r w:rsidR="00A771EB" w:rsidRPr="004B14BD">
        <w:rPr>
          <w:color w:val="000000" w:themeColor="text1"/>
          <w:szCs w:val="24"/>
        </w:rPr>
        <w:t xml:space="preserve">med </w:t>
      </w:r>
      <w:r w:rsidRPr="004B14BD">
        <w:rPr>
          <w:color w:val="000000" w:themeColor="text1"/>
          <w:szCs w:val="24"/>
        </w:rPr>
        <w:t>afbrænding af dieselolie, kan bidrage til depositionen af kvælstof i de omkringliggende områder og naturområderne Vasby og Sengeløse Mose. Deposition er særligt relevant ved store industrier og landbrug, som har væsentlige udledninger mere eller mindre året rundt. Deposition regnes i enheden kg/ha/år.</w:t>
      </w:r>
    </w:p>
    <w:p w14:paraId="3EE2EC8F" w14:textId="77777777" w:rsidR="00CC1394" w:rsidRPr="004B14BD" w:rsidRDefault="00CC1394" w:rsidP="00CC1394">
      <w:pPr>
        <w:rPr>
          <w:color w:val="000000" w:themeColor="text1"/>
          <w:szCs w:val="24"/>
        </w:rPr>
      </w:pPr>
    </w:p>
    <w:p w14:paraId="67742B59" w14:textId="2241B077" w:rsidR="00CC1394" w:rsidRPr="004B14BD" w:rsidRDefault="00CC1394" w:rsidP="00CC1394">
      <w:pPr>
        <w:rPr>
          <w:color w:val="000000" w:themeColor="text1"/>
          <w:szCs w:val="24"/>
        </w:rPr>
      </w:pPr>
      <w:r w:rsidRPr="004B14BD">
        <w:rPr>
          <w:color w:val="000000" w:themeColor="text1"/>
          <w:szCs w:val="24"/>
        </w:rPr>
        <w:t>NOx er</w:t>
      </w:r>
      <w:r w:rsidR="00FF4176" w:rsidRPr="004B14BD">
        <w:rPr>
          <w:color w:val="000000" w:themeColor="text1"/>
          <w:szCs w:val="24"/>
        </w:rPr>
        <w:t xml:space="preserve"> </w:t>
      </w:r>
      <w:r w:rsidRPr="004B14BD">
        <w:rPr>
          <w:color w:val="000000" w:themeColor="text1"/>
          <w:szCs w:val="24"/>
        </w:rPr>
        <w:t>den primære forurenende komponent</w:t>
      </w:r>
      <w:r w:rsidR="00053E20" w:rsidRPr="004B14BD">
        <w:rPr>
          <w:color w:val="000000" w:themeColor="text1"/>
          <w:szCs w:val="24"/>
        </w:rPr>
        <w:t>,</w:t>
      </w:r>
      <w:r w:rsidRPr="004B14BD">
        <w:rPr>
          <w:color w:val="000000" w:themeColor="text1"/>
          <w:szCs w:val="24"/>
        </w:rPr>
        <w:t xml:space="preserve"> når man vurderer påvirkning af naturområder ved</w:t>
      </w:r>
      <w:r w:rsidR="000747AB" w:rsidRPr="004B14BD">
        <w:rPr>
          <w:color w:val="000000" w:themeColor="text1"/>
          <w:szCs w:val="24"/>
        </w:rPr>
        <w:t xml:space="preserve"> </w:t>
      </w:r>
      <w:r w:rsidRPr="004B14BD">
        <w:rPr>
          <w:color w:val="000000" w:themeColor="text1"/>
          <w:szCs w:val="24"/>
        </w:rPr>
        <w:t>afbrænding af diesel i motorer.</w:t>
      </w:r>
    </w:p>
    <w:p w14:paraId="09E66A2E" w14:textId="77777777" w:rsidR="00CC1394" w:rsidRPr="004B14BD" w:rsidRDefault="00CC1394" w:rsidP="00CC1394">
      <w:pPr>
        <w:rPr>
          <w:color w:val="000000" w:themeColor="text1"/>
          <w:szCs w:val="24"/>
        </w:rPr>
      </w:pPr>
    </w:p>
    <w:p w14:paraId="0ADDD719" w14:textId="13C0197B" w:rsidR="00CC1394" w:rsidRPr="004B14BD" w:rsidRDefault="00CC1394" w:rsidP="00CC1394">
      <w:pPr>
        <w:rPr>
          <w:szCs w:val="24"/>
        </w:rPr>
      </w:pPr>
      <w:r w:rsidRPr="004B14BD">
        <w:rPr>
          <w:szCs w:val="24"/>
        </w:rPr>
        <w:t xml:space="preserve">Der er udført en OML-beregning </w:t>
      </w:r>
      <w:r w:rsidR="00FF4176" w:rsidRPr="004B14BD">
        <w:rPr>
          <w:szCs w:val="24"/>
        </w:rPr>
        <w:t xml:space="preserve">i forbindelse med ansøgning om miljøgodkendelse </w:t>
      </w:r>
      <w:r w:rsidRPr="004B14BD">
        <w:rPr>
          <w:szCs w:val="24"/>
        </w:rPr>
        <w:t>(</w:t>
      </w:r>
      <w:r w:rsidR="003649B9" w:rsidRPr="004B14BD">
        <w:rPr>
          <w:szCs w:val="24"/>
        </w:rPr>
        <w:t xml:space="preserve">vedlagt som </w:t>
      </w:r>
      <w:r w:rsidRPr="004B14BD">
        <w:rPr>
          <w:szCs w:val="24"/>
        </w:rPr>
        <w:t>Bilag 3 til ansøgning om miljøgodkendelse)</w:t>
      </w:r>
      <w:r w:rsidR="00035731" w:rsidRPr="004B14BD">
        <w:rPr>
          <w:szCs w:val="24"/>
        </w:rPr>
        <w:t xml:space="preserve">. Den </w:t>
      </w:r>
      <w:r w:rsidRPr="004B14BD">
        <w:rPr>
          <w:szCs w:val="24"/>
        </w:rPr>
        <w:t>viser, at den maksimale beregnede immissionskoncentration af NOx, regnet som NO</w:t>
      </w:r>
      <w:r w:rsidRPr="004B14BD">
        <w:rPr>
          <w:szCs w:val="24"/>
          <w:vertAlign w:val="subscript"/>
        </w:rPr>
        <w:t>2</w:t>
      </w:r>
      <w:r w:rsidRPr="004B14BD">
        <w:rPr>
          <w:szCs w:val="24"/>
        </w:rPr>
        <w:t>, er på</w:t>
      </w:r>
      <w:r w:rsidR="00FF4176" w:rsidRPr="004B14BD">
        <w:rPr>
          <w:szCs w:val="24"/>
        </w:rPr>
        <w:t xml:space="preserve"> </w:t>
      </w:r>
      <w:r w:rsidRPr="004B14BD">
        <w:rPr>
          <w:szCs w:val="24"/>
        </w:rPr>
        <w:t>98,59 µg/m</w:t>
      </w:r>
      <w:r w:rsidRPr="004B14BD">
        <w:rPr>
          <w:szCs w:val="24"/>
          <w:vertAlign w:val="superscript"/>
        </w:rPr>
        <w:t>3</w:t>
      </w:r>
      <w:r w:rsidRPr="004B14BD">
        <w:rPr>
          <w:szCs w:val="24"/>
        </w:rPr>
        <w:t xml:space="preserve"> i en afstand på 200 m fra afkastet. Immissionen falder herfra til 25 µg/m</w:t>
      </w:r>
      <w:r w:rsidRPr="004B14BD">
        <w:rPr>
          <w:szCs w:val="24"/>
          <w:vertAlign w:val="superscript"/>
        </w:rPr>
        <w:t>3</w:t>
      </w:r>
      <w:r w:rsidRPr="004B14BD">
        <w:rPr>
          <w:szCs w:val="24"/>
        </w:rPr>
        <w:t xml:space="preserve"> ved den maksimale beregningsafstand på 1.100 meter fra afkastet.</w:t>
      </w:r>
    </w:p>
    <w:p w14:paraId="7F2FB039" w14:textId="77777777" w:rsidR="00CC1394" w:rsidRPr="004B14BD" w:rsidRDefault="00CC1394" w:rsidP="00CC1394">
      <w:pPr>
        <w:rPr>
          <w:szCs w:val="24"/>
        </w:rPr>
      </w:pPr>
    </w:p>
    <w:p w14:paraId="23D49F0B" w14:textId="3026ABAA" w:rsidR="009F550D" w:rsidRPr="004B14BD" w:rsidRDefault="009F550D" w:rsidP="009F550D">
      <w:pPr>
        <w:rPr>
          <w:szCs w:val="24"/>
        </w:rPr>
      </w:pPr>
      <w:r w:rsidRPr="004B14BD">
        <w:rPr>
          <w:szCs w:val="24"/>
        </w:rPr>
        <w:t>Habitatområdet Vasby og Sengeløse Mose er beliggende mindst 4.000 meter fra</w:t>
      </w:r>
    </w:p>
    <w:p w14:paraId="4F184606" w14:textId="78CFC3F0" w:rsidR="009F550D" w:rsidRPr="004B14BD" w:rsidRDefault="009F550D" w:rsidP="009F550D">
      <w:pPr>
        <w:rPr>
          <w:szCs w:val="24"/>
        </w:rPr>
      </w:pPr>
      <w:r w:rsidRPr="004B14BD">
        <w:rPr>
          <w:szCs w:val="24"/>
        </w:rPr>
        <w:t>projektområdet og immissionspåvirkningen vil derfor være yderligere reduceret i forhold til de</w:t>
      </w:r>
      <w:r w:rsidR="0040069E" w:rsidRPr="004B14BD">
        <w:rPr>
          <w:szCs w:val="24"/>
        </w:rPr>
        <w:t xml:space="preserve"> </w:t>
      </w:r>
      <w:r w:rsidRPr="004B14BD">
        <w:rPr>
          <w:szCs w:val="24"/>
        </w:rPr>
        <w:t>beregnede koncentrationer.</w:t>
      </w:r>
    </w:p>
    <w:p w14:paraId="37AB5A1D" w14:textId="77777777" w:rsidR="009F550D" w:rsidRPr="004B14BD" w:rsidRDefault="009F550D" w:rsidP="009F550D">
      <w:pPr>
        <w:rPr>
          <w:szCs w:val="24"/>
        </w:rPr>
      </w:pPr>
    </w:p>
    <w:p w14:paraId="2A57B928" w14:textId="18D0F9C1" w:rsidR="00FF4176" w:rsidRPr="004B14BD" w:rsidRDefault="00FF4176" w:rsidP="00FF4176">
      <w:pPr>
        <w:rPr>
          <w:szCs w:val="24"/>
        </w:rPr>
      </w:pPr>
      <w:r w:rsidRPr="004B14BD">
        <w:rPr>
          <w:szCs w:val="24"/>
        </w:rPr>
        <w:t xml:space="preserve">Den samlede driftstid til test og vedligehold for det samlede nødstrømsanlæg er 96 timer og 20 min årligt. </w:t>
      </w:r>
      <w:r w:rsidR="009F550D" w:rsidRPr="004B14BD">
        <w:rPr>
          <w:szCs w:val="24"/>
        </w:rPr>
        <w:t xml:space="preserve">Det er dermed i alt ca. 4 døgn pr. år, der vil være immission fra anlægget. </w:t>
      </w:r>
      <w:r w:rsidRPr="004B14BD">
        <w:rPr>
          <w:szCs w:val="24"/>
        </w:rPr>
        <w:t xml:space="preserve">OML-beregninger er </w:t>
      </w:r>
      <w:r w:rsidR="009F550D" w:rsidRPr="004B14BD">
        <w:rPr>
          <w:szCs w:val="24"/>
        </w:rPr>
        <w:t xml:space="preserve">tillige </w:t>
      </w:r>
      <w:r w:rsidRPr="004B14BD">
        <w:rPr>
          <w:szCs w:val="24"/>
        </w:rPr>
        <w:t xml:space="preserve">gennemført meget konservativt med dobbelt kildestyrke for at sikre, at </w:t>
      </w:r>
      <w:r w:rsidR="005906B2" w:rsidRPr="004B14BD">
        <w:rPr>
          <w:szCs w:val="24"/>
        </w:rPr>
        <w:t>B-værdi</w:t>
      </w:r>
      <w:r w:rsidRPr="004B14BD">
        <w:rPr>
          <w:szCs w:val="24"/>
        </w:rPr>
        <w:t xml:space="preserve">er (bidragsværdier) hos nærliggende naboer er overholdt med meget god margin. Dvs. </w:t>
      </w:r>
      <w:r w:rsidR="009F550D" w:rsidRPr="004B14BD">
        <w:rPr>
          <w:szCs w:val="24"/>
        </w:rPr>
        <w:t xml:space="preserve">de beregnede </w:t>
      </w:r>
      <w:r w:rsidRPr="004B14BD">
        <w:rPr>
          <w:szCs w:val="24"/>
        </w:rPr>
        <w:t xml:space="preserve">koncentrationer i OML-beregningerne er </w:t>
      </w:r>
      <w:r w:rsidR="009F550D" w:rsidRPr="004B14BD">
        <w:rPr>
          <w:szCs w:val="24"/>
        </w:rPr>
        <w:t xml:space="preserve">også </w:t>
      </w:r>
      <w:r w:rsidRPr="004B14BD">
        <w:rPr>
          <w:szCs w:val="24"/>
        </w:rPr>
        <w:t>dobbelt så store, som de er ved reel test og vedligehold.</w:t>
      </w:r>
    </w:p>
    <w:p w14:paraId="3589CD8A" w14:textId="029EF643" w:rsidR="00F07EB6" w:rsidRPr="004B14BD" w:rsidRDefault="00F07EB6" w:rsidP="00CC1394">
      <w:pPr>
        <w:rPr>
          <w:szCs w:val="24"/>
        </w:rPr>
      </w:pPr>
    </w:p>
    <w:p w14:paraId="3BDDE680" w14:textId="2D7B46DB" w:rsidR="00F07EB6" w:rsidRPr="004B14BD" w:rsidRDefault="00031CE2" w:rsidP="00F07EB6">
      <w:pPr>
        <w:rPr>
          <w:szCs w:val="24"/>
        </w:rPr>
      </w:pPr>
      <w:r w:rsidRPr="004B14BD">
        <w:rPr>
          <w:szCs w:val="24"/>
        </w:rPr>
        <w:lastRenderedPageBreak/>
        <w:t>SWECOs notat redegør for, at d</w:t>
      </w:r>
      <w:r w:rsidR="00F07EB6" w:rsidRPr="004B14BD">
        <w:rPr>
          <w:szCs w:val="24"/>
        </w:rPr>
        <w:t xml:space="preserve">er hidtil </w:t>
      </w:r>
      <w:r w:rsidRPr="004B14BD">
        <w:rPr>
          <w:szCs w:val="24"/>
        </w:rPr>
        <w:t xml:space="preserve">har </w:t>
      </w:r>
      <w:r w:rsidR="00F07EB6" w:rsidRPr="004B14BD">
        <w:rPr>
          <w:szCs w:val="24"/>
        </w:rPr>
        <w:t>været et fald på ca. 0,25 µg/m</w:t>
      </w:r>
      <w:r w:rsidR="00F07EB6" w:rsidRPr="004B14BD">
        <w:rPr>
          <w:szCs w:val="24"/>
          <w:vertAlign w:val="superscript"/>
        </w:rPr>
        <w:t>3</w:t>
      </w:r>
      <w:r w:rsidR="00FF4176" w:rsidRPr="004B14BD">
        <w:rPr>
          <w:szCs w:val="24"/>
        </w:rPr>
        <w:t xml:space="preserve"> </w:t>
      </w:r>
      <w:r w:rsidR="00F07EB6" w:rsidRPr="004B14BD">
        <w:rPr>
          <w:szCs w:val="24"/>
        </w:rPr>
        <w:t>per år i baggrundskoncentrationen af NO</w:t>
      </w:r>
      <w:r w:rsidR="00F07EB6" w:rsidRPr="004B14BD">
        <w:rPr>
          <w:szCs w:val="24"/>
          <w:vertAlign w:val="subscript"/>
        </w:rPr>
        <w:t>2</w:t>
      </w:r>
      <w:r w:rsidR="00F07EB6" w:rsidRPr="004B14BD">
        <w:rPr>
          <w:szCs w:val="24"/>
        </w:rPr>
        <w:t>. Miljøstyrelsen vurderede i Luft-kvalitetsplan 2011, at de europæiske</w:t>
      </w:r>
      <w:r w:rsidR="009F550D" w:rsidRPr="004B14BD">
        <w:rPr>
          <w:szCs w:val="24"/>
        </w:rPr>
        <w:t xml:space="preserve"> </w:t>
      </w:r>
      <w:r w:rsidR="00F07EB6" w:rsidRPr="004B14BD">
        <w:rPr>
          <w:szCs w:val="24"/>
        </w:rPr>
        <w:t>NOx-emissioner vil falde i de kommende år, og at der derfor fortsat kan forventes et fald.</w:t>
      </w:r>
      <w:r w:rsidR="009F550D" w:rsidRPr="004B14BD">
        <w:rPr>
          <w:szCs w:val="24"/>
        </w:rPr>
        <w:t xml:space="preserve"> </w:t>
      </w:r>
      <w:r w:rsidR="00F07EB6" w:rsidRPr="004B14BD">
        <w:rPr>
          <w:szCs w:val="24"/>
        </w:rPr>
        <w:t>DCE har for luftmålestation Risø rapporteret en</w:t>
      </w:r>
      <w:r w:rsidR="009F550D" w:rsidRPr="004B14BD">
        <w:rPr>
          <w:szCs w:val="24"/>
        </w:rPr>
        <w:t xml:space="preserve"> </w:t>
      </w:r>
      <w:r w:rsidR="00F07EB6" w:rsidRPr="004B14BD">
        <w:rPr>
          <w:szCs w:val="24"/>
        </w:rPr>
        <w:t>årsmiddel baggrundskoncentration af NOx beregnet som NO</w:t>
      </w:r>
      <w:r w:rsidR="00F07EB6" w:rsidRPr="004B14BD">
        <w:rPr>
          <w:szCs w:val="24"/>
          <w:vertAlign w:val="subscript"/>
        </w:rPr>
        <w:t>2</w:t>
      </w:r>
      <w:r w:rsidR="00F07EB6" w:rsidRPr="004B14BD">
        <w:rPr>
          <w:szCs w:val="24"/>
        </w:rPr>
        <w:t xml:space="preserve"> for landområder på 7,1 µg/m</w:t>
      </w:r>
      <w:r w:rsidR="00F07EB6" w:rsidRPr="004B14BD">
        <w:rPr>
          <w:szCs w:val="24"/>
          <w:vertAlign w:val="superscript"/>
        </w:rPr>
        <w:t>3</w:t>
      </w:r>
      <w:r w:rsidRPr="004B14BD">
        <w:rPr>
          <w:szCs w:val="24"/>
        </w:rPr>
        <w:t xml:space="preserve"> </w:t>
      </w:r>
      <w:r w:rsidR="00F07EB6" w:rsidRPr="004B14BD">
        <w:rPr>
          <w:szCs w:val="24"/>
        </w:rPr>
        <w:t>og tilsvarende en by-baggrunds-koncentration for København på 14 µg/m</w:t>
      </w:r>
      <w:r w:rsidR="00F07EB6" w:rsidRPr="002963E1">
        <w:rPr>
          <w:szCs w:val="24"/>
          <w:vertAlign w:val="superscript"/>
        </w:rPr>
        <w:t>3</w:t>
      </w:r>
      <w:r w:rsidR="00F07EB6" w:rsidRPr="004B14BD">
        <w:rPr>
          <w:szCs w:val="24"/>
        </w:rPr>
        <w:t>. Det vurderes på baggrund af ovenstående, at den beregnede im</w:t>
      </w:r>
      <w:r w:rsidRPr="004B14BD">
        <w:rPr>
          <w:szCs w:val="24"/>
        </w:rPr>
        <w:t>m</w:t>
      </w:r>
      <w:r w:rsidR="00F07EB6" w:rsidRPr="004B14BD">
        <w:rPr>
          <w:szCs w:val="24"/>
        </w:rPr>
        <w:t>issionskoncentration for</w:t>
      </w:r>
      <w:r w:rsidR="009F550D" w:rsidRPr="004B14BD">
        <w:rPr>
          <w:szCs w:val="24"/>
        </w:rPr>
        <w:t xml:space="preserve"> </w:t>
      </w:r>
      <w:r w:rsidR="00F07EB6" w:rsidRPr="004B14BD">
        <w:rPr>
          <w:szCs w:val="24"/>
        </w:rPr>
        <w:t>NOx ved Habitatområdet er ca. 8 µg/m</w:t>
      </w:r>
      <w:r w:rsidR="00F07EB6" w:rsidRPr="004B14BD">
        <w:rPr>
          <w:szCs w:val="24"/>
          <w:vertAlign w:val="superscript"/>
        </w:rPr>
        <w:t>3</w:t>
      </w:r>
      <w:r w:rsidR="009F550D" w:rsidRPr="004B14BD">
        <w:rPr>
          <w:szCs w:val="24"/>
        </w:rPr>
        <w:t xml:space="preserve"> </w:t>
      </w:r>
      <w:r w:rsidR="00F07EB6" w:rsidRPr="004B14BD">
        <w:rPr>
          <w:szCs w:val="24"/>
        </w:rPr>
        <w:t>svarende til baggrundskoncentrationen for området.</w:t>
      </w:r>
    </w:p>
    <w:p w14:paraId="72115488" w14:textId="77777777" w:rsidR="009F550D" w:rsidRPr="004B14BD" w:rsidRDefault="009F550D" w:rsidP="00F07EB6">
      <w:pPr>
        <w:rPr>
          <w:szCs w:val="24"/>
        </w:rPr>
      </w:pPr>
    </w:p>
    <w:p w14:paraId="26ED82D2" w14:textId="1750B104" w:rsidR="00F07EB6" w:rsidRPr="004B14BD" w:rsidRDefault="00F07EB6" w:rsidP="00F07EB6">
      <w:pPr>
        <w:rPr>
          <w:szCs w:val="24"/>
        </w:rPr>
      </w:pPr>
      <w:r w:rsidRPr="004B14BD">
        <w:rPr>
          <w:szCs w:val="24"/>
        </w:rPr>
        <w:t>Den samlede deposition i 2019 af kvælstofforbindelser inkl. ammoniak, er for Risø</w:t>
      </w:r>
      <w:r w:rsidR="00031CE2" w:rsidRPr="004B14BD">
        <w:rPr>
          <w:szCs w:val="24"/>
        </w:rPr>
        <w:t xml:space="preserve"> </w:t>
      </w:r>
      <w:r w:rsidRPr="004B14BD">
        <w:rPr>
          <w:szCs w:val="24"/>
        </w:rPr>
        <w:t>rapporteret til 8,9 kg N/ha og for Sjælland som helhed 11 kg N/ha. Det vurderes at</w:t>
      </w:r>
      <w:r w:rsidR="00031CE2" w:rsidRPr="004B14BD">
        <w:rPr>
          <w:szCs w:val="24"/>
        </w:rPr>
        <w:t xml:space="preserve"> </w:t>
      </w:r>
      <w:r w:rsidRPr="004B14BD">
        <w:rPr>
          <w:szCs w:val="24"/>
        </w:rPr>
        <w:t xml:space="preserve">deposition for Risø kan betragtes som repræsentativ for Vasby og Sengeløse </w:t>
      </w:r>
      <w:r w:rsidR="00DB2654" w:rsidRPr="004B14BD">
        <w:rPr>
          <w:szCs w:val="24"/>
        </w:rPr>
        <w:t>M</w:t>
      </w:r>
      <w:r w:rsidRPr="004B14BD">
        <w:rPr>
          <w:szCs w:val="24"/>
        </w:rPr>
        <w:t>ose.</w:t>
      </w:r>
    </w:p>
    <w:p w14:paraId="1F4BBD65" w14:textId="77777777" w:rsidR="004F0685" w:rsidRPr="004B14BD" w:rsidRDefault="004F0685" w:rsidP="00F07EB6">
      <w:pPr>
        <w:rPr>
          <w:szCs w:val="24"/>
        </w:rPr>
      </w:pPr>
    </w:p>
    <w:p w14:paraId="0D5655D0" w14:textId="2D82E951" w:rsidR="00F07EB6" w:rsidRPr="004B14BD" w:rsidRDefault="00F07EB6" w:rsidP="00F07EB6">
      <w:pPr>
        <w:rPr>
          <w:szCs w:val="24"/>
        </w:rPr>
      </w:pPr>
      <w:r w:rsidRPr="004B14BD">
        <w:rPr>
          <w:szCs w:val="24"/>
        </w:rPr>
        <w:t>Tålegrænserne for følsomme danske naturtyper er generelt for moser 10-25 kg N/ha;</w:t>
      </w:r>
      <w:r w:rsidR="004F0685" w:rsidRPr="004B14BD">
        <w:rPr>
          <w:szCs w:val="24"/>
        </w:rPr>
        <w:t xml:space="preserve"> </w:t>
      </w:r>
      <w:r w:rsidRPr="004B14BD">
        <w:rPr>
          <w:szCs w:val="24"/>
        </w:rPr>
        <w:t>hængesæk 10-15 kg N/ha og for rigkær 15-25 kg N/ha. Skovbevoksede tørvemoser og Elle</w:t>
      </w:r>
      <w:r w:rsidR="004F0685" w:rsidRPr="004B14BD">
        <w:rPr>
          <w:szCs w:val="24"/>
        </w:rPr>
        <w:t>-</w:t>
      </w:r>
      <w:r w:rsidRPr="004B14BD">
        <w:rPr>
          <w:szCs w:val="24"/>
        </w:rPr>
        <w:t>og askeskove ved vandløb, søer og væld 10-20 kg N/ha.</w:t>
      </w:r>
    </w:p>
    <w:p w14:paraId="123D8C17" w14:textId="77777777" w:rsidR="004F0685" w:rsidRPr="004B14BD" w:rsidRDefault="004F0685" w:rsidP="00F07EB6">
      <w:pPr>
        <w:rPr>
          <w:szCs w:val="24"/>
        </w:rPr>
      </w:pPr>
    </w:p>
    <w:p w14:paraId="275A14A0" w14:textId="64D17627" w:rsidR="00F07EB6" w:rsidRPr="004B14BD" w:rsidRDefault="00F07EB6" w:rsidP="00F07EB6">
      <w:pPr>
        <w:rPr>
          <w:szCs w:val="24"/>
        </w:rPr>
      </w:pPr>
      <w:r w:rsidRPr="004B14BD">
        <w:rPr>
          <w:szCs w:val="24"/>
        </w:rPr>
        <w:t>På baggrund af den beregnede NOx emission og meget begrænsede årlige driftstid,</w:t>
      </w:r>
      <w:r w:rsidR="004F0685" w:rsidRPr="004B14BD">
        <w:rPr>
          <w:szCs w:val="24"/>
        </w:rPr>
        <w:t xml:space="preserve"> </w:t>
      </w:r>
      <w:r w:rsidRPr="004B14BD">
        <w:rPr>
          <w:szCs w:val="24"/>
        </w:rPr>
        <w:t xml:space="preserve">vurderes </w:t>
      </w:r>
      <w:r w:rsidR="0040069E" w:rsidRPr="004B14BD">
        <w:rPr>
          <w:szCs w:val="24"/>
        </w:rPr>
        <w:t xml:space="preserve">det, </w:t>
      </w:r>
      <w:r w:rsidRPr="004B14BD">
        <w:rPr>
          <w:szCs w:val="24"/>
        </w:rPr>
        <w:t>at påvirkningen fra nødstrømsanlægget på habitatområde</w:t>
      </w:r>
      <w:r w:rsidR="0040069E" w:rsidRPr="004B14BD">
        <w:rPr>
          <w:szCs w:val="24"/>
        </w:rPr>
        <w:t>t</w:t>
      </w:r>
      <w:r w:rsidRPr="004B14BD">
        <w:rPr>
          <w:szCs w:val="24"/>
        </w:rPr>
        <w:t xml:space="preserve"> vil være ubetydelig.</w:t>
      </w:r>
    </w:p>
    <w:p w14:paraId="3461A4C7" w14:textId="75F5CAE8" w:rsidR="001B6722" w:rsidRPr="004B14BD" w:rsidRDefault="001B6722" w:rsidP="001B6722">
      <w:pPr>
        <w:rPr>
          <w:szCs w:val="24"/>
        </w:rPr>
      </w:pPr>
    </w:p>
    <w:p w14:paraId="5D266A9C" w14:textId="548AED98" w:rsidR="00233520" w:rsidRPr="004B14BD" w:rsidRDefault="00233520" w:rsidP="00233520">
      <w:pPr>
        <w:rPr>
          <w:b/>
          <w:bCs/>
          <w:szCs w:val="24"/>
        </w:rPr>
      </w:pPr>
      <w:r w:rsidRPr="004B14BD">
        <w:rPr>
          <w:b/>
          <w:bCs/>
          <w:szCs w:val="24"/>
        </w:rPr>
        <w:t>Overfladevand i relation til Natura 2000-område</w:t>
      </w:r>
    </w:p>
    <w:p w14:paraId="70C9C8AB" w14:textId="77777777" w:rsidR="00280E25" w:rsidRPr="004B14BD" w:rsidRDefault="00280E25" w:rsidP="00233520">
      <w:pPr>
        <w:rPr>
          <w:b/>
          <w:bCs/>
          <w:szCs w:val="24"/>
        </w:rPr>
      </w:pPr>
    </w:p>
    <w:p w14:paraId="40D4E2D4" w14:textId="3A4F8170" w:rsidR="00233520" w:rsidRPr="004B14BD" w:rsidRDefault="00233520" w:rsidP="00233520">
      <w:pPr>
        <w:rPr>
          <w:szCs w:val="24"/>
        </w:rPr>
      </w:pPr>
      <w:r w:rsidRPr="004B14BD">
        <w:rPr>
          <w:szCs w:val="24"/>
        </w:rPr>
        <w:t xml:space="preserve">Overfladevand fra befæstede dele af projektområdet vil ledes via impermeable overflader til et af to forsinkelsesbassiner. Inden forsinkelsesbassinerne </w:t>
      </w:r>
      <w:r w:rsidR="00A04825" w:rsidRPr="004B14BD">
        <w:rPr>
          <w:szCs w:val="24"/>
        </w:rPr>
        <w:t>ledes</w:t>
      </w:r>
      <w:r w:rsidRPr="004B14BD">
        <w:rPr>
          <w:szCs w:val="24"/>
        </w:rPr>
        <w:t xml:space="preserve"> vandet igennem </w:t>
      </w:r>
      <w:r w:rsidR="00A04825" w:rsidRPr="004B14BD">
        <w:rPr>
          <w:szCs w:val="24"/>
        </w:rPr>
        <w:t>e</w:t>
      </w:r>
      <w:r w:rsidRPr="004B14BD">
        <w:rPr>
          <w:szCs w:val="24"/>
        </w:rPr>
        <w:t>n klasse 1 olieseparatorer (5 i alt). Begge forsinkelsesbassine</w:t>
      </w:r>
      <w:r w:rsidR="00A04825" w:rsidRPr="004B14BD">
        <w:rPr>
          <w:szCs w:val="24"/>
        </w:rPr>
        <w:t>r</w:t>
      </w:r>
      <w:r w:rsidRPr="004B14BD">
        <w:rPr>
          <w:szCs w:val="24"/>
        </w:rPr>
        <w:t xml:space="preserve"> vil blive udformet med et forbassin med en hævet barriere i bunden, inden overfladevandet </w:t>
      </w:r>
      <w:r w:rsidR="00A04825" w:rsidRPr="004B14BD">
        <w:rPr>
          <w:szCs w:val="24"/>
        </w:rPr>
        <w:t>ledes</w:t>
      </w:r>
      <w:r w:rsidRPr="004B14BD">
        <w:rPr>
          <w:szCs w:val="24"/>
        </w:rPr>
        <w:t xml:space="preserve"> videre til resten af bassinet. Forsinkelsesbassinet vest for datacenteret vil blive udført som tørbassin. Bassinet øst for datacenteret udføres dels som et vådt bassin (bassin 1) og et efterfølgende tørt bassin. På grund af udformningen af forbassin og hævet barriere vil der ske sedimentation i forbassinet, som vil skabe en rensende effekt, hovedsageligt på grund af sedimentation af partikler. </w:t>
      </w:r>
    </w:p>
    <w:p w14:paraId="4974BFA1" w14:textId="77777777" w:rsidR="00233520" w:rsidRPr="004B14BD" w:rsidRDefault="00233520" w:rsidP="00233520">
      <w:pPr>
        <w:rPr>
          <w:color w:val="FF0000"/>
          <w:szCs w:val="24"/>
        </w:rPr>
      </w:pPr>
    </w:p>
    <w:p w14:paraId="70503F4C" w14:textId="3EC775EC" w:rsidR="00233520" w:rsidRPr="004B14BD" w:rsidRDefault="00233520" w:rsidP="00233520">
      <w:pPr>
        <w:rPr>
          <w:szCs w:val="24"/>
        </w:rPr>
      </w:pPr>
      <w:r w:rsidRPr="004B14BD">
        <w:rPr>
          <w:szCs w:val="24"/>
        </w:rPr>
        <w:t>Forsinkelsesbassinerne er dimensioneret til at kunne tilbageholde vand fra en 100-årshændelse + 20% klimatillæg.</w:t>
      </w:r>
    </w:p>
    <w:p w14:paraId="503B6D36" w14:textId="77777777" w:rsidR="00233520" w:rsidRPr="004B14BD" w:rsidRDefault="00233520" w:rsidP="00233520">
      <w:pPr>
        <w:rPr>
          <w:color w:val="FF0000"/>
          <w:szCs w:val="24"/>
        </w:rPr>
      </w:pPr>
    </w:p>
    <w:p w14:paraId="71761EFD" w14:textId="0957AF7F" w:rsidR="004F0685" w:rsidRPr="004B14BD" w:rsidRDefault="00233520" w:rsidP="00233520">
      <w:pPr>
        <w:rPr>
          <w:szCs w:val="24"/>
        </w:rPr>
      </w:pPr>
      <w:r w:rsidRPr="004B14BD">
        <w:rPr>
          <w:szCs w:val="24"/>
        </w:rPr>
        <w:t>Der ansøges om tilladelse til afløb på 2 x 9,6 l/s, som er det tilladte afløb til det offentlige kloaksystem.</w:t>
      </w:r>
      <w:r w:rsidR="00A04825" w:rsidRPr="004B14BD">
        <w:rPr>
          <w:szCs w:val="24"/>
        </w:rPr>
        <w:t xml:space="preserve"> </w:t>
      </w:r>
      <w:r w:rsidRPr="004B14BD">
        <w:rPr>
          <w:szCs w:val="24"/>
        </w:rPr>
        <w:t xml:space="preserve">Da overfladevand afleveres til HTK Forsyning separatkloakerede </w:t>
      </w:r>
      <w:r w:rsidR="00A04825" w:rsidRPr="004B14BD">
        <w:rPr>
          <w:szCs w:val="24"/>
        </w:rPr>
        <w:t>kloak</w:t>
      </w:r>
      <w:r w:rsidRPr="004B14BD">
        <w:rPr>
          <w:szCs w:val="24"/>
        </w:rPr>
        <w:t>vandssystem</w:t>
      </w:r>
      <w:r w:rsidR="00C37215" w:rsidRPr="004B14BD">
        <w:rPr>
          <w:szCs w:val="24"/>
        </w:rPr>
        <w:t xml:space="preserve">, </w:t>
      </w:r>
      <w:r w:rsidRPr="004B14BD">
        <w:rPr>
          <w:szCs w:val="24"/>
        </w:rPr>
        <w:t>vurderes det, at der ikke vil ske en væsentlig påvirkning af udpegningsgrundlaget for Vasby og Sengeløse Mose.</w:t>
      </w:r>
    </w:p>
    <w:p w14:paraId="275EDF6F" w14:textId="77777777" w:rsidR="00A04825" w:rsidRPr="004B14BD" w:rsidRDefault="00A04825" w:rsidP="00233520">
      <w:pPr>
        <w:rPr>
          <w:color w:val="FF0000"/>
          <w:szCs w:val="24"/>
        </w:rPr>
      </w:pPr>
    </w:p>
    <w:p w14:paraId="20FB2948" w14:textId="082429E8" w:rsidR="001B6722" w:rsidRPr="004B14BD" w:rsidRDefault="001B6722" w:rsidP="002261FF">
      <w:pPr>
        <w:rPr>
          <w:b/>
          <w:bCs/>
        </w:rPr>
      </w:pPr>
      <w:bookmarkStart w:id="53" w:name="_Toc424893130"/>
      <w:r w:rsidRPr="004B14BD">
        <w:rPr>
          <w:b/>
          <w:bCs/>
        </w:rPr>
        <w:t>Bilag IV-arter</w:t>
      </w:r>
      <w:bookmarkEnd w:id="53"/>
    </w:p>
    <w:p w14:paraId="6E685E67" w14:textId="77777777" w:rsidR="00280E25" w:rsidRPr="004B14BD" w:rsidRDefault="00280E25" w:rsidP="002261FF">
      <w:pPr>
        <w:rPr>
          <w:b/>
          <w:bCs/>
          <w:color w:val="FF0000"/>
        </w:rPr>
      </w:pPr>
    </w:p>
    <w:p w14:paraId="5E6B7177" w14:textId="1788BEC9" w:rsidR="001B6722" w:rsidRPr="004B14BD" w:rsidRDefault="001B6722" w:rsidP="001B6722">
      <w:pPr>
        <w:rPr>
          <w:szCs w:val="24"/>
        </w:rPr>
      </w:pPr>
      <w:r w:rsidRPr="004B14BD">
        <w:rPr>
          <w:szCs w:val="24"/>
        </w:rPr>
        <w:t>I henhold til Habitatbekendtgørelsens § 10, stk. 1, skal der foretages en vurdering af virksomhedens aktiviteter i forhold til de arter, der er beskyttet i henhold til Habitatdirektivets bilag IV.</w:t>
      </w:r>
    </w:p>
    <w:p w14:paraId="4F0E7716" w14:textId="77777777" w:rsidR="00822F7D" w:rsidRPr="004B14BD" w:rsidRDefault="00822F7D" w:rsidP="00822F7D">
      <w:pPr>
        <w:rPr>
          <w:color w:val="FF0000"/>
          <w:szCs w:val="24"/>
        </w:rPr>
      </w:pPr>
    </w:p>
    <w:p w14:paraId="4B9BBC97" w14:textId="25AE9D19" w:rsidR="00822F7D" w:rsidRPr="004B14BD" w:rsidRDefault="00822F7D" w:rsidP="00822F7D">
      <w:pPr>
        <w:rPr>
          <w:szCs w:val="24"/>
        </w:rPr>
      </w:pPr>
      <w:r w:rsidRPr="004B14BD">
        <w:rPr>
          <w:szCs w:val="24"/>
        </w:rPr>
        <w:t xml:space="preserve">Ifølge Danmarks </w:t>
      </w:r>
      <w:r w:rsidR="00AD380F">
        <w:rPr>
          <w:szCs w:val="24"/>
        </w:rPr>
        <w:t>M</w:t>
      </w:r>
      <w:r w:rsidRPr="004B14BD">
        <w:rPr>
          <w:szCs w:val="24"/>
        </w:rPr>
        <w:t xml:space="preserve">iljøportal og biodiversitetskortet er der ikke gjort særlige artsfund på projektområdet. Der er et lille vandhul i den sydlige ende af området, hvor der har været foretaget en kommunal besigtigelse i 2019. Vandhullet er beskrevet som en tilgroet mergelgrav i udkanten af en rapsmark samt omkranset af et tæt krat og med pilekrat i vandfasen. I den kommunale besigtigelse er vandhullet registreret som §3-vandhul, men det er ikke registreret forekomst af padder, eller et alsidigt dyre- og planteliv. Tilsvarende vurdering er foretaget ved en besigtigelse i 2011, hvor det ligeledes blev vurderet at vandhullet ikke egner sig som levested for bilag IV-arterne stor </w:t>
      </w:r>
      <w:r w:rsidRPr="004B14BD">
        <w:rPr>
          <w:szCs w:val="24"/>
        </w:rPr>
        <w:lastRenderedPageBreak/>
        <w:t>vandsalamander og spidssnudet frø, men kunne være potentielt levested for lille vandsalamander.</w:t>
      </w:r>
    </w:p>
    <w:p w14:paraId="48E7ACAC" w14:textId="77777777" w:rsidR="00822F7D" w:rsidRPr="004B14BD" w:rsidRDefault="00822F7D" w:rsidP="00822F7D">
      <w:pPr>
        <w:rPr>
          <w:color w:val="FF0000"/>
          <w:szCs w:val="24"/>
        </w:rPr>
      </w:pPr>
    </w:p>
    <w:p w14:paraId="05B78EBF" w14:textId="014F1035" w:rsidR="00822F7D" w:rsidRPr="004B14BD" w:rsidRDefault="00822F7D" w:rsidP="00822F7D">
      <w:pPr>
        <w:rPr>
          <w:szCs w:val="24"/>
        </w:rPr>
      </w:pPr>
      <w:r w:rsidRPr="004B14BD">
        <w:rPr>
          <w:szCs w:val="24"/>
        </w:rPr>
        <w:t>Inden for projektområdet er der ikke registreret yderligere natur jf. databaserne naturdata.dk</w:t>
      </w:r>
      <w:r w:rsidR="00401E60" w:rsidRPr="004B14BD">
        <w:rPr>
          <w:szCs w:val="24"/>
        </w:rPr>
        <w:t xml:space="preserve"> </w:t>
      </w:r>
      <w:r w:rsidRPr="004B14BD">
        <w:rPr>
          <w:szCs w:val="24"/>
        </w:rPr>
        <w:t>og arter.dk, men der er registreret mindre områder med §3-beskyttede søer og en enkelt mose i pr</w:t>
      </w:r>
      <w:r w:rsidR="00401E60" w:rsidRPr="004B14BD">
        <w:rPr>
          <w:szCs w:val="24"/>
        </w:rPr>
        <w:t>o</w:t>
      </w:r>
      <w:r w:rsidRPr="004B14BD">
        <w:rPr>
          <w:szCs w:val="24"/>
        </w:rPr>
        <w:t>jektarealets nærområde.</w:t>
      </w:r>
    </w:p>
    <w:p w14:paraId="54EAE997" w14:textId="77777777" w:rsidR="00822F7D" w:rsidRPr="004B14BD" w:rsidRDefault="00822F7D" w:rsidP="00822F7D">
      <w:pPr>
        <w:rPr>
          <w:color w:val="FF0000"/>
          <w:szCs w:val="24"/>
        </w:rPr>
      </w:pPr>
    </w:p>
    <w:p w14:paraId="065D542F" w14:textId="0540F273" w:rsidR="00822F7D" w:rsidRPr="004B14BD" w:rsidRDefault="00822F7D" w:rsidP="00822F7D">
      <w:pPr>
        <w:rPr>
          <w:szCs w:val="24"/>
        </w:rPr>
      </w:pPr>
      <w:r w:rsidRPr="004B14BD">
        <w:rPr>
          <w:szCs w:val="24"/>
        </w:rPr>
        <w:t>De nærmeste fund af bilag IV-arter, rødlistede arter, fredede arter samt andre sårbare arter</w:t>
      </w:r>
      <w:r w:rsidR="00384782" w:rsidRPr="004B14BD">
        <w:rPr>
          <w:szCs w:val="24"/>
        </w:rPr>
        <w:t xml:space="preserve"> </w:t>
      </w:r>
      <w:r w:rsidRPr="004B14BD">
        <w:rPr>
          <w:szCs w:val="24"/>
        </w:rPr>
        <w:t>er undersøgt via de samme databaser; naturdata.dk og arter.dk. Der er især fokus på</w:t>
      </w:r>
      <w:r w:rsidR="00384782" w:rsidRPr="004B14BD">
        <w:rPr>
          <w:szCs w:val="24"/>
        </w:rPr>
        <w:t>,</w:t>
      </w:r>
      <w:r w:rsidRPr="004B14BD">
        <w:rPr>
          <w:szCs w:val="24"/>
        </w:rPr>
        <w:t xml:space="preserve"> om der er markfirben, padder samt flagermus, da det ud fra områdets anvendelse og strukturer er de mest oplagte</w:t>
      </w:r>
      <w:r w:rsidR="00384782" w:rsidRPr="004B14BD">
        <w:rPr>
          <w:szCs w:val="24"/>
        </w:rPr>
        <w:t xml:space="preserve"> </w:t>
      </w:r>
      <w:r w:rsidRPr="004B14BD">
        <w:rPr>
          <w:szCs w:val="24"/>
        </w:rPr>
        <w:t>arter i området. Områdets egnethed som levested for hasselmus er også vurderet, selvom der er</w:t>
      </w:r>
      <w:r w:rsidR="00384782" w:rsidRPr="004B14BD">
        <w:rPr>
          <w:szCs w:val="24"/>
        </w:rPr>
        <w:t xml:space="preserve"> </w:t>
      </w:r>
      <w:r w:rsidRPr="004B14BD">
        <w:rPr>
          <w:szCs w:val="24"/>
        </w:rPr>
        <w:t>langt til nærmeste bestand.</w:t>
      </w:r>
    </w:p>
    <w:p w14:paraId="480A2861" w14:textId="77777777" w:rsidR="00822F7D" w:rsidRPr="004B14BD" w:rsidRDefault="00822F7D" w:rsidP="00822F7D">
      <w:pPr>
        <w:rPr>
          <w:szCs w:val="24"/>
        </w:rPr>
      </w:pPr>
    </w:p>
    <w:p w14:paraId="291D87EA" w14:textId="7FC6B5FF" w:rsidR="00822F7D" w:rsidRPr="004B14BD" w:rsidRDefault="00822F7D" w:rsidP="00822F7D">
      <w:pPr>
        <w:rPr>
          <w:szCs w:val="24"/>
        </w:rPr>
      </w:pPr>
      <w:r w:rsidRPr="004B14BD">
        <w:rPr>
          <w:szCs w:val="24"/>
        </w:rPr>
        <w:t>De nærmeste bestande for ovenstående arter og grupper omfatter stor vandsalamander, spidssnudet frø, butsnudet frø, grøn frø, skrubtudse, lille vandsalamander, grønbenet rørhøne, blishøne</w:t>
      </w:r>
      <w:r w:rsidR="00384782" w:rsidRPr="004B14BD">
        <w:rPr>
          <w:szCs w:val="24"/>
        </w:rPr>
        <w:t xml:space="preserve"> </w:t>
      </w:r>
      <w:r w:rsidRPr="004B14BD">
        <w:rPr>
          <w:szCs w:val="24"/>
        </w:rPr>
        <w:t>samt gråand. Afstand til nærmeste fund er ca. 640 m til et vandhul hvor der i 2011 er ynglefund af stor og lille vandsalamander samt forekomst af skrubtudse.</w:t>
      </w:r>
    </w:p>
    <w:p w14:paraId="020EA831" w14:textId="77777777" w:rsidR="00822F7D" w:rsidRPr="004B14BD" w:rsidRDefault="00822F7D" w:rsidP="00822F7D">
      <w:pPr>
        <w:rPr>
          <w:szCs w:val="24"/>
        </w:rPr>
      </w:pPr>
    </w:p>
    <w:p w14:paraId="5B4CE1CE" w14:textId="22F9ADEF" w:rsidR="00822F7D" w:rsidRPr="004B14BD" w:rsidRDefault="00822F7D" w:rsidP="00822F7D">
      <w:pPr>
        <w:rPr>
          <w:szCs w:val="24"/>
        </w:rPr>
      </w:pPr>
      <w:r w:rsidRPr="004B14BD">
        <w:rPr>
          <w:szCs w:val="24"/>
        </w:rPr>
        <w:t>Den nærmeste forekomst af fredede arter er ca. 200 m, og omfatter fund af lille vandsalamander. Ca. 500 m fra projektområdet er der fundet lille vandsalamander, skrubtudse samt arter af brune frøer.</w:t>
      </w:r>
    </w:p>
    <w:p w14:paraId="0DEBF8BD" w14:textId="77777777" w:rsidR="00384782" w:rsidRPr="004B14BD" w:rsidRDefault="00384782" w:rsidP="00384782">
      <w:pPr>
        <w:rPr>
          <w:szCs w:val="24"/>
        </w:rPr>
      </w:pPr>
    </w:p>
    <w:p w14:paraId="7B5E6A1B" w14:textId="1CCC2C82" w:rsidR="00822F7D" w:rsidRPr="004B14BD" w:rsidRDefault="00822F7D" w:rsidP="00384782">
      <w:pPr>
        <w:rPr>
          <w:szCs w:val="24"/>
        </w:rPr>
      </w:pPr>
      <w:r w:rsidRPr="004B14BD">
        <w:rPr>
          <w:szCs w:val="24"/>
        </w:rPr>
        <w:t>Hasselmus er ikke kendt i området, og den nærmeste bestand er i Bidstrupskovene ca. 24 km mod sydvest</w:t>
      </w:r>
      <w:r w:rsidR="00384782" w:rsidRPr="004B14BD">
        <w:rPr>
          <w:szCs w:val="24"/>
        </w:rPr>
        <w:t xml:space="preserve">. </w:t>
      </w:r>
      <w:r w:rsidRPr="004B14BD">
        <w:rPr>
          <w:szCs w:val="24"/>
        </w:rPr>
        <w:t>Markfirben er ikke kendt fra området, nærmeste bestand er ved Darup syd for Roskilde mere end 12 km fra projektområdet</w:t>
      </w:r>
    </w:p>
    <w:p w14:paraId="177BF8E6" w14:textId="77777777" w:rsidR="00384782" w:rsidRPr="004B14BD" w:rsidRDefault="00384782" w:rsidP="00384782">
      <w:pPr>
        <w:rPr>
          <w:szCs w:val="24"/>
        </w:rPr>
      </w:pPr>
    </w:p>
    <w:p w14:paraId="45610E55" w14:textId="1025DC2A" w:rsidR="00822F7D" w:rsidRPr="004B14BD" w:rsidRDefault="00822F7D" w:rsidP="00384782">
      <w:pPr>
        <w:rPr>
          <w:szCs w:val="24"/>
        </w:rPr>
      </w:pPr>
      <w:r w:rsidRPr="004B14BD">
        <w:rPr>
          <w:szCs w:val="24"/>
        </w:rPr>
        <w:t>Flagermus er registreret i DOFbasen, ca. 700 m fra projektområdet. Denne registrering omfatter en overflyvende dværgflagermus. I Hakkemosen ca. 1,5 km nord for projektområdet er der registreret vandflagermus, dværgflagermus, brunflagermus, skimmelflagermus samt troldflagermus.</w:t>
      </w:r>
    </w:p>
    <w:p w14:paraId="62899FBD" w14:textId="77777777" w:rsidR="00822F7D" w:rsidRPr="004B14BD" w:rsidRDefault="00822F7D" w:rsidP="00822F7D">
      <w:pPr>
        <w:rPr>
          <w:szCs w:val="24"/>
        </w:rPr>
      </w:pPr>
    </w:p>
    <w:p w14:paraId="41397B3B" w14:textId="4FCF86A2" w:rsidR="00822F7D" w:rsidRPr="004B14BD" w:rsidRDefault="00384782" w:rsidP="00822F7D">
      <w:pPr>
        <w:rPr>
          <w:szCs w:val="24"/>
        </w:rPr>
      </w:pPr>
      <w:r w:rsidRPr="004B14BD">
        <w:rPr>
          <w:szCs w:val="24"/>
        </w:rPr>
        <w:t>Der er foretaget</w:t>
      </w:r>
      <w:r w:rsidR="00822F7D" w:rsidRPr="004B14BD">
        <w:rPr>
          <w:szCs w:val="24"/>
        </w:rPr>
        <w:t xml:space="preserve"> en besigtigelse</w:t>
      </w:r>
      <w:r w:rsidRPr="004B14BD">
        <w:rPr>
          <w:szCs w:val="24"/>
        </w:rPr>
        <w:t xml:space="preserve"> af projektområdet</w:t>
      </w:r>
      <w:r w:rsidR="00822F7D" w:rsidRPr="004B14BD">
        <w:rPr>
          <w:szCs w:val="24"/>
        </w:rPr>
        <w:t xml:space="preserve"> d. 15. marts 2022. Alle biotoper og mulige levesteder i området er undersøgt. Undersøgelserne er udført med et særligt fokus på levesteder for bilag IV-arter, registrering af eksisterende naturværdier, samt en eftersøgning af invasive arter. På denne mådes skabes et solidt grundlag for en vurdering af tiltag som kan bidrage til at øge områdets naturværdi for både flora og fauna.</w:t>
      </w:r>
    </w:p>
    <w:p w14:paraId="119EE5AC" w14:textId="77777777" w:rsidR="00822F7D" w:rsidRPr="004B14BD" w:rsidRDefault="00822F7D" w:rsidP="00822F7D">
      <w:pPr>
        <w:rPr>
          <w:color w:val="FF0000"/>
          <w:szCs w:val="24"/>
        </w:rPr>
      </w:pPr>
    </w:p>
    <w:p w14:paraId="6C771693" w14:textId="49698E73" w:rsidR="00822F7D" w:rsidRPr="004B14BD" w:rsidRDefault="00822F7D" w:rsidP="00822F7D">
      <w:pPr>
        <w:rPr>
          <w:szCs w:val="24"/>
        </w:rPr>
      </w:pPr>
      <w:r w:rsidRPr="004B14BD">
        <w:rPr>
          <w:szCs w:val="24"/>
        </w:rPr>
        <w:t>Projektområdet består hovedsageligt af et stort braklignende areal, hvor der ud fra feltbesigtigelser vurderes ikke at være egnede levesteder for bilag IV-arter og hvor der ikke er fundet sjældne, sårbare, beskyttede, fredede eller truede arter. Området er ikke egnet til markfirben, da jorden ikke er let og sandet, og da der mangler solbeskinnede områder med bar jord.</w:t>
      </w:r>
    </w:p>
    <w:p w14:paraId="7181AB93" w14:textId="77777777" w:rsidR="00822F7D" w:rsidRPr="004B14BD" w:rsidRDefault="00822F7D" w:rsidP="00822F7D">
      <w:pPr>
        <w:rPr>
          <w:color w:val="FF0000"/>
          <w:szCs w:val="24"/>
        </w:rPr>
      </w:pPr>
    </w:p>
    <w:p w14:paraId="03375498" w14:textId="56DD0FF8" w:rsidR="00822F7D" w:rsidRPr="004B14BD" w:rsidRDefault="00822F7D" w:rsidP="00822F7D">
      <w:pPr>
        <w:rPr>
          <w:szCs w:val="24"/>
        </w:rPr>
      </w:pPr>
      <w:r w:rsidRPr="004B14BD">
        <w:rPr>
          <w:szCs w:val="24"/>
        </w:rPr>
        <w:t>Vandhullet vurderes som et uegnet levested for bilag IV-arter på baggrund af tilgroning og meget stejle brinker. Tilgroningen med især grå-pil, medfører en stor skyggevirkning hvilket betyder at</w:t>
      </w:r>
      <w:r w:rsidR="00384782" w:rsidRPr="004B14BD">
        <w:rPr>
          <w:szCs w:val="24"/>
        </w:rPr>
        <w:t xml:space="preserve"> </w:t>
      </w:r>
      <w:r w:rsidRPr="004B14BD">
        <w:rPr>
          <w:szCs w:val="24"/>
        </w:rPr>
        <w:t>vandet ikke varmes tilstrækkeligt op af solen i foråret. I det kølige vand vil eventuelle padde-/salamanderæg ikke udklækkes. De stejle brinker medfører at padderne ikke kan komme op af vandhullet, og vandhullet vil derfor sandsynligvis snarere fungere som padde-fælde, hvor strejfende padder vil blive fanget, end som et egnet levested for padder.</w:t>
      </w:r>
    </w:p>
    <w:p w14:paraId="2E36344C" w14:textId="77777777" w:rsidR="00822F7D" w:rsidRPr="004B14BD" w:rsidRDefault="00822F7D" w:rsidP="00822F7D">
      <w:pPr>
        <w:rPr>
          <w:szCs w:val="24"/>
        </w:rPr>
      </w:pPr>
    </w:p>
    <w:p w14:paraId="2AF83847" w14:textId="235AA5C8" w:rsidR="001B6722" w:rsidRPr="004B14BD" w:rsidRDefault="00822F7D" w:rsidP="001B6722">
      <w:pPr>
        <w:rPr>
          <w:szCs w:val="24"/>
        </w:rPr>
      </w:pPr>
      <w:r w:rsidRPr="004B14BD">
        <w:rPr>
          <w:szCs w:val="24"/>
        </w:rPr>
        <w:t>Området omkring vandhullet er et egnet levested for hasselmus, da der er flere lave træer og buske</w:t>
      </w:r>
      <w:r w:rsidR="00384782" w:rsidRPr="004B14BD">
        <w:rPr>
          <w:szCs w:val="24"/>
        </w:rPr>
        <w:t xml:space="preserve"> </w:t>
      </w:r>
      <w:r w:rsidRPr="004B14BD">
        <w:rPr>
          <w:szCs w:val="24"/>
        </w:rPr>
        <w:t xml:space="preserve">med bær og nødder. Det vurderes imidlertid, at det ikke er </w:t>
      </w:r>
      <w:r w:rsidRPr="004B14BD">
        <w:rPr>
          <w:szCs w:val="24"/>
        </w:rPr>
        <w:lastRenderedPageBreak/>
        <w:t>sandsynligt, at hasselmus lever i omrdet, da der er over 24 km til nærmeste bestand</w:t>
      </w:r>
      <w:r w:rsidR="00384782" w:rsidRPr="004B14BD">
        <w:rPr>
          <w:szCs w:val="24"/>
        </w:rPr>
        <w:t>,</w:t>
      </w:r>
      <w:r w:rsidRPr="004B14BD">
        <w:rPr>
          <w:szCs w:val="24"/>
        </w:rPr>
        <w:t xml:space="preserve"> og da der er manglende spredningskorridorer. Arten er ikke tidligere registreret i området</w:t>
      </w:r>
      <w:r w:rsidR="001F0E9F" w:rsidRPr="004B14BD">
        <w:rPr>
          <w:szCs w:val="24"/>
        </w:rPr>
        <w:t>.</w:t>
      </w:r>
    </w:p>
    <w:p w14:paraId="6796BEEC" w14:textId="77777777" w:rsidR="000D3488" w:rsidRPr="004B14BD" w:rsidRDefault="000D3488" w:rsidP="001B6722">
      <w:pPr>
        <w:rPr>
          <w:szCs w:val="24"/>
        </w:rPr>
      </w:pPr>
    </w:p>
    <w:p w14:paraId="0F93D3E9" w14:textId="6836F531" w:rsidR="001B6722" w:rsidRPr="004B14BD" w:rsidRDefault="001B6722" w:rsidP="001B6722">
      <w:pPr>
        <w:rPr>
          <w:b/>
          <w:bCs/>
          <w:szCs w:val="24"/>
        </w:rPr>
      </w:pPr>
      <w:r w:rsidRPr="004B14BD">
        <w:rPr>
          <w:b/>
          <w:bCs/>
          <w:szCs w:val="24"/>
        </w:rPr>
        <w:t>Samlet vurdering ift.</w:t>
      </w:r>
      <w:r w:rsidR="001F0E9F" w:rsidRPr="004B14BD">
        <w:rPr>
          <w:b/>
          <w:bCs/>
          <w:szCs w:val="24"/>
        </w:rPr>
        <w:t xml:space="preserve"> Natura 2000-område og</w:t>
      </w:r>
      <w:r w:rsidRPr="004B14BD">
        <w:rPr>
          <w:b/>
          <w:bCs/>
          <w:szCs w:val="24"/>
        </w:rPr>
        <w:t xml:space="preserve"> bilag IV-arter </w:t>
      </w:r>
    </w:p>
    <w:p w14:paraId="1F695290" w14:textId="77777777" w:rsidR="006C67A8" w:rsidRPr="004B14BD" w:rsidRDefault="006C67A8" w:rsidP="001B6722">
      <w:pPr>
        <w:rPr>
          <w:b/>
          <w:bCs/>
          <w:szCs w:val="24"/>
        </w:rPr>
      </w:pPr>
    </w:p>
    <w:p w14:paraId="78BCAB23" w14:textId="601958F2" w:rsidR="00E2723D" w:rsidRPr="004B14BD" w:rsidRDefault="00E2723D" w:rsidP="00E2723D">
      <w:pPr>
        <w:rPr>
          <w:szCs w:val="24"/>
        </w:rPr>
      </w:pPr>
      <w:r w:rsidRPr="004B14BD">
        <w:rPr>
          <w:szCs w:val="24"/>
        </w:rPr>
        <w:t>Det vurderes samlet på baggrund af gennemgang af luftimmission fra nødstrømsanlægget</w:t>
      </w:r>
      <w:r w:rsidR="007636BE" w:rsidRPr="004B14BD">
        <w:rPr>
          <w:szCs w:val="24"/>
        </w:rPr>
        <w:t xml:space="preserve"> </w:t>
      </w:r>
      <w:r w:rsidRPr="004B14BD">
        <w:rPr>
          <w:szCs w:val="24"/>
        </w:rPr>
        <w:t>og tilslutning af overfladevand fra projektområdet til bassin/vådområde, at der ikke vil</w:t>
      </w:r>
      <w:r w:rsidR="007636BE" w:rsidRPr="004B14BD">
        <w:rPr>
          <w:szCs w:val="24"/>
        </w:rPr>
        <w:t xml:space="preserve"> </w:t>
      </w:r>
      <w:r w:rsidRPr="004B14BD">
        <w:rPr>
          <w:szCs w:val="24"/>
        </w:rPr>
        <w:t xml:space="preserve">forekomme en væsentlig påvirkning af udpegningsgrundlaget for </w:t>
      </w:r>
      <w:r w:rsidR="00DB2654" w:rsidRPr="004B14BD">
        <w:rPr>
          <w:szCs w:val="24"/>
        </w:rPr>
        <w:t>Vasby og Sengeløse Mose</w:t>
      </w:r>
      <w:r w:rsidRPr="004B14BD">
        <w:rPr>
          <w:szCs w:val="24"/>
        </w:rPr>
        <w:t xml:space="preserve"> og</w:t>
      </w:r>
      <w:r w:rsidR="007636BE" w:rsidRPr="004B14BD">
        <w:rPr>
          <w:szCs w:val="24"/>
        </w:rPr>
        <w:t xml:space="preserve"> </w:t>
      </w:r>
      <w:r w:rsidRPr="004B14BD">
        <w:rPr>
          <w:szCs w:val="24"/>
        </w:rPr>
        <w:t>dermed, at Habitatbekendtgørelsens beskyttelsesniveau sikres.</w:t>
      </w:r>
    </w:p>
    <w:p w14:paraId="3C6598AB" w14:textId="77777777" w:rsidR="007636BE" w:rsidRPr="004B14BD" w:rsidRDefault="007636BE" w:rsidP="00E2723D">
      <w:pPr>
        <w:rPr>
          <w:color w:val="FF0000"/>
          <w:szCs w:val="24"/>
        </w:rPr>
      </w:pPr>
    </w:p>
    <w:p w14:paraId="4EE1EF16" w14:textId="04404EFB" w:rsidR="00E2723D" w:rsidRPr="004B14BD" w:rsidRDefault="00E2723D" w:rsidP="00E2723D">
      <w:pPr>
        <w:rPr>
          <w:szCs w:val="24"/>
        </w:rPr>
      </w:pPr>
      <w:r w:rsidRPr="004B14BD">
        <w:rPr>
          <w:szCs w:val="24"/>
        </w:rPr>
        <w:t>En gennemgang af påvirkning af beskyttelseskrævende arter viser, at der generelt ikke er</w:t>
      </w:r>
      <w:r w:rsidR="007636BE" w:rsidRPr="004B14BD">
        <w:rPr>
          <w:szCs w:val="24"/>
        </w:rPr>
        <w:t xml:space="preserve"> </w:t>
      </w:r>
      <w:r w:rsidRPr="004B14BD">
        <w:rPr>
          <w:szCs w:val="24"/>
        </w:rPr>
        <w:t>egnede levesteder for bilag IV-arter i projektområdet.</w:t>
      </w:r>
    </w:p>
    <w:p w14:paraId="772C89E2" w14:textId="77777777" w:rsidR="007636BE" w:rsidRPr="004B14BD" w:rsidRDefault="007636BE" w:rsidP="00E2723D">
      <w:pPr>
        <w:rPr>
          <w:color w:val="FF0000"/>
          <w:szCs w:val="24"/>
        </w:rPr>
      </w:pPr>
    </w:p>
    <w:p w14:paraId="5EFE1817" w14:textId="581F731F" w:rsidR="00E2723D" w:rsidRPr="004B14BD" w:rsidRDefault="00E2723D" w:rsidP="00E2723D">
      <w:pPr>
        <w:rPr>
          <w:szCs w:val="24"/>
        </w:rPr>
      </w:pPr>
      <w:r w:rsidRPr="004B14BD">
        <w:rPr>
          <w:szCs w:val="24"/>
        </w:rPr>
        <w:t>Det vurderes, at yngle- eller rasteområder ikke vil beskadiges eller ødelægges i det naturlige</w:t>
      </w:r>
      <w:r w:rsidR="007636BE" w:rsidRPr="004B14BD">
        <w:rPr>
          <w:szCs w:val="24"/>
        </w:rPr>
        <w:t xml:space="preserve"> </w:t>
      </w:r>
      <w:r w:rsidRPr="004B14BD">
        <w:rPr>
          <w:szCs w:val="24"/>
        </w:rPr>
        <w:t>udbredelsesområde for de dyrearter, der er optaget i habitatdirektivets bilag IV, litra a).</w:t>
      </w:r>
      <w:r w:rsidR="007636BE" w:rsidRPr="004B14BD">
        <w:rPr>
          <w:szCs w:val="24"/>
        </w:rPr>
        <w:t xml:space="preserve"> </w:t>
      </w:r>
      <w:r w:rsidRPr="004B14BD">
        <w:rPr>
          <w:szCs w:val="24"/>
        </w:rPr>
        <w:t>Yderligere vurderes, at der ikke vil ødelægges plantearter, som er optaget i habitatdirektivets</w:t>
      </w:r>
      <w:r w:rsidR="007636BE" w:rsidRPr="004B14BD">
        <w:rPr>
          <w:szCs w:val="24"/>
        </w:rPr>
        <w:t xml:space="preserve"> </w:t>
      </w:r>
      <w:r w:rsidRPr="004B14BD">
        <w:rPr>
          <w:szCs w:val="24"/>
        </w:rPr>
        <w:t>bilag IV, litra b) i nogen livsstadier.</w:t>
      </w:r>
    </w:p>
    <w:p w14:paraId="1683C34D" w14:textId="77777777" w:rsidR="007636BE" w:rsidRPr="004B14BD" w:rsidRDefault="007636BE" w:rsidP="00E2723D">
      <w:pPr>
        <w:rPr>
          <w:szCs w:val="24"/>
        </w:rPr>
      </w:pPr>
    </w:p>
    <w:p w14:paraId="418EEFD6" w14:textId="525BB147" w:rsidR="00EF6868" w:rsidRPr="004B14BD" w:rsidRDefault="00E2723D" w:rsidP="00E2723D">
      <w:pPr>
        <w:rPr>
          <w:szCs w:val="24"/>
        </w:rPr>
      </w:pPr>
      <w:r w:rsidRPr="004B14BD">
        <w:rPr>
          <w:szCs w:val="24"/>
        </w:rPr>
        <w:t>Det vurderes dermed samlet, at der ikke er grundlag for at antage, at der vil forekomme</w:t>
      </w:r>
      <w:r w:rsidR="007636BE" w:rsidRPr="004B14BD">
        <w:rPr>
          <w:szCs w:val="24"/>
        </w:rPr>
        <w:t xml:space="preserve"> </w:t>
      </w:r>
      <w:r w:rsidRPr="004B14BD">
        <w:rPr>
          <w:szCs w:val="24"/>
        </w:rPr>
        <w:t xml:space="preserve">væsentlige påvirkninger af </w:t>
      </w:r>
      <w:r w:rsidR="00DB2654" w:rsidRPr="004B14BD">
        <w:rPr>
          <w:szCs w:val="24"/>
        </w:rPr>
        <w:t>Vasby og Sengeløse Mose</w:t>
      </w:r>
      <w:r w:rsidRPr="004B14BD">
        <w:rPr>
          <w:szCs w:val="24"/>
        </w:rPr>
        <w:t>, og det</w:t>
      </w:r>
      <w:r w:rsidR="007636BE" w:rsidRPr="004B14BD">
        <w:rPr>
          <w:szCs w:val="24"/>
        </w:rPr>
        <w:t xml:space="preserve"> </w:t>
      </w:r>
      <w:r w:rsidRPr="004B14BD">
        <w:rPr>
          <w:szCs w:val="24"/>
        </w:rPr>
        <w:t>vurderes derfor, at projektet ikke vil hindre, at Habitatområdets naturtyper vil kunne opnå en</w:t>
      </w:r>
      <w:r w:rsidR="007636BE" w:rsidRPr="004B14BD">
        <w:rPr>
          <w:szCs w:val="24"/>
        </w:rPr>
        <w:t xml:space="preserve"> </w:t>
      </w:r>
      <w:r w:rsidRPr="004B14BD">
        <w:rPr>
          <w:szCs w:val="24"/>
        </w:rPr>
        <w:t xml:space="preserve">god eller høj bevaringstilstand. Der er derfor </w:t>
      </w:r>
      <w:r w:rsidR="00D73E5C" w:rsidRPr="004B14BD">
        <w:rPr>
          <w:szCs w:val="24"/>
        </w:rPr>
        <w:t>Høje-Taastrup Kommunes</w:t>
      </w:r>
      <w:r w:rsidRPr="004B14BD">
        <w:rPr>
          <w:szCs w:val="24"/>
        </w:rPr>
        <w:t xml:space="preserve"> vurdering, at der ikke er behov for at</w:t>
      </w:r>
      <w:r w:rsidR="007636BE" w:rsidRPr="004B14BD">
        <w:rPr>
          <w:szCs w:val="24"/>
        </w:rPr>
        <w:t xml:space="preserve"> </w:t>
      </w:r>
      <w:r w:rsidRPr="004B14BD">
        <w:rPr>
          <w:szCs w:val="24"/>
        </w:rPr>
        <w:t>udarbejde en egentlig konsekvensvurdering i henhold til ”Bekendtgørelse om udpegning og</w:t>
      </w:r>
      <w:r w:rsidR="007636BE" w:rsidRPr="004B14BD">
        <w:rPr>
          <w:szCs w:val="24"/>
        </w:rPr>
        <w:t xml:space="preserve"> </w:t>
      </w:r>
      <w:r w:rsidRPr="004B14BD">
        <w:rPr>
          <w:szCs w:val="24"/>
        </w:rPr>
        <w:t>administration af internationale naturbeskyttelsesområder samt beskyttelse af visse arter”</w:t>
      </w:r>
      <w:r w:rsidR="00467387" w:rsidRPr="004B14BD">
        <w:rPr>
          <w:szCs w:val="24"/>
        </w:rPr>
        <w:t>.</w:t>
      </w:r>
    </w:p>
    <w:p w14:paraId="1FDE085D" w14:textId="7C39A64C" w:rsidR="006760B9" w:rsidRPr="004B14BD" w:rsidRDefault="00F477A5" w:rsidP="007577C4">
      <w:pPr>
        <w:pStyle w:val="Overskrift2"/>
      </w:pPr>
      <w:bookmarkStart w:id="54" w:name="_Toc120196527"/>
      <w:r w:rsidRPr="004B14BD">
        <w:t xml:space="preserve">2.16 </w:t>
      </w:r>
      <w:r w:rsidR="007577C4" w:rsidRPr="004B14BD">
        <w:t>Forhold omkring</w:t>
      </w:r>
      <w:r w:rsidR="002954E0" w:rsidRPr="004B14BD">
        <w:t xml:space="preserve"> basistilstandsrapport</w:t>
      </w:r>
      <w:bookmarkEnd w:id="54"/>
    </w:p>
    <w:p w14:paraId="4AAD9F27" w14:textId="77777777" w:rsidR="00BD6726" w:rsidRPr="004B14BD" w:rsidRDefault="00BD6726" w:rsidP="00BD6726"/>
    <w:p w14:paraId="2B6EFFEC" w14:textId="77777777" w:rsidR="00174DA6" w:rsidRPr="004B14BD" w:rsidRDefault="00174DA6" w:rsidP="00174DA6">
      <w:r w:rsidRPr="004B14BD">
        <w:t>I forbindelse med ansøgningen om miljøgodkendelse har virksomheden redegjort for</w:t>
      </w:r>
      <w:r w:rsidR="000A45C2" w:rsidRPr="004B14BD">
        <w:t>,</w:t>
      </w:r>
      <w:r w:rsidRPr="004B14BD">
        <w:t xml:space="preserve"> om der bruges, frigives eller fremstilles stoffer, som jf. EU-Kommissionens vejledning om basistilstandsrapporter</w:t>
      </w:r>
      <w:r w:rsidRPr="004B14BD">
        <w:rPr>
          <w:rStyle w:val="Fodnotehenvisning"/>
        </w:rPr>
        <w:footnoteReference w:id="27"/>
      </w:r>
      <w:r w:rsidRPr="004B14BD">
        <w:t>, trin 1-3, vurderes at være ”relevante farlige stoffer”, og som på denne baggrund skal indgå i en basistilstandsrapport. Det er kun de stoffer, der stammer fra aktiviteter relateret til nødstrømsanlægget (bilag 1 aktiviteten), der skal medtages i vurderingen.</w:t>
      </w:r>
    </w:p>
    <w:p w14:paraId="5C5CBFD3" w14:textId="77777777" w:rsidR="00174DA6" w:rsidRPr="004B14BD" w:rsidRDefault="00174DA6" w:rsidP="00174DA6"/>
    <w:p w14:paraId="6D37D93E" w14:textId="357DCD53" w:rsidR="00174DA6" w:rsidRPr="004B14BD" w:rsidRDefault="00174DA6" w:rsidP="00174DA6">
      <w:r w:rsidRPr="004B14BD">
        <w:t>Af potentielt forurenende stoffer, som er optaget på EU forordnings liste over klassifikation og mærkning af forurenende stoffer EF 1272/2008</w:t>
      </w:r>
      <w:r w:rsidR="002C032A" w:rsidRPr="004B14BD">
        <w:t>,</w:t>
      </w:r>
      <w:r w:rsidRPr="004B14BD">
        <w:t xml:space="preserve"> og som anvendes på virksomheden i forbindelse med de godkendelsespligtige aktiviteter, der omfatter nødstrømsanlægget, fremgår dieselolie, kølemiddel og smøreolie. Der er her tale om forbrugsstoffer, der anvendes ved driften af anlægget</w:t>
      </w:r>
      <w:r w:rsidR="00014D8A" w:rsidRPr="004B14BD">
        <w:t>,</w:t>
      </w:r>
      <w:r w:rsidRPr="004B14BD">
        <w:t xml:space="preserve"> og der forekommer dermed ikke direkte frigivelse af stofferne. </w:t>
      </w:r>
    </w:p>
    <w:p w14:paraId="12960654" w14:textId="77777777" w:rsidR="00174DA6" w:rsidRPr="004B14BD" w:rsidRDefault="00174DA6" w:rsidP="00174DA6">
      <w:pPr>
        <w:rPr>
          <w:color w:val="FF0000"/>
        </w:rPr>
      </w:pPr>
    </w:p>
    <w:p w14:paraId="207D8016" w14:textId="77777777" w:rsidR="00174DA6" w:rsidRPr="004B14BD" w:rsidRDefault="00174DA6" w:rsidP="00174DA6">
      <w:r w:rsidRPr="004B14BD">
        <w:t xml:space="preserve">Dieselolien afbrændes i generatoranlæggene, mens kølemiddel og smøreolie anvendes i den enkelte generator. Stofferne vil ved ukontrolleret udslip kunne medføre forurening af jord og grundvand. </w:t>
      </w:r>
    </w:p>
    <w:p w14:paraId="09A78EFB" w14:textId="77777777" w:rsidR="00174DA6" w:rsidRPr="004B14BD" w:rsidRDefault="00174DA6" w:rsidP="00174DA6">
      <w:pPr>
        <w:rPr>
          <w:color w:val="FF0000"/>
        </w:rPr>
      </w:pPr>
    </w:p>
    <w:p w14:paraId="7C24F57E" w14:textId="3FA4A41A" w:rsidR="00174DA6" w:rsidRPr="004B14BD" w:rsidRDefault="00174DA6" w:rsidP="00174DA6">
      <w:pPr>
        <w:rPr>
          <w:b/>
          <w:bCs/>
        </w:rPr>
      </w:pPr>
      <w:r w:rsidRPr="004B14BD">
        <w:rPr>
          <w:b/>
          <w:bCs/>
        </w:rPr>
        <w:t>Kølemiddel og smøremiddel</w:t>
      </w:r>
    </w:p>
    <w:p w14:paraId="2A3861E6" w14:textId="77777777" w:rsidR="00C34E90" w:rsidRPr="004B14BD" w:rsidRDefault="00C34E90" w:rsidP="00174DA6">
      <w:pPr>
        <w:rPr>
          <w:b/>
          <w:bCs/>
        </w:rPr>
      </w:pPr>
    </w:p>
    <w:p w14:paraId="30EAD976" w14:textId="50106FF9" w:rsidR="00174DA6" w:rsidRPr="004B14BD" w:rsidRDefault="00174DA6" w:rsidP="00174DA6">
      <w:r w:rsidRPr="004B14BD">
        <w:t>Mængderne af stofferne er begrænsede til de mængder</w:t>
      </w:r>
      <w:r w:rsidR="002C032A" w:rsidRPr="004B14BD">
        <w:t>,</w:t>
      </w:r>
      <w:r w:rsidRPr="004B14BD">
        <w:t xml:space="preserve"> der skal forbruges direkte på hver af generatoranlæggene. Generatorindkapslingen/containeren vil indeholde </w:t>
      </w:r>
      <w:r w:rsidRPr="004B14BD">
        <w:lastRenderedPageBreak/>
        <w:t>drypbakke/tank</w:t>
      </w:r>
      <w:r w:rsidR="002C032A" w:rsidRPr="004B14BD">
        <w:t>,</w:t>
      </w:r>
      <w:r w:rsidRPr="004B14BD">
        <w:t xml:space="preserve"> som sikrer</w:t>
      </w:r>
      <w:r w:rsidR="002C032A" w:rsidRPr="004B14BD">
        <w:t>,</w:t>
      </w:r>
      <w:r w:rsidRPr="004B14BD">
        <w:t xml:space="preserve"> at utætheder/lækager vil indeholdes indenfor generatorcontaineren. </w:t>
      </w:r>
    </w:p>
    <w:p w14:paraId="21A47EDF" w14:textId="77777777" w:rsidR="00C34E90" w:rsidRPr="004B14BD" w:rsidRDefault="00C34E90" w:rsidP="00174DA6"/>
    <w:p w14:paraId="3CA552EB" w14:textId="77777777" w:rsidR="00174DA6" w:rsidRPr="004B14BD" w:rsidRDefault="00174DA6" w:rsidP="00174DA6">
      <w:r w:rsidRPr="004B14BD">
        <w:t xml:space="preserve">Ved udskiftning af smøreolie og/eller kølemiddel medtager serviceudbyderen det forbrugte/udskiftede olie og kølemiddel, hvorfor der ikke er oplag af disse udover det, som er i selve generatorerne. Generatoranlæggene kan betragtes som individuelle lukkede systemer.   </w:t>
      </w:r>
    </w:p>
    <w:p w14:paraId="2D6ACD0D" w14:textId="77777777" w:rsidR="00174DA6" w:rsidRPr="004B14BD" w:rsidRDefault="00174DA6" w:rsidP="00174DA6">
      <w:pPr>
        <w:rPr>
          <w:color w:val="FF0000"/>
        </w:rPr>
      </w:pPr>
    </w:p>
    <w:p w14:paraId="4BBAF393" w14:textId="3EA3FB91" w:rsidR="00174DA6" w:rsidRPr="004B14BD" w:rsidRDefault="00174DA6" w:rsidP="00174DA6">
      <w:pPr>
        <w:rPr>
          <w:b/>
          <w:bCs/>
        </w:rPr>
      </w:pPr>
      <w:r w:rsidRPr="004B14BD">
        <w:rPr>
          <w:b/>
          <w:bCs/>
        </w:rPr>
        <w:t>Dieselolie</w:t>
      </w:r>
    </w:p>
    <w:p w14:paraId="33F6B940" w14:textId="77777777" w:rsidR="00C34E90" w:rsidRPr="004B14BD" w:rsidRDefault="00C34E90" w:rsidP="00174DA6">
      <w:pPr>
        <w:rPr>
          <w:b/>
          <w:bCs/>
        </w:rPr>
      </w:pPr>
    </w:p>
    <w:p w14:paraId="358DEC91" w14:textId="4E457984" w:rsidR="00312128" w:rsidRPr="004B14BD" w:rsidRDefault="002719FF" w:rsidP="00312128">
      <w:r w:rsidRPr="004B14BD">
        <w:t>Til beskyttelse mod forurening af jord og grundvand mod lækage fra brændstoftankene er disse fremstillet som dobbeltvæggede og udstyret med lækagedetektor. Tankene er desuden installeret med alarmer for høj og lav dieseloliestand, samt med overfyldningsalarm og trykfaldsalarm. Tankene placeres i generatorgårde med tæt belægning. Påfyldning af stofferne vil altid ske under overvågning. Tankene etableres i henhold til olietankbekendtgørelsen.</w:t>
      </w:r>
    </w:p>
    <w:p w14:paraId="6F674A5A" w14:textId="77777777" w:rsidR="002719FF" w:rsidRPr="004B14BD" w:rsidRDefault="002719FF" w:rsidP="00312128">
      <w:pPr>
        <w:rPr>
          <w:color w:val="FF0000"/>
        </w:rPr>
      </w:pPr>
    </w:p>
    <w:p w14:paraId="7C141A82" w14:textId="66E41171" w:rsidR="00312128" w:rsidRPr="004B14BD" w:rsidRDefault="006C3A79" w:rsidP="00312128">
      <w:r w:rsidRPr="004B14BD">
        <w:t>Afløb til overfladevand, som kan blive påvirket af et eventuelt spild fra generatorgårdene, er forbundet med sandfang og olie/benzin separatorer inden udledning til regnvandssystemet</w:t>
      </w:r>
      <w:r w:rsidR="004D3589">
        <w:t>. Dette</w:t>
      </w:r>
      <w:r w:rsidRPr="004B14BD">
        <w:t xml:space="preserve"> begrænser risikoen for forurening ved lækage af stofferne. Forholdende for håndtering af stofferne, spildevandshåndtering og overvågningssystemer er nærmere beskrevet i den indsendte spildevandsansøgning.</w:t>
      </w:r>
    </w:p>
    <w:p w14:paraId="7EB02F06" w14:textId="77777777" w:rsidR="006C3A79" w:rsidRPr="004B14BD" w:rsidRDefault="006C3A79" w:rsidP="00312128">
      <w:pPr>
        <w:rPr>
          <w:color w:val="FF0000"/>
        </w:rPr>
      </w:pPr>
    </w:p>
    <w:p w14:paraId="6ED0819B" w14:textId="605AE5E0" w:rsidR="00312128" w:rsidRPr="004B14BD" w:rsidRDefault="00EF31A1" w:rsidP="00312128">
      <w:r w:rsidRPr="004B14BD">
        <w:t>På denne baggrund vurderes det, at risikoen for en mulig forurening af jord eller</w:t>
      </w:r>
      <w:r w:rsidR="001F3C5F" w:rsidRPr="004B14BD">
        <w:t xml:space="preserve"> </w:t>
      </w:r>
      <w:r w:rsidRPr="004B14BD">
        <w:t>grundvand i området er minimal med de anvendte stoffer i nødstrømsgeneratorerne og brændstoftankene. Ved almindelig drift af virksomheden, inklusive vedligehold og testkørsel af nødstrømsgeneratorerne, vil der ikke være udledninger, der kan medføre forurening af jord eller grundvand.</w:t>
      </w:r>
    </w:p>
    <w:p w14:paraId="18F4BD61" w14:textId="77777777" w:rsidR="00EF31A1" w:rsidRPr="004B14BD" w:rsidRDefault="00EF31A1" w:rsidP="00312128">
      <w:pPr>
        <w:rPr>
          <w:color w:val="FF0000"/>
        </w:rPr>
      </w:pPr>
    </w:p>
    <w:p w14:paraId="1B44C27A" w14:textId="36CD9CAD" w:rsidR="00E90183" w:rsidRPr="004B14BD" w:rsidRDefault="00EF31A1" w:rsidP="00EF31A1">
      <w:r w:rsidRPr="004B14BD">
        <w:t>Størstedelen af området har så vidt vides indtil nu være benyttet som landbrugsjord</w:t>
      </w:r>
      <w:r w:rsidR="002C032A" w:rsidRPr="004B14BD">
        <w:t>,</w:t>
      </w:r>
      <w:r w:rsidRPr="004B14BD">
        <w:t xml:space="preserve"> og der er ikke kendskab til, at der skulle have foregået aktiviteter på området</w:t>
      </w:r>
      <w:r w:rsidR="002C032A" w:rsidRPr="004B14BD">
        <w:t>,</w:t>
      </w:r>
      <w:r w:rsidRPr="004B14BD">
        <w:t xml:space="preserve"> som kan have medført en forurening. En matrikel i det sydøstlige hjørne er dog forureningskortlagt. Matriklen er ejet af Høje-Taastrup Kommune. </w:t>
      </w:r>
    </w:p>
    <w:p w14:paraId="44EC4AEE" w14:textId="6FBF5C4C" w:rsidR="00EF31A1" w:rsidRPr="004B14BD" w:rsidRDefault="00EF31A1" w:rsidP="00EF31A1">
      <w:r w:rsidRPr="004B14BD">
        <w:t xml:space="preserve"> </w:t>
      </w:r>
    </w:p>
    <w:p w14:paraId="050C0E9E" w14:textId="10101EA3" w:rsidR="00312128" w:rsidRPr="004B14BD" w:rsidRDefault="00EF31A1" w:rsidP="00EF31A1">
      <w:r w:rsidRPr="004B14BD">
        <w:t>Der er i perioden 19. februar til 9. marts 2021 udført en miljø- og geoteknisk undersøgelse af projektområdet med 60 boringer. Boringerne er generelt 6</w:t>
      </w:r>
      <w:r w:rsidR="001F3C5F" w:rsidRPr="004B14BD">
        <w:t xml:space="preserve"> </w:t>
      </w:r>
      <w:r w:rsidRPr="004B14BD">
        <w:t>m dybe. Boringerne er fordelt over hele området</w:t>
      </w:r>
      <w:r w:rsidR="002C032A" w:rsidRPr="004B14BD">
        <w:t>,</w:t>
      </w:r>
      <w:r w:rsidRPr="004B14BD">
        <w:t xml:space="preserve"> og der er fra hver boring udtaget én prøve til analyse for jordpakken. Prøverne er udtaget som blandeprøver i overfladejorden og med enkelte prøver ned til 2,3 m u.t. Resultaterne viser at hovedparten af jordprøver er under jordkvalitetskriteriet. En prøve (B41) midt på området indeholder et svagt forhøjet niveau af bly. I forbindelse med kommunens </w:t>
      </w:r>
      <w:r w:rsidR="00307410" w:rsidRPr="004B14BD">
        <w:t xml:space="preserve">forureningskortlagte </w:t>
      </w:r>
      <w:r w:rsidRPr="004B14BD">
        <w:t>matrikel, viste to boringer forurening. Fyldlaget i boring B13 er klassificeret som stærkt forurenet på grund af højt indhold af kulbrintefraktioner. Tre boringer (M1 - M3) blev boret for rumligt at begrænse den laterale udstrækning af forurening identificeret i B13. Kun i én af disse boringer registreredes forhøjede koncentrationer af forurenende stoffer (M1). Fyldlaget i boring M1 er klassificeret som lettere forurenet på grund af indhold af bly og kulbrintefraktioner. Se evt. kort over udførte boringer og prøvetagninger i bilag 7</w:t>
      </w:r>
      <w:r w:rsidR="002C032A" w:rsidRPr="004B14BD">
        <w:t xml:space="preserve"> </w:t>
      </w:r>
      <w:r w:rsidR="0063690C">
        <w:t xml:space="preserve">”Udtagne miljøprøver” </w:t>
      </w:r>
      <w:r w:rsidR="002C032A" w:rsidRPr="004B14BD">
        <w:t>i ansøgning om miljøgodkend</w:t>
      </w:r>
      <w:r w:rsidR="000519F3" w:rsidRPr="004B14BD">
        <w:t>else</w:t>
      </w:r>
      <w:r w:rsidRPr="004B14BD">
        <w:t>.</w:t>
      </w:r>
    </w:p>
    <w:p w14:paraId="785EF983" w14:textId="78229A9D" w:rsidR="00EF31A1" w:rsidRPr="004B14BD" w:rsidRDefault="00EF31A1" w:rsidP="00EF31A1"/>
    <w:p w14:paraId="768A2A33" w14:textId="02D25FA0" w:rsidR="00EF31A1" w:rsidRPr="004B14BD" w:rsidRDefault="00EF31A1" w:rsidP="00EF31A1">
      <w:r w:rsidRPr="004B14BD">
        <w:t>På baggrund af områdets tidligere anvendelse og de udførte undersøgelser, vurderes det, at området</w:t>
      </w:r>
      <w:r w:rsidR="00D55B23">
        <w:t>s</w:t>
      </w:r>
      <w:r w:rsidRPr="004B14BD">
        <w:t xml:space="preserve"> forureningsmæssig</w:t>
      </w:r>
      <w:r w:rsidR="001F3C5F" w:rsidRPr="004B14BD">
        <w:t>e</w:t>
      </w:r>
      <w:r w:rsidRPr="004B14BD">
        <w:t xml:space="preserve"> tilstand må betegnes som ren, såfremt man ser bort fra den forureningskortlagte grund ejet af kommunen.  </w:t>
      </w:r>
    </w:p>
    <w:p w14:paraId="42119B1D" w14:textId="1B03A97F" w:rsidR="00EF31A1" w:rsidRPr="004B14BD" w:rsidRDefault="00EF31A1" w:rsidP="00EF31A1">
      <w:r w:rsidRPr="004B14BD">
        <w:t xml:space="preserve">   </w:t>
      </w:r>
    </w:p>
    <w:p w14:paraId="62926A66" w14:textId="09007576" w:rsidR="00EF31A1" w:rsidRPr="004B14BD" w:rsidRDefault="00EF31A1" w:rsidP="00EF31A1">
      <w:r w:rsidRPr="004B14BD">
        <w:t xml:space="preserve">Høje-Taastrup </w:t>
      </w:r>
      <w:r w:rsidR="00D55B23">
        <w:t>K</w:t>
      </w:r>
      <w:r w:rsidRPr="004B14BD">
        <w:t>ommune vurderer, ud</w:t>
      </w:r>
      <w:r w:rsidR="008C75A5" w:rsidRPr="004B14BD">
        <w:t xml:space="preserve"> </w:t>
      </w:r>
      <w:r w:rsidRPr="004B14BD">
        <w:t xml:space="preserve">fra kendskabet til områdets nuværende forureningsmæssige tilstand, som ren og de planlagte aktiviteter for anvendelse af </w:t>
      </w:r>
      <w:r w:rsidRPr="004B14BD">
        <w:lastRenderedPageBreak/>
        <w:t>forurenende stoffer knyttet til nødstrømsanlægget, at der ikke er grundlag for udførelse af en basistilstandsrapport i henhold til bekendtgørelsen.</w:t>
      </w:r>
    </w:p>
    <w:p w14:paraId="4466917A" w14:textId="05E21534" w:rsidR="000B6712" w:rsidRPr="004B14BD" w:rsidRDefault="002F1424" w:rsidP="00CE4F3A">
      <w:pPr>
        <w:pStyle w:val="Overskrift2"/>
        <w:numPr>
          <w:ilvl w:val="0"/>
          <w:numId w:val="47"/>
        </w:numPr>
      </w:pPr>
      <w:bookmarkStart w:id="55" w:name="_Toc120196528"/>
      <w:r w:rsidRPr="004B14BD">
        <w:t>Konklusion</w:t>
      </w:r>
      <w:bookmarkEnd w:id="55"/>
    </w:p>
    <w:p w14:paraId="2DE7BCE1" w14:textId="77777777" w:rsidR="000B6712" w:rsidRPr="00F0005E" w:rsidRDefault="000B6712" w:rsidP="000B6712">
      <w:pPr>
        <w:rPr>
          <w:color w:val="000000" w:themeColor="text1"/>
          <w:szCs w:val="24"/>
        </w:rPr>
      </w:pPr>
    </w:p>
    <w:p w14:paraId="2E45C920" w14:textId="519A6016" w:rsidR="000B6712" w:rsidRPr="00F0005E" w:rsidRDefault="000B6712" w:rsidP="000B6712">
      <w:pPr>
        <w:autoSpaceDE w:val="0"/>
        <w:autoSpaceDN w:val="0"/>
        <w:adjustRightInd w:val="0"/>
        <w:spacing w:line="240" w:lineRule="auto"/>
        <w:rPr>
          <w:rFonts w:cs="Calibri"/>
          <w:color w:val="000000" w:themeColor="text1"/>
          <w:szCs w:val="19"/>
        </w:rPr>
      </w:pPr>
      <w:r w:rsidRPr="00F0005E">
        <w:rPr>
          <w:rFonts w:cs="Calibri"/>
          <w:color w:val="000000" w:themeColor="text1"/>
          <w:szCs w:val="19"/>
        </w:rPr>
        <w:t xml:space="preserve">Udkast til miljøgodkendelse har i flere omgange været sendt i høring hos virksomheden, jf. godkendelsesbekendtgørelsen, § </w:t>
      </w:r>
      <w:r w:rsidR="00E850CC" w:rsidRPr="00F0005E">
        <w:rPr>
          <w:rFonts w:cs="Calibri"/>
          <w:color w:val="000000" w:themeColor="text1"/>
          <w:szCs w:val="19"/>
        </w:rPr>
        <w:t>59</w:t>
      </w:r>
      <w:r w:rsidRPr="00F0005E">
        <w:rPr>
          <w:rFonts w:cs="Calibri"/>
          <w:color w:val="000000" w:themeColor="text1"/>
          <w:szCs w:val="19"/>
        </w:rPr>
        <w:t xml:space="preserve"> stk. 1</w:t>
      </w:r>
      <w:r w:rsidR="00371552" w:rsidRPr="00F0005E">
        <w:rPr>
          <w:rFonts w:cs="Calibri"/>
          <w:color w:val="000000" w:themeColor="text1"/>
          <w:szCs w:val="19"/>
        </w:rPr>
        <w:t>.</w:t>
      </w:r>
    </w:p>
    <w:p w14:paraId="46418BBE" w14:textId="77777777" w:rsidR="000B6712" w:rsidRPr="00F0005E" w:rsidRDefault="000B6712" w:rsidP="000B6712">
      <w:pPr>
        <w:autoSpaceDE w:val="0"/>
        <w:autoSpaceDN w:val="0"/>
        <w:adjustRightInd w:val="0"/>
        <w:spacing w:line="240" w:lineRule="auto"/>
        <w:rPr>
          <w:rFonts w:cs="Calibri"/>
          <w:color w:val="000000" w:themeColor="text1"/>
          <w:szCs w:val="19"/>
        </w:rPr>
      </w:pPr>
    </w:p>
    <w:p w14:paraId="5B9ADDED" w14:textId="77777777" w:rsidR="000B6712" w:rsidRPr="00F0005E" w:rsidRDefault="000B6712" w:rsidP="000B6712">
      <w:pPr>
        <w:spacing w:line="240" w:lineRule="auto"/>
        <w:rPr>
          <w:color w:val="000000" w:themeColor="text1"/>
          <w:szCs w:val="24"/>
        </w:rPr>
      </w:pPr>
      <w:r w:rsidRPr="00F0005E">
        <w:rPr>
          <w:rFonts w:cs="Calibri"/>
          <w:color w:val="000000" w:themeColor="text1"/>
          <w:szCs w:val="19"/>
        </w:rPr>
        <w:t>Virksomhedens har haft enkelte bemærkninger til udkastet. Bemærkningerne er indarbejdet i nærværende miljøgodkendelse.</w:t>
      </w:r>
    </w:p>
    <w:p w14:paraId="14F0E3FF" w14:textId="77777777" w:rsidR="005F4955" w:rsidRPr="004B14BD" w:rsidRDefault="005F4955" w:rsidP="0005216C">
      <w:pPr>
        <w:spacing w:line="240" w:lineRule="auto"/>
        <w:rPr>
          <w:color w:val="FF0000"/>
          <w:szCs w:val="24"/>
        </w:rPr>
      </w:pPr>
    </w:p>
    <w:p w14:paraId="5B6BE7F5" w14:textId="7DF31A66" w:rsidR="000B6712" w:rsidRPr="00F0005E" w:rsidRDefault="005F4955" w:rsidP="0005216C">
      <w:pPr>
        <w:spacing w:line="240" w:lineRule="auto"/>
        <w:rPr>
          <w:color w:val="000000" w:themeColor="text1"/>
          <w:szCs w:val="24"/>
        </w:rPr>
      </w:pPr>
      <w:r w:rsidRPr="00F0005E">
        <w:rPr>
          <w:color w:val="000000" w:themeColor="text1"/>
          <w:szCs w:val="24"/>
        </w:rPr>
        <w:t>På baggrund af ovenstående vurdering og begrundelse vurderer kommunen, at miljøgodkendelsen kan meddeles på de fastsatte vilkår.</w:t>
      </w:r>
      <w:r w:rsidR="000B6712" w:rsidRPr="00F0005E">
        <w:rPr>
          <w:noProof/>
          <w:color w:val="000000" w:themeColor="text1"/>
          <w:szCs w:val="24"/>
        </w:rPr>
        <mc:AlternateContent>
          <mc:Choice Requires="wps">
            <w:drawing>
              <wp:anchor distT="0" distB="0" distL="114300" distR="114300" simplePos="0" relativeHeight="251663360" behindDoc="0" locked="0" layoutInCell="1" allowOverlap="1" wp14:anchorId="1C6D145E" wp14:editId="7248AAD8">
                <wp:simplePos x="0" y="0"/>
                <wp:positionH relativeFrom="column">
                  <wp:posOffset>3498215</wp:posOffset>
                </wp:positionH>
                <wp:positionV relativeFrom="paragraph">
                  <wp:posOffset>3206750</wp:posOffset>
                </wp:positionV>
                <wp:extent cx="377190" cy="290830"/>
                <wp:effectExtent l="50165" t="15875" r="10795" b="5524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 cy="290830"/>
                        </a:xfrm>
                        <a:prstGeom prst="straightConnector1">
                          <a:avLst/>
                        </a:prstGeom>
                        <a:noFill/>
                        <a:ln w="15875">
                          <a:solidFill>
                            <a:sysClr val="window" lastClr="FFFFFF">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09C09" id="_x0000_t32" coordsize="21600,21600" o:spt="32" o:oned="t" path="m,l21600,21600e" filled="f">
                <v:path arrowok="t" fillok="f" o:connecttype="none"/>
                <o:lock v:ext="edit" shapetype="t"/>
              </v:shapetype>
              <v:shape id="AutoShape 6" o:spid="_x0000_s1026" type="#_x0000_t32" style="position:absolute;margin-left:275.45pt;margin-top:252.5pt;width:29.7pt;height:22.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" strokecolor="white" strokeweight="1.25pt">
                <v:stroke endarrow="block"/>
              </v:shape>
            </w:pict>
          </mc:Fallback>
        </mc:AlternateContent>
      </w:r>
    </w:p>
    <w:sectPr w:rsidR="000B6712" w:rsidRPr="00F0005E" w:rsidSect="00E95103">
      <w:headerReference w:type="even" r:id="rId15"/>
      <w:headerReference w:type="default" r:id="rId16"/>
      <w:footerReference w:type="default" r:id="rId17"/>
      <w:headerReference w:type="first" r:id="rId18"/>
      <w:footerReference w:type="first" r:id="rId19"/>
      <w:pgSz w:w="11907" w:h="16839"/>
      <w:pgMar w:top="1701" w:right="2409"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5D2B" w14:textId="77777777" w:rsidR="00605274" w:rsidRDefault="00605274" w:rsidP="005E0973">
      <w:pPr>
        <w:spacing w:line="240" w:lineRule="auto"/>
      </w:pPr>
      <w:r>
        <w:separator/>
      </w:r>
    </w:p>
  </w:endnote>
  <w:endnote w:type="continuationSeparator" w:id="0">
    <w:p w14:paraId="38813EAE" w14:textId="77777777" w:rsidR="00605274" w:rsidRDefault="00605274" w:rsidP="005E0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AAF0" w14:textId="77777777" w:rsidR="00605274" w:rsidRPr="009E6F9F" w:rsidRDefault="00605274">
    <w:pPr>
      <w:pStyle w:val="Sidefod"/>
      <w:tabs>
        <w:tab w:val="clear" w:pos="4819"/>
      </w:tabs>
      <w:rPr>
        <w:sz w:val="20"/>
      </w:rPr>
    </w:pPr>
    <w:r w:rsidRPr="009E6F9F">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4DB5" w14:textId="77777777" w:rsidR="00605274" w:rsidRPr="009E6F9F" w:rsidRDefault="00605274" w:rsidP="00B55514">
    <w:pPr>
      <w:pStyle w:val="Sidefod"/>
      <w:tabs>
        <w:tab w:val="clear" w:pos="4819"/>
        <w:tab w:val="clear" w:pos="9071"/>
        <w:tab w:val="left" w:pos="3119"/>
        <w:tab w:val="left" w:pos="4820"/>
        <w:tab w:val="left" w:pos="6521"/>
      </w:tabs>
      <w:spacing w:line="200" w:lineRule="exact"/>
      <w:ind w:right="-425"/>
      <w:rPr>
        <w:sz w:val="16"/>
        <w:szCs w:val="16"/>
      </w:rPr>
    </w:pPr>
    <w:r w:rsidRPr="009E6F9F">
      <w:rPr>
        <w:sz w:val="16"/>
        <w:szCs w:val="16"/>
      </w:rPr>
      <w:tab/>
    </w:r>
  </w:p>
  <w:p w14:paraId="10CED034" w14:textId="77777777" w:rsidR="00605274" w:rsidRPr="009E6F9F" w:rsidRDefault="00605274" w:rsidP="00B55514">
    <w:pPr>
      <w:pStyle w:val="Sidefod"/>
      <w:tabs>
        <w:tab w:val="clear" w:pos="4819"/>
        <w:tab w:val="clear" w:pos="9071"/>
        <w:tab w:val="left" w:pos="3119"/>
        <w:tab w:val="left" w:pos="4820"/>
        <w:tab w:val="left" w:pos="6521"/>
      </w:tabs>
      <w:spacing w:line="200" w:lineRule="exact"/>
      <w:ind w:right="-425"/>
      <w:rPr>
        <w:sz w:val="16"/>
        <w:szCs w:val="16"/>
      </w:rPr>
    </w:pPr>
  </w:p>
  <w:p w14:paraId="69161E40" w14:textId="77777777" w:rsidR="00605274" w:rsidRPr="009E6F9F" w:rsidRDefault="00605274" w:rsidP="00B55514">
    <w:pPr>
      <w:pStyle w:val="Sidefod"/>
      <w:tabs>
        <w:tab w:val="clear" w:pos="4819"/>
        <w:tab w:val="clear" w:pos="9071"/>
        <w:tab w:val="left" w:pos="3119"/>
        <w:tab w:val="left" w:pos="4820"/>
        <w:tab w:val="left" w:pos="6521"/>
      </w:tabs>
      <w:spacing w:line="200" w:lineRule="exact"/>
      <w:ind w:right="-425"/>
      <w:rPr>
        <w:sz w:val="16"/>
        <w:szCs w:val="16"/>
      </w:rPr>
    </w:pPr>
  </w:p>
  <w:p w14:paraId="10936268" w14:textId="77777777" w:rsidR="00605274" w:rsidRPr="009E6F9F" w:rsidRDefault="00605274" w:rsidP="00B55514">
    <w:pPr>
      <w:pStyle w:val="Sidefod"/>
      <w:tabs>
        <w:tab w:val="clear" w:pos="4819"/>
        <w:tab w:val="clear" w:pos="9071"/>
        <w:tab w:val="left" w:pos="3119"/>
        <w:tab w:val="left" w:pos="4820"/>
        <w:tab w:val="left" w:pos="6521"/>
      </w:tabs>
      <w:spacing w:line="200" w:lineRule="exact"/>
      <w:ind w:right="-425"/>
      <w:rPr>
        <w:sz w:val="16"/>
        <w:szCs w:val="16"/>
      </w:rPr>
    </w:pPr>
  </w:p>
  <w:p w14:paraId="0132EB81" w14:textId="77777777" w:rsidR="00605274" w:rsidRPr="009E6F9F" w:rsidRDefault="00605274" w:rsidP="00B55514">
    <w:pPr>
      <w:pStyle w:val="Sidefod"/>
      <w:tabs>
        <w:tab w:val="clear" w:pos="4819"/>
        <w:tab w:val="clear" w:pos="9071"/>
        <w:tab w:val="left" w:pos="3119"/>
        <w:tab w:val="left" w:pos="4820"/>
        <w:tab w:val="left" w:pos="6521"/>
      </w:tabs>
      <w:spacing w:line="200" w:lineRule="exact"/>
      <w:ind w:right="-425"/>
      <w:rPr>
        <w:sz w:val="16"/>
        <w:szCs w:val="16"/>
      </w:rPr>
    </w:pPr>
    <w:r w:rsidRPr="009E6F9F">
      <w:rPr>
        <w:i/>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6BC7" w14:textId="77777777" w:rsidR="00605274" w:rsidRDefault="00605274" w:rsidP="005E0973">
      <w:pPr>
        <w:spacing w:line="240" w:lineRule="auto"/>
      </w:pPr>
      <w:r>
        <w:separator/>
      </w:r>
    </w:p>
  </w:footnote>
  <w:footnote w:type="continuationSeparator" w:id="0">
    <w:p w14:paraId="74B3171E" w14:textId="77777777" w:rsidR="00605274" w:rsidRDefault="00605274" w:rsidP="005E0973">
      <w:pPr>
        <w:spacing w:line="240" w:lineRule="auto"/>
      </w:pPr>
      <w:r>
        <w:continuationSeparator/>
      </w:r>
    </w:p>
  </w:footnote>
  <w:footnote w:id="1">
    <w:p w14:paraId="623CCD30" w14:textId="351C90FB" w:rsidR="00EE6A03" w:rsidRPr="00B25388" w:rsidRDefault="00EE6A03">
      <w:pPr>
        <w:pStyle w:val="Fodnotetekst"/>
        <w:rPr>
          <w:sz w:val="16"/>
          <w:szCs w:val="16"/>
        </w:rPr>
      </w:pPr>
      <w:r w:rsidRPr="00B25388">
        <w:rPr>
          <w:rStyle w:val="Fodnotehenvisning"/>
          <w:sz w:val="16"/>
          <w:szCs w:val="16"/>
        </w:rPr>
        <w:footnoteRef/>
      </w:r>
      <w:r w:rsidRPr="00B25388">
        <w:rPr>
          <w:sz w:val="16"/>
          <w:szCs w:val="16"/>
        </w:rPr>
        <w:t xml:space="preserve"> Bekendtgørelse om godkendelse af listevirksomhed nr. 2080 af 15. november 2021.</w:t>
      </w:r>
    </w:p>
  </w:footnote>
  <w:footnote w:id="2">
    <w:p w14:paraId="590DE8D9" w14:textId="2456264C" w:rsidR="00A17722" w:rsidRPr="00B25388" w:rsidRDefault="00A17722">
      <w:pPr>
        <w:pStyle w:val="Fodnotetekst"/>
        <w:rPr>
          <w:sz w:val="16"/>
          <w:szCs w:val="16"/>
        </w:rPr>
      </w:pPr>
      <w:r w:rsidRPr="00B25388">
        <w:rPr>
          <w:rStyle w:val="Fodnotehenvisning"/>
          <w:sz w:val="16"/>
          <w:szCs w:val="16"/>
        </w:rPr>
        <w:footnoteRef/>
      </w:r>
      <w:r w:rsidRPr="00B25388">
        <w:rPr>
          <w:sz w:val="16"/>
          <w:szCs w:val="16"/>
        </w:rPr>
        <w:t xml:space="preserve"> Bekendtgørelse om miljøkrav for mellemstore fyringsanlæg nr. 1535 af 9. december 2019.</w:t>
      </w:r>
    </w:p>
  </w:footnote>
  <w:footnote w:id="3">
    <w:p w14:paraId="31992E74" w14:textId="5FB004F5" w:rsidR="007256A5" w:rsidRPr="00B25388" w:rsidRDefault="007256A5">
      <w:pPr>
        <w:pStyle w:val="Fodnotetekst"/>
        <w:rPr>
          <w:sz w:val="16"/>
          <w:szCs w:val="16"/>
        </w:rPr>
      </w:pPr>
      <w:r w:rsidRPr="00B25388">
        <w:rPr>
          <w:rStyle w:val="Fodnotehenvisning"/>
          <w:sz w:val="16"/>
          <w:szCs w:val="16"/>
        </w:rPr>
        <w:footnoteRef/>
      </w:r>
      <w:r w:rsidRPr="00B25388">
        <w:rPr>
          <w:sz w:val="16"/>
          <w:szCs w:val="16"/>
        </w:rPr>
        <w:t xml:space="preserve"> Lovbekendtgørelse nr. 100 af 19. januar 2022 om miljøbeskyttelse</w:t>
      </w:r>
    </w:p>
  </w:footnote>
  <w:footnote w:id="4">
    <w:p w14:paraId="37234099" w14:textId="0858B06F" w:rsidR="00F0241B" w:rsidRPr="00B25388" w:rsidRDefault="00F0241B">
      <w:pPr>
        <w:pStyle w:val="Fodnotetekst"/>
        <w:rPr>
          <w:sz w:val="16"/>
          <w:szCs w:val="16"/>
        </w:rPr>
      </w:pPr>
      <w:r w:rsidRPr="00B25388">
        <w:rPr>
          <w:rStyle w:val="Fodnotehenvisning"/>
          <w:sz w:val="16"/>
          <w:szCs w:val="16"/>
        </w:rPr>
        <w:footnoteRef/>
      </w:r>
      <w:r w:rsidRPr="00B25388">
        <w:rPr>
          <w:sz w:val="16"/>
          <w:szCs w:val="16"/>
        </w:rPr>
        <w:t xml:space="preserve"> bekendtgørelse om godkendelse af listevirksomhed nr. 2080 af 15. november 2021</w:t>
      </w:r>
    </w:p>
  </w:footnote>
  <w:footnote w:id="5">
    <w:p w14:paraId="38445F90" w14:textId="3EF41768" w:rsidR="003A6896" w:rsidRPr="00015B8C" w:rsidRDefault="003A6896" w:rsidP="00015B8C">
      <w:pPr>
        <w:pStyle w:val="Fodnotetekst"/>
        <w:rPr>
          <w:sz w:val="16"/>
          <w:szCs w:val="16"/>
        </w:rPr>
      </w:pPr>
      <w:r w:rsidRPr="00B25388">
        <w:rPr>
          <w:rStyle w:val="Fodnotehenvisning"/>
          <w:sz w:val="16"/>
          <w:szCs w:val="16"/>
        </w:rPr>
        <w:footnoteRef/>
      </w:r>
      <w:r w:rsidRPr="00B25388">
        <w:rPr>
          <w:sz w:val="16"/>
          <w:szCs w:val="16"/>
        </w:rPr>
        <w:t xml:space="preserve"> </w:t>
      </w:r>
      <w:r w:rsidR="00015B8C" w:rsidRPr="00015B8C">
        <w:rPr>
          <w:sz w:val="16"/>
          <w:szCs w:val="16"/>
        </w:rPr>
        <w:t>Bekendtgørelse om standardvilkår i godkendelse af listevirksomhed</w:t>
      </w:r>
      <w:r w:rsidR="00015B8C">
        <w:rPr>
          <w:sz w:val="16"/>
          <w:szCs w:val="16"/>
        </w:rPr>
        <w:t xml:space="preserve"> n</w:t>
      </w:r>
      <w:r w:rsidR="00015B8C" w:rsidRPr="00015B8C">
        <w:rPr>
          <w:sz w:val="16"/>
          <w:szCs w:val="16"/>
        </w:rPr>
        <w:t>r. 2079 af 15. november 2021</w:t>
      </w:r>
    </w:p>
  </w:footnote>
  <w:footnote w:id="6">
    <w:p w14:paraId="055CB36A" w14:textId="7977FBDA" w:rsidR="007D638D" w:rsidRPr="007D638D" w:rsidRDefault="007D638D">
      <w:pPr>
        <w:pStyle w:val="Fodnotetekst"/>
        <w:rPr>
          <w:sz w:val="16"/>
          <w:szCs w:val="16"/>
        </w:rPr>
      </w:pPr>
      <w:r w:rsidRPr="007D638D">
        <w:rPr>
          <w:rStyle w:val="Fodnotehenvisning"/>
          <w:sz w:val="16"/>
          <w:szCs w:val="16"/>
        </w:rPr>
        <w:footnoteRef/>
      </w:r>
      <w:r w:rsidRPr="007D638D">
        <w:rPr>
          <w:sz w:val="16"/>
          <w:szCs w:val="16"/>
        </w:rPr>
        <w:t xml:space="preserve"> Bekendtgørelse om miljøkrav for mellemstore fyringsanlæg</w:t>
      </w:r>
      <w:r w:rsidRPr="007D638D">
        <w:rPr>
          <w:rStyle w:val="Fodnotehenvisning"/>
          <w:sz w:val="16"/>
          <w:szCs w:val="16"/>
        </w:rPr>
        <w:footnoteRef/>
      </w:r>
      <w:r w:rsidRPr="007D638D">
        <w:rPr>
          <w:sz w:val="16"/>
          <w:szCs w:val="16"/>
        </w:rPr>
        <w:t xml:space="preserve"> nr. 1535 af 9. december 2019 pkt. 2, stk. 2</w:t>
      </w:r>
    </w:p>
  </w:footnote>
  <w:footnote w:id="7">
    <w:p w14:paraId="3A8A31C6" w14:textId="77777777" w:rsidR="009A5B5F" w:rsidRPr="00A4763A" w:rsidRDefault="009A5B5F" w:rsidP="009A5B5F">
      <w:pPr>
        <w:pStyle w:val="Fodnotetekst"/>
        <w:rPr>
          <w:sz w:val="16"/>
          <w:szCs w:val="16"/>
        </w:rPr>
      </w:pPr>
      <w:r w:rsidRPr="00A4763A">
        <w:rPr>
          <w:rStyle w:val="Fodnotehenvisning"/>
          <w:sz w:val="16"/>
          <w:szCs w:val="16"/>
        </w:rPr>
        <w:footnoteRef/>
      </w:r>
      <w:r w:rsidRPr="00A4763A">
        <w:rPr>
          <w:sz w:val="16"/>
          <w:szCs w:val="16"/>
        </w:rPr>
        <w:t xml:space="preserve"> </w:t>
      </w:r>
      <w:bookmarkStart w:id="9" w:name="_Hlk120866574"/>
      <w:r w:rsidRPr="00A4763A">
        <w:rPr>
          <w:sz w:val="16"/>
          <w:szCs w:val="16"/>
        </w:rPr>
        <w:t>Maksimal normaldrift defineres som test og vedligehold af 1 generator med 100% last</w:t>
      </w:r>
      <w:bookmarkEnd w:id="9"/>
    </w:p>
  </w:footnote>
  <w:footnote w:id="8">
    <w:p w14:paraId="49F11E4F" w14:textId="77777777" w:rsidR="001F61C6" w:rsidRPr="00111778" w:rsidRDefault="001F61C6" w:rsidP="001F61C6">
      <w:pPr>
        <w:pStyle w:val="Fodnotetekst"/>
        <w:rPr>
          <w:sz w:val="16"/>
          <w:szCs w:val="16"/>
        </w:rPr>
      </w:pPr>
      <w:r w:rsidRPr="00FD1C2F">
        <w:rPr>
          <w:rStyle w:val="Fodnotehenvisning"/>
          <w:sz w:val="16"/>
          <w:szCs w:val="16"/>
        </w:rPr>
        <w:footnoteRef/>
      </w:r>
      <w:r w:rsidRPr="00FD1C2F">
        <w:rPr>
          <w:sz w:val="16"/>
          <w:szCs w:val="16"/>
        </w:rPr>
        <w:t xml:space="preserve"> Maksimal normaldrift defineres som test og vedligehold af 1 generator med 100% last</w:t>
      </w:r>
    </w:p>
  </w:footnote>
  <w:footnote w:id="9">
    <w:p w14:paraId="6BE91495" w14:textId="77777777" w:rsidR="00AB2275" w:rsidRPr="00111778" w:rsidRDefault="00AB2275" w:rsidP="00AB2275">
      <w:pPr>
        <w:pStyle w:val="Fodnotetekst"/>
        <w:rPr>
          <w:sz w:val="16"/>
          <w:szCs w:val="16"/>
        </w:rPr>
      </w:pPr>
      <w:r w:rsidRPr="00FD1C2F">
        <w:rPr>
          <w:rStyle w:val="Fodnotehenvisning"/>
          <w:sz w:val="16"/>
          <w:szCs w:val="16"/>
        </w:rPr>
        <w:footnoteRef/>
      </w:r>
      <w:r w:rsidRPr="00FD1C2F">
        <w:rPr>
          <w:sz w:val="16"/>
          <w:szCs w:val="16"/>
        </w:rPr>
        <w:t xml:space="preserve"> Maksimal normaldrift defineres som test og vedligehold af 1 generator med 100% last</w:t>
      </w:r>
    </w:p>
  </w:footnote>
  <w:footnote w:id="10">
    <w:p w14:paraId="42BE8008" w14:textId="1DEB174A" w:rsidR="00FD1C2F" w:rsidRDefault="00FD1C2F">
      <w:pPr>
        <w:pStyle w:val="Fodnotetekst"/>
      </w:pPr>
      <w:r w:rsidRPr="00111778">
        <w:rPr>
          <w:rStyle w:val="Fodnotehenvisning"/>
          <w:sz w:val="16"/>
          <w:szCs w:val="16"/>
        </w:rPr>
        <w:footnoteRef/>
      </w:r>
      <w:r w:rsidRPr="00111778">
        <w:rPr>
          <w:sz w:val="16"/>
          <w:szCs w:val="16"/>
        </w:rPr>
        <w:t xml:space="preserve"> </w:t>
      </w:r>
      <w:r w:rsidRPr="00FD1C2F">
        <w:rPr>
          <w:sz w:val="16"/>
          <w:szCs w:val="16"/>
        </w:rPr>
        <w:t>Maksimal normaldrift defineres som test og vedligehold af 1 generator med 100% last</w:t>
      </w:r>
    </w:p>
  </w:footnote>
  <w:footnote w:id="11">
    <w:p w14:paraId="5BBB9618" w14:textId="076BD5BD" w:rsidR="00605274" w:rsidRPr="00DB2F88" w:rsidRDefault="00605274">
      <w:pPr>
        <w:pStyle w:val="Fodnotetekst"/>
        <w:rPr>
          <w:sz w:val="16"/>
          <w:szCs w:val="16"/>
        </w:rPr>
      </w:pPr>
      <w:r w:rsidRPr="00DB2F88">
        <w:rPr>
          <w:rStyle w:val="Fodnotehenvisning"/>
          <w:sz w:val="16"/>
          <w:szCs w:val="16"/>
        </w:rPr>
        <w:footnoteRef/>
      </w:r>
      <w:r w:rsidRPr="00DB2F88">
        <w:rPr>
          <w:sz w:val="16"/>
          <w:szCs w:val="16"/>
        </w:rPr>
        <w:t xml:space="preserve"> Fuld normal drift defineres som test og vedligehold af en generator med 100 % fuld last.</w:t>
      </w:r>
    </w:p>
  </w:footnote>
  <w:footnote w:id="12">
    <w:p w14:paraId="485B19AC" w14:textId="77777777" w:rsidR="003F4FAF" w:rsidRPr="00DB2F88" w:rsidRDefault="003F4FAF" w:rsidP="003F4FAF">
      <w:pPr>
        <w:pStyle w:val="Fodnotetekst"/>
        <w:rPr>
          <w:sz w:val="16"/>
          <w:szCs w:val="16"/>
        </w:rPr>
      </w:pPr>
      <w:r w:rsidRPr="00DB2F88">
        <w:rPr>
          <w:rStyle w:val="Fodnotehenvisning"/>
          <w:sz w:val="16"/>
          <w:szCs w:val="16"/>
        </w:rPr>
        <w:footnoteRef/>
      </w:r>
      <w:r w:rsidRPr="00DB2F88">
        <w:rPr>
          <w:sz w:val="16"/>
          <w:szCs w:val="16"/>
        </w:rPr>
        <w:t xml:space="preserve"> Fuld normal drift defineres som test og vedligehold af en generator med 100 % fuld last.</w:t>
      </w:r>
    </w:p>
  </w:footnote>
  <w:footnote w:id="13">
    <w:p w14:paraId="6101C2DD" w14:textId="76337B59" w:rsidR="005616DF" w:rsidRPr="005616DF" w:rsidRDefault="005616DF">
      <w:pPr>
        <w:pStyle w:val="Fodnotetekst"/>
        <w:rPr>
          <w:sz w:val="16"/>
          <w:szCs w:val="16"/>
        </w:rPr>
      </w:pPr>
      <w:r w:rsidRPr="005616DF">
        <w:rPr>
          <w:rStyle w:val="Fodnotehenvisning"/>
          <w:sz w:val="16"/>
          <w:szCs w:val="16"/>
        </w:rPr>
        <w:footnoteRef/>
      </w:r>
      <w:r w:rsidRPr="005616DF">
        <w:rPr>
          <w:sz w:val="16"/>
          <w:szCs w:val="16"/>
        </w:rPr>
        <w:t xml:space="preserve"> </w:t>
      </w:r>
      <w:r w:rsidR="0019637E">
        <w:rPr>
          <w:sz w:val="16"/>
          <w:szCs w:val="16"/>
        </w:rPr>
        <w:t>L</w:t>
      </w:r>
      <w:r w:rsidRPr="005616DF">
        <w:rPr>
          <w:sz w:val="16"/>
          <w:szCs w:val="16"/>
        </w:rPr>
        <w:t>ovbek.</w:t>
      </w:r>
      <w:r w:rsidRPr="005616DF">
        <w:t xml:space="preserve"> </w:t>
      </w:r>
      <w:r w:rsidRPr="005616DF">
        <w:rPr>
          <w:sz w:val="16"/>
          <w:szCs w:val="16"/>
        </w:rPr>
        <w:t>om forurenet jord nr. 282 af 27. marts 2017</w:t>
      </w:r>
      <w:r>
        <w:rPr>
          <w:sz w:val="16"/>
          <w:szCs w:val="16"/>
        </w:rPr>
        <w:t xml:space="preserve"> </w:t>
      </w:r>
    </w:p>
  </w:footnote>
  <w:footnote w:id="14">
    <w:p w14:paraId="7EB4ADC6" w14:textId="4589CEC8" w:rsidR="00605274" w:rsidRPr="006934B1" w:rsidRDefault="00605274" w:rsidP="006934B1">
      <w:pPr>
        <w:pStyle w:val="Fodnotetekst"/>
        <w:rPr>
          <w:sz w:val="16"/>
          <w:szCs w:val="16"/>
        </w:rPr>
      </w:pPr>
      <w:r>
        <w:rPr>
          <w:rStyle w:val="Fodnotehenvisning"/>
        </w:rPr>
        <w:footnoteRef/>
      </w:r>
      <w:r>
        <w:t xml:space="preserve"> </w:t>
      </w:r>
      <w:r w:rsidRPr="006934B1">
        <w:rPr>
          <w:sz w:val="16"/>
          <w:szCs w:val="16"/>
        </w:rPr>
        <w:t xml:space="preserve">Lov </w:t>
      </w:r>
      <w:r>
        <w:rPr>
          <w:sz w:val="16"/>
          <w:szCs w:val="16"/>
        </w:rPr>
        <w:t>n</w:t>
      </w:r>
      <w:r w:rsidRPr="006934B1">
        <w:rPr>
          <w:sz w:val="16"/>
          <w:szCs w:val="16"/>
        </w:rPr>
        <w:t>r. 425 af 18. maj 2016</w:t>
      </w:r>
      <w:r>
        <w:rPr>
          <w:sz w:val="16"/>
          <w:szCs w:val="16"/>
        </w:rPr>
        <w:t xml:space="preserve"> </w:t>
      </w:r>
      <w:r w:rsidRPr="006934B1">
        <w:rPr>
          <w:sz w:val="16"/>
          <w:szCs w:val="16"/>
        </w:rPr>
        <w:t>om miljøvurdering af planer og programmer og af konkrete projekter (VVM)</w:t>
      </w:r>
    </w:p>
  </w:footnote>
  <w:footnote w:id="15">
    <w:p w14:paraId="55CFB986" w14:textId="53218CB3" w:rsidR="00C96B3B" w:rsidRPr="00C96B3B" w:rsidRDefault="00C96B3B" w:rsidP="00C96B3B">
      <w:pPr>
        <w:pStyle w:val="Overskrift1"/>
        <w:shd w:val="clear" w:color="auto" w:fill="FFFFFF"/>
        <w:rPr>
          <w:rFonts w:cs="Arial"/>
          <w:b w:val="0"/>
          <w:bCs/>
          <w:color w:val="000000"/>
          <w:sz w:val="16"/>
          <w:szCs w:val="16"/>
        </w:rPr>
      </w:pPr>
      <w:r w:rsidRPr="00C96B3B">
        <w:rPr>
          <w:rStyle w:val="Fodnotehenvisning"/>
          <w:b w:val="0"/>
          <w:bCs/>
          <w:sz w:val="16"/>
          <w:szCs w:val="16"/>
        </w:rPr>
        <w:footnoteRef/>
      </w:r>
      <w:r w:rsidRPr="00C96B3B">
        <w:rPr>
          <w:b w:val="0"/>
          <w:bCs/>
          <w:sz w:val="16"/>
          <w:szCs w:val="16"/>
        </w:rPr>
        <w:t xml:space="preserve"> </w:t>
      </w:r>
      <w:r w:rsidRPr="00C96B3B">
        <w:rPr>
          <w:rFonts w:cs="Arial"/>
          <w:b w:val="0"/>
          <w:bCs/>
          <w:color w:val="000000"/>
          <w:sz w:val="16"/>
          <w:szCs w:val="16"/>
        </w:rPr>
        <w:t>Bekendtgørelse om kontrol med risikoen for større uheld med farlige stoffer</w:t>
      </w:r>
      <w:r>
        <w:rPr>
          <w:rFonts w:cs="Arial"/>
          <w:b w:val="0"/>
          <w:bCs/>
          <w:color w:val="000000"/>
          <w:sz w:val="16"/>
          <w:szCs w:val="16"/>
        </w:rPr>
        <w:t xml:space="preserve"> </w:t>
      </w:r>
      <w:r w:rsidRPr="00C96B3B">
        <w:rPr>
          <w:b w:val="0"/>
          <w:bCs/>
          <w:sz w:val="16"/>
          <w:szCs w:val="16"/>
        </w:rPr>
        <w:t>nr. 372 af 25. april 2016</w:t>
      </w:r>
    </w:p>
  </w:footnote>
  <w:footnote w:id="16">
    <w:p w14:paraId="17B439FC" w14:textId="77777777" w:rsidR="00281D8A" w:rsidRPr="00B25388" w:rsidRDefault="00281D8A" w:rsidP="00281D8A">
      <w:pPr>
        <w:pStyle w:val="Fodnotetekst"/>
        <w:rPr>
          <w:sz w:val="16"/>
          <w:szCs w:val="16"/>
        </w:rPr>
      </w:pPr>
      <w:r w:rsidRPr="00B25388">
        <w:rPr>
          <w:rStyle w:val="Fodnotehenvisning"/>
          <w:sz w:val="16"/>
          <w:szCs w:val="16"/>
        </w:rPr>
        <w:footnoteRef/>
      </w:r>
      <w:r w:rsidRPr="00B25388">
        <w:rPr>
          <w:sz w:val="16"/>
          <w:szCs w:val="16"/>
        </w:rPr>
        <w:t xml:space="preserve"> Bekendtgørelse om godkendelse af listevirksomhed nr. 2080 af 15. november 2021.</w:t>
      </w:r>
    </w:p>
  </w:footnote>
  <w:footnote w:id="17">
    <w:p w14:paraId="5AFB116C" w14:textId="7C173E0B" w:rsidR="00605274" w:rsidRPr="00524CDB" w:rsidRDefault="00605274" w:rsidP="00524CDB">
      <w:pPr>
        <w:pStyle w:val="Fodnotetekst"/>
      </w:pPr>
      <w:r w:rsidRPr="00C6509B">
        <w:rPr>
          <w:rStyle w:val="Fodnotehenvisning"/>
          <w:sz w:val="16"/>
          <w:szCs w:val="16"/>
        </w:rPr>
        <w:footnoteRef/>
      </w:r>
      <w:r w:rsidRPr="00C6509B">
        <w:rPr>
          <w:sz w:val="16"/>
          <w:szCs w:val="16"/>
        </w:rPr>
        <w:t xml:space="preserve"> </w:t>
      </w:r>
      <w:r w:rsidRPr="00524CDB">
        <w:rPr>
          <w:sz w:val="16"/>
          <w:szCs w:val="16"/>
        </w:rPr>
        <w:t>https://miljogodkendelsesvejledningen.dk/opslag/53-godkendelsespligt/538-bortfald-og-tilbagekaldelse/</w:t>
      </w:r>
    </w:p>
  </w:footnote>
  <w:footnote w:id="18">
    <w:p w14:paraId="26C701AC" w14:textId="77777777" w:rsidR="00B36FAC" w:rsidRPr="00905F08" w:rsidRDefault="00B36FAC" w:rsidP="00B36FAC">
      <w:pPr>
        <w:pStyle w:val="Fodnotetekst"/>
        <w:rPr>
          <w:sz w:val="16"/>
          <w:szCs w:val="16"/>
        </w:rPr>
      </w:pPr>
      <w:r w:rsidRPr="00905F08">
        <w:rPr>
          <w:rStyle w:val="Fodnotehenvisning"/>
          <w:sz w:val="16"/>
          <w:szCs w:val="16"/>
        </w:rPr>
        <w:footnoteRef/>
      </w:r>
      <w:r w:rsidRPr="00905F08">
        <w:rPr>
          <w:sz w:val="16"/>
          <w:szCs w:val="16"/>
        </w:rPr>
        <w:t xml:space="preserve"> Luftvejledningen. Vejledning fra miljøstyrelsen </w:t>
      </w:r>
      <w:r>
        <w:rPr>
          <w:sz w:val="16"/>
          <w:szCs w:val="16"/>
        </w:rPr>
        <w:t>n</w:t>
      </w:r>
      <w:r w:rsidRPr="00905F08">
        <w:rPr>
          <w:sz w:val="16"/>
          <w:szCs w:val="16"/>
        </w:rPr>
        <w:t>r. 2 2001</w:t>
      </w:r>
    </w:p>
  </w:footnote>
  <w:footnote w:id="19">
    <w:p w14:paraId="53132AE6" w14:textId="77777777" w:rsidR="00932633" w:rsidRPr="000A5591" w:rsidRDefault="00932633" w:rsidP="00932633">
      <w:pPr>
        <w:pStyle w:val="Fodnotetekst"/>
        <w:rPr>
          <w:sz w:val="16"/>
          <w:szCs w:val="16"/>
        </w:rPr>
      </w:pPr>
      <w:r>
        <w:rPr>
          <w:rStyle w:val="Fodnotehenvisning"/>
        </w:rPr>
        <w:footnoteRef/>
      </w:r>
      <w:r>
        <w:t xml:space="preserve"> </w:t>
      </w:r>
      <w:r w:rsidRPr="000A5591">
        <w:rPr>
          <w:sz w:val="16"/>
          <w:szCs w:val="16"/>
        </w:rPr>
        <w:t>DCE, 2014 , ”Anbefaling af metoder til estimering af tør- og våddeposition af gasser og partikler i</w:t>
      </w:r>
    </w:p>
    <w:p w14:paraId="21618E73" w14:textId="77777777" w:rsidR="00932633" w:rsidRPr="000A5591" w:rsidRDefault="00932633" w:rsidP="00932633">
      <w:pPr>
        <w:pStyle w:val="Fodnotetekst"/>
        <w:rPr>
          <w:sz w:val="16"/>
          <w:szCs w:val="16"/>
        </w:rPr>
      </w:pPr>
      <w:r w:rsidRPr="000A5591">
        <w:rPr>
          <w:sz w:val="16"/>
          <w:szCs w:val="16"/>
        </w:rPr>
        <w:t>relation til VVM”</w:t>
      </w:r>
      <w:r>
        <w:rPr>
          <w:sz w:val="16"/>
          <w:szCs w:val="16"/>
        </w:rPr>
        <w:t>.</w:t>
      </w:r>
    </w:p>
  </w:footnote>
  <w:footnote w:id="20">
    <w:p w14:paraId="289067E2" w14:textId="53E55C3F" w:rsidR="008D4EA6" w:rsidRPr="008D4EA6" w:rsidRDefault="008D4EA6">
      <w:pPr>
        <w:pStyle w:val="Fodnotetekst"/>
        <w:rPr>
          <w:sz w:val="16"/>
          <w:szCs w:val="16"/>
        </w:rPr>
      </w:pPr>
      <w:r w:rsidRPr="008D4EA6">
        <w:rPr>
          <w:rStyle w:val="Fodnotehenvisning"/>
          <w:sz w:val="16"/>
          <w:szCs w:val="16"/>
        </w:rPr>
        <w:footnoteRef/>
      </w:r>
      <w:r w:rsidRPr="008D4EA6">
        <w:rPr>
          <w:sz w:val="16"/>
          <w:szCs w:val="16"/>
        </w:rPr>
        <w:t xml:space="preserve"> DCE, 2019, ”Luften på din vej 2.0”, http://lpdv.spatialsuite.dk/spatialmap</w:t>
      </w:r>
    </w:p>
  </w:footnote>
  <w:footnote w:id="21">
    <w:p w14:paraId="01ACF63A" w14:textId="6E6E7255" w:rsidR="00605274" w:rsidRPr="008D4EA6" w:rsidRDefault="00605274">
      <w:pPr>
        <w:pStyle w:val="Fodnotetekst"/>
        <w:rPr>
          <w:sz w:val="16"/>
          <w:szCs w:val="16"/>
        </w:rPr>
      </w:pPr>
      <w:r w:rsidRPr="008D4EA6">
        <w:rPr>
          <w:rStyle w:val="Fodnotehenvisning"/>
          <w:sz w:val="16"/>
          <w:szCs w:val="16"/>
        </w:rPr>
        <w:footnoteRef/>
      </w:r>
      <w:r w:rsidRPr="008D4EA6">
        <w:rPr>
          <w:sz w:val="16"/>
          <w:szCs w:val="16"/>
        </w:rPr>
        <w:t xml:space="preserve"> Begrænsning af lugtgener fra virksomheden. Vejledning fra Miljøstyrelsen, nr. 4 1985.</w:t>
      </w:r>
    </w:p>
  </w:footnote>
  <w:footnote w:id="22">
    <w:p w14:paraId="3E75A127" w14:textId="77777777" w:rsidR="00393BE2" w:rsidRPr="001B3F57" w:rsidRDefault="00393BE2" w:rsidP="00393BE2">
      <w:pPr>
        <w:pStyle w:val="Fodnotetekst"/>
        <w:rPr>
          <w:sz w:val="16"/>
          <w:szCs w:val="16"/>
        </w:rPr>
      </w:pPr>
      <w:r>
        <w:rPr>
          <w:rStyle w:val="Fodnotehenvisning"/>
        </w:rPr>
        <w:footnoteRef/>
      </w:r>
      <w:r>
        <w:t xml:space="preserve"> </w:t>
      </w:r>
      <w:r w:rsidRPr="00914B67">
        <w:rPr>
          <w:sz w:val="16"/>
          <w:szCs w:val="16"/>
        </w:rPr>
        <w:t>Forebyggelse af jord og grundvandsforurening på industrivirksomheder ved udvalgte aktiviteter</w:t>
      </w:r>
      <w:r>
        <w:rPr>
          <w:sz w:val="16"/>
          <w:szCs w:val="16"/>
        </w:rPr>
        <w:t>.</w:t>
      </w:r>
      <w:r w:rsidRPr="00914B67">
        <w:rPr>
          <w:sz w:val="16"/>
          <w:szCs w:val="16"/>
        </w:rPr>
        <w:t xml:space="preserve"> Orientering fra Miljøstyrelsen </w:t>
      </w:r>
      <w:r>
        <w:rPr>
          <w:sz w:val="16"/>
          <w:szCs w:val="16"/>
        </w:rPr>
        <w:t>n</w:t>
      </w:r>
      <w:r w:rsidRPr="00914B67">
        <w:rPr>
          <w:sz w:val="16"/>
          <w:szCs w:val="16"/>
        </w:rPr>
        <w:t>r. 6 2008</w:t>
      </w:r>
    </w:p>
  </w:footnote>
  <w:footnote w:id="23">
    <w:p w14:paraId="60CACD55" w14:textId="1D99042F" w:rsidR="00D66239" w:rsidRPr="00D66239" w:rsidRDefault="00D66239" w:rsidP="00D66239">
      <w:pPr>
        <w:pStyle w:val="Fodnotetekst"/>
        <w:rPr>
          <w:sz w:val="16"/>
          <w:szCs w:val="16"/>
        </w:rPr>
      </w:pPr>
      <w:r w:rsidRPr="00D66239">
        <w:rPr>
          <w:rStyle w:val="Fodnotehenvisning"/>
          <w:sz w:val="16"/>
          <w:szCs w:val="16"/>
        </w:rPr>
        <w:footnoteRef/>
      </w:r>
      <w:r w:rsidRPr="00D66239">
        <w:rPr>
          <w:sz w:val="16"/>
          <w:szCs w:val="16"/>
        </w:rPr>
        <w:t xml:space="preserve"> Bekendtgørelse om godkendelse af listevirksomhed</w:t>
      </w:r>
      <w:r>
        <w:rPr>
          <w:sz w:val="16"/>
          <w:szCs w:val="16"/>
        </w:rPr>
        <w:t xml:space="preserve"> n</w:t>
      </w:r>
      <w:r w:rsidRPr="00D66239">
        <w:rPr>
          <w:sz w:val="16"/>
          <w:szCs w:val="16"/>
        </w:rPr>
        <w:t>r. 2080 af 15. november 2021</w:t>
      </w:r>
    </w:p>
  </w:footnote>
  <w:footnote w:id="24">
    <w:p w14:paraId="03A18A7E" w14:textId="77777777" w:rsidR="008771D6" w:rsidRPr="00B9075D" w:rsidRDefault="008771D6" w:rsidP="008771D6">
      <w:pPr>
        <w:pStyle w:val="Fodnotetekst"/>
        <w:rPr>
          <w:sz w:val="16"/>
          <w:szCs w:val="16"/>
        </w:rPr>
      </w:pPr>
      <w:r w:rsidRPr="00B9075D">
        <w:rPr>
          <w:rStyle w:val="Fodnotehenvisning"/>
          <w:sz w:val="16"/>
          <w:szCs w:val="16"/>
        </w:rPr>
        <w:footnoteRef/>
      </w:r>
      <w:r w:rsidRPr="00B9075D">
        <w:rPr>
          <w:sz w:val="16"/>
          <w:szCs w:val="16"/>
        </w:rPr>
        <w:t xml:space="preserve"> BREF dokument for direktiv for industrielle emissioner 2010/75/EU med BAT konklusioner for store fyringsanlæg</w:t>
      </w:r>
      <w:r>
        <w:rPr>
          <w:sz w:val="16"/>
          <w:szCs w:val="16"/>
        </w:rPr>
        <w:t xml:space="preserve"> </w:t>
      </w:r>
      <w:r w:rsidRPr="00B9075D">
        <w:rPr>
          <w:sz w:val="16"/>
          <w:szCs w:val="16"/>
        </w:rPr>
        <w:t>med en indfyret effekt større end 50 MW af 17. august 2017</w:t>
      </w:r>
    </w:p>
  </w:footnote>
  <w:footnote w:id="25">
    <w:p w14:paraId="5B2A5F95" w14:textId="77777777" w:rsidR="00605274" w:rsidRDefault="00605274" w:rsidP="001B6722">
      <w:pPr>
        <w:pStyle w:val="Fodnotetekst"/>
      </w:pPr>
      <w:r>
        <w:rPr>
          <w:rStyle w:val="Fodnotehenvisning"/>
        </w:rPr>
        <w:footnoteRef/>
      </w:r>
      <w:r>
        <w:t xml:space="preserve"> </w:t>
      </w:r>
      <w:r>
        <w:rPr>
          <w:sz w:val="16"/>
          <w:szCs w:val="16"/>
        </w:rPr>
        <w:t>jf. § 7, stk. 7 i Habitatbekendtgørelsen</w:t>
      </w:r>
    </w:p>
  </w:footnote>
  <w:footnote w:id="26">
    <w:p w14:paraId="03A1C31B" w14:textId="77777777" w:rsidR="00605274" w:rsidRDefault="00605274" w:rsidP="001B6722">
      <w:pPr>
        <w:pStyle w:val="Fodnotetekst"/>
      </w:pPr>
      <w:r>
        <w:rPr>
          <w:rStyle w:val="Fodnotehenvisning"/>
        </w:rPr>
        <w:footnoteRef/>
      </w:r>
      <w:r>
        <w:t xml:space="preserve"> </w:t>
      </w:r>
      <w:r>
        <w:rPr>
          <w:sz w:val="16"/>
          <w:szCs w:val="16"/>
        </w:rPr>
        <w:t>Bekendtgørelse nr. 2091 af 12. november 2021 om udpegning og administration af internationale naturbeskyttelsesområder samt beskyttelse af visse arter (Habitatbekendtgørelsen)</w:t>
      </w:r>
    </w:p>
  </w:footnote>
  <w:footnote w:id="27">
    <w:p w14:paraId="71CA1156" w14:textId="34D968F9" w:rsidR="00174DA6" w:rsidRPr="00174DA6" w:rsidRDefault="00174DA6">
      <w:pPr>
        <w:pStyle w:val="Fodnotetekst"/>
        <w:rPr>
          <w:sz w:val="16"/>
          <w:szCs w:val="16"/>
        </w:rPr>
      </w:pPr>
      <w:r w:rsidRPr="00174DA6">
        <w:rPr>
          <w:rStyle w:val="Fodnotehenvisning"/>
          <w:sz w:val="16"/>
          <w:szCs w:val="16"/>
        </w:rPr>
        <w:footnoteRef/>
      </w:r>
      <w:r w:rsidRPr="00174DA6">
        <w:rPr>
          <w:sz w:val="16"/>
          <w:szCs w:val="16"/>
        </w:rPr>
        <w:t xml:space="preserve"> Vejledning om basistilstandsrapporter, jf. Den Europæiske Unions Tidende af 6. maj 2014, C136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7494" w14:textId="58540930" w:rsidR="00605274" w:rsidRDefault="0060527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6475" w14:textId="2AF15FA3" w:rsidR="00605274" w:rsidRPr="009E6F9F" w:rsidRDefault="00605274">
    <w:pPr>
      <w:pStyle w:val="Sidehoved"/>
      <w:spacing w:after="0"/>
      <w:ind w:right="96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8445" w14:textId="32AAAA4D" w:rsidR="00605274" w:rsidRDefault="0060527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50192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A10D3B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1C4317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69A28B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BC01B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72F86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26E3E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267BF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E2731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1560B8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0A60057"/>
    <w:multiLevelType w:val="hybridMultilevel"/>
    <w:tmpl w:val="ED80F10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FF2139"/>
    <w:multiLevelType w:val="hybridMultilevel"/>
    <w:tmpl w:val="186E98DE"/>
    <w:lvl w:ilvl="0" w:tplc="0DCCB76A">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46003FC"/>
    <w:multiLevelType w:val="hybridMultilevel"/>
    <w:tmpl w:val="236E8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46672BF"/>
    <w:multiLevelType w:val="multilevel"/>
    <w:tmpl w:val="6FB01FC2"/>
    <w:lvl w:ilvl="0">
      <w:start w:val="1"/>
      <w:numFmt w:val="decimal"/>
      <w:pStyle w:val="GE-nummerlist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4A85BE0"/>
    <w:multiLevelType w:val="hybridMultilevel"/>
    <w:tmpl w:val="EF10DE48"/>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638516E"/>
    <w:multiLevelType w:val="hybridMultilevel"/>
    <w:tmpl w:val="60F2909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73654B5"/>
    <w:multiLevelType w:val="hybridMultilevel"/>
    <w:tmpl w:val="332C7430"/>
    <w:lvl w:ilvl="0" w:tplc="CA9447A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0FEE60C2"/>
    <w:multiLevelType w:val="hybridMultilevel"/>
    <w:tmpl w:val="738EA024"/>
    <w:lvl w:ilvl="0" w:tplc="04060001">
      <w:start w:val="1"/>
      <w:numFmt w:val="bullet"/>
      <w:lvlText w:val=""/>
      <w:lvlJc w:val="left"/>
      <w:pPr>
        <w:ind w:left="1500" w:hanging="360"/>
      </w:pPr>
      <w:rPr>
        <w:rFonts w:ascii="Symbol" w:hAnsi="Symbol"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18" w15:restartNumberingAfterBreak="0">
    <w:nsid w:val="13054AE0"/>
    <w:multiLevelType w:val="hybridMultilevel"/>
    <w:tmpl w:val="EC2E37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6C5122"/>
    <w:multiLevelType w:val="hybridMultilevel"/>
    <w:tmpl w:val="58A66B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62191F"/>
    <w:multiLevelType w:val="hybridMultilevel"/>
    <w:tmpl w:val="E23A63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0C5F09"/>
    <w:multiLevelType w:val="hybridMultilevel"/>
    <w:tmpl w:val="BE4CFFC0"/>
    <w:lvl w:ilvl="0" w:tplc="0DCCB76A">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0F74987"/>
    <w:multiLevelType w:val="hybridMultilevel"/>
    <w:tmpl w:val="F70E7CBC"/>
    <w:lvl w:ilvl="0" w:tplc="A3E4ED92">
      <w:start w:val="1"/>
      <w:numFmt w:val="decimal"/>
      <w:lvlText w:val="%1."/>
      <w:lvlJc w:val="left"/>
      <w:pPr>
        <w:ind w:left="720" w:hanging="360"/>
      </w:pPr>
      <w:rPr>
        <w:b/>
        <w:bCs/>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23C61738"/>
    <w:multiLevelType w:val="hybridMultilevel"/>
    <w:tmpl w:val="1034E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5C65E47"/>
    <w:multiLevelType w:val="hybridMultilevel"/>
    <w:tmpl w:val="86085298"/>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5" w15:restartNumberingAfterBreak="0">
    <w:nsid w:val="29060557"/>
    <w:multiLevelType w:val="hybridMultilevel"/>
    <w:tmpl w:val="E23A63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267933"/>
    <w:multiLevelType w:val="hybridMultilevel"/>
    <w:tmpl w:val="0F662004"/>
    <w:lvl w:ilvl="0" w:tplc="45461B86">
      <w:start w:val="1"/>
      <w:numFmt w:val="decimal"/>
      <w:lvlText w:val="%1."/>
      <w:lvlJc w:val="left"/>
      <w:pPr>
        <w:tabs>
          <w:tab w:val="num" w:pos="1287"/>
        </w:tabs>
        <w:ind w:left="1287" w:hanging="360"/>
      </w:pPr>
      <w:rPr>
        <w:b w:val="0"/>
        <w:color w:val="auto"/>
      </w:rPr>
    </w:lvl>
    <w:lvl w:ilvl="1" w:tplc="04060001">
      <w:start w:val="1"/>
      <w:numFmt w:val="bullet"/>
      <w:lvlText w:val=""/>
      <w:lvlJc w:val="left"/>
      <w:pPr>
        <w:tabs>
          <w:tab w:val="num" w:pos="2007"/>
        </w:tabs>
        <w:ind w:left="2007" w:hanging="360"/>
      </w:pPr>
      <w:rPr>
        <w:rFonts w:ascii="Symbol" w:hAnsi="Symbol" w:hint="default"/>
      </w:r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7" w15:restartNumberingAfterBreak="0">
    <w:nsid w:val="2C432F2A"/>
    <w:multiLevelType w:val="hybridMultilevel"/>
    <w:tmpl w:val="8B583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9C24DB"/>
    <w:multiLevelType w:val="hybridMultilevel"/>
    <w:tmpl w:val="1984595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8A3961"/>
    <w:multiLevelType w:val="hybridMultilevel"/>
    <w:tmpl w:val="FE5EEC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68F3F3F"/>
    <w:multiLevelType w:val="hybridMultilevel"/>
    <w:tmpl w:val="EC1C88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377F3DDE"/>
    <w:multiLevelType w:val="hybridMultilevel"/>
    <w:tmpl w:val="586C88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8171A23"/>
    <w:multiLevelType w:val="hybridMultilevel"/>
    <w:tmpl w:val="50623C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1005EB2"/>
    <w:multiLevelType w:val="hybridMultilevel"/>
    <w:tmpl w:val="036CA5F6"/>
    <w:lvl w:ilvl="0" w:tplc="DECAAD0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43C515D2"/>
    <w:multiLevelType w:val="hybridMultilevel"/>
    <w:tmpl w:val="A0DA6734"/>
    <w:lvl w:ilvl="0" w:tplc="04060001">
      <w:start w:val="1"/>
      <w:numFmt w:val="bullet"/>
      <w:lvlText w:val=""/>
      <w:lvlJc w:val="left"/>
      <w:pPr>
        <w:ind w:left="1500" w:hanging="360"/>
      </w:pPr>
      <w:rPr>
        <w:rFonts w:ascii="Symbol" w:hAnsi="Symbol"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35" w15:restartNumberingAfterBreak="0">
    <w:nsid w:val="444553FA"/>
    <w:multiLevelType w:val="hybridMultilevel"/>
    <w:tmpl w:val="E8000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44EE1171"/>
    <w:multiLevelType w:val="hybridMultilevel"/>
    <w:tmpl w:val="F70E7CB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F167AB"/>
    <w:multiLevelType w:val="hybridMultilevel"/>
    <w:tmpl w:val="D1903E0C"/>
    <w:lvl w:ilvl="0" w:tplc="52B2EC32">
      <w:start w:val="1"/>
      <w:numFmt w:val="decimal"/>
      <w:pStyle w:val="Test"/>
      <w:lvlText w:val="%1."/>
      <w:lvlJc w:val="left"/>
      <w:pPr>
        <w:tabs>
          <w:tab w:val="num" w:pos="720"/>
        </w:tabs>
        <w:ind w:left="720" w:hanging="360"/>
      </w:pPr>
    </w:lvl>
    <w:lvl w:ilvl="1" w:tplc="D638C8B4">
      <w:start w:val="1"/>
      <w:numFmt w:val="decimal"/>
      <w:lvlText w:val="%2."/>
      <w:lvlJc w:val="left"/>
      <w:pPr>
        <w:tabs>
          <w:tab w:val="num" w:pos="1440"/>
        </w:tabs>
        <w:ind w:left="1440" w:hanging="360"/>
      </w:pPr>
    </w:lvl>
    <w:lvl w:ilvl="2" w:tplc="223A95F4">
      <w:start w:val="1"/>
      <w:numFmt w:val="decimal"/>
      <w:lvlText w:val="%3."/>
      <w:lvlJc w:val="left"/>
      <w:pPr>
        <w:tabs>
          <w:tab w:val="num" w:pos="2160"/>
        </w:tabs>
        <w:ind w:left="2160" w:hanging="360"/>
      </w:pPr>
    </w:lvl>
    <w:lvl w:ilvl="3" w:tplc="4E1C05EA">
      <w:start w:val="1"/>
      <w:numFmt w:val="decimal"/>
      <w:lvlText w:val="%4."/>
      <w:lvlJc w:val="left"/>
      <w:pPr>
        <w:tabs>
          <w:tab w:val="num" w:pos="2880"/>
        </w:tabs>
        <w:ind w:left="2880" w:hanging="360"/>
      </w:pPr>
    </w:lvl>
    <w:lvl w:ilvl="4" w:tplc="411EAD28">
      <w:start w:val="1"/>
      <w:numFmt w:val="decimal"/>
      <w:lvlText w:val="%5."/>
      <w:lvlJc w:val="left"/>
      <w:pPr>
        <w:tabs>
          <w:tab w:val="num" w:pos="3600"/>
        </w:tabs>
        <w:ind w:left="3600" w:hanging="360"/>
      </w:pPr>
    </w:lvl>
    <w:lvl w:ilvl="5" w:tplc="4BFC8642">
      <w:start w:val="1"/>
      <w:numFmt w:val="decimal"/>
      <w:lvlText w:val="%6."/>
      <w:lvlJc w:val="left"/>
      <w:pPr>
        <w:tabs>
          <w:tab w:val="num" w:pos="4320"/>
        </w:tabs>
        <w:ind w:left="4320" w:hanging="360"/>
      </w:pPr>
    </w:lvl>
    <w:lvl w:ilvl="6" w:tplc="1A6CE870">
      <w:start w:val="1"/>
      <w:numFmt w:val="decimal"/>
      <w:lvlText w:val="%7."/>
      <w:lvlJc w:val="left"/>
      <w:pPr>
        <w:tabs>
          <w:tab w:val="num" w:pos="5040"/>
        </w:tabs>
        <w:ind w:left="5040" w:hanging="360"/>
      </w:pPr>
    </w:lvl>
    <w:lvl w:ilvl="7" w:tplc="AF4EDDC4">
      <w:start w:val="1"/>
      <w:numFmt w:val="decimal"/>
      <w:lvlText w:val="%8."/>
      <w:lvlJc w:val="left"/>
      <w:pPr>
        <w:tabs>
          <w:tab w:val="num" w:pos="5760"/>
        </w:tabs>
        <w:ind w:left="5760" w:hanging="360"/>
      </w:pPr>
    </w:lvl>
    <w:lvl w:ilvl="8" w:tplc="6D6A0ABA">
      <w:start w:val="1"/>
      <w:numFmt w:val="decimal"/>
      <w:lvlText w:val="%9."/>
      <w:lvlJc w:val="left"/>
      <w:pPr>
        <w:tabs>
          <w:tab w:val="num" w:pos="6480"/>
        </w:tabs>
        <w:ind w:left="6480" w:hanging="360"/>
      </w:pPr>
    </w:lvl>
  </w:abstractNum>
  <w:abstractNum w:abstractNumId="38" w15:restartNumberingAfterBreak="0">
    <w:nsid w:val="4D0878F1"/>
    <w:multiLevelType w:val="hybridMultilevel"/>
    <w:tmpl w:val="758E320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DA86C0F"/>
    <w:multiLevelType w:val="hybridMultilevel"/>
    <w:tmpl w:val="055A88A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4F9548DA"/>
    <w:multiLevelType w:val="hybridMultilevel"/>
    <w:tmpl w:val="12989D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1697B7A"/>
    <w:multiLevelType w:val="hybridMultilevel"/>
    <w:tmpl w:val="81341B58"/>
    <w:lvl w:ilvl="0" w:tplc="2070E94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2" w15:restartNumberingAfterBreak="0">
    <w:nsid w:val="54674AA5"/>
    <w:multiLevelType w:val="hybridMultilevel"/>
    <w:tmpl w:val="B7086192"/>
    <w:lvl w:ilvl="0" w:tplc="0DCCB76A">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ED0C9B"/>
    <w:multiLevelType w:val="hybridMultilevel"/>
    <w:tmpl w:val="BBC63D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7C44555"/>
    <w:multiLevelType w:val="hybridMultilevel"/>
    <w:tmpl w:val="60F2909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5F7E20"/>
    <w:multiLevelType w:val="hybridMultilevel"/>
    <w:tmpl w:val="C2FE199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6" w15:restartNumberingAfterBreak="0">
    <w:nsid w:val="617F09BE"/>
    <w:multiLevelType w:val="hybridMultilevel"/>
    <w:tmpl w:val="E23A63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3958C6"/>
    <w:multiLevelType w:val="multilevel"/>
    <w:tmpl w:val="5A36503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AAC2520"/>
    <w:multiLevelType w:val="hybridMultilevel"/>
    <w:tmpl w:val="EEF24F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B2A0A9F"/>
    <w:multiLevelType w:val="hybridMultilevel"/>
    <w:tmpl w:val="00F06096"/>
    <w:lvl w:ilvl="0" w:tplc="C9264960">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2587985">
    <w:abstractNumId w:val="9"/>
  </w:num>
  <w:num w:numId="2" w16cid:durableId="1339429036">
    <w:abstractNumId w:val="7"/>
  </w:num>
  <w:num w:numId="3" w16cid:durableId="756486287">
    <w:abstractNumId w:val="6"/>
  </w:num>
  <w:num w:numId="4" w16cid:durableId="739059008">
    <w:abstractNumId w:val="5"/>
  </w:num>
  <w:num w:numId="5" w16cid:durableId="1119422071">
    <w:abstractNumId w:val="4"/>
  </w:num>
  <w:num w:numId="6" w16cid:durableId="1411661198">
    <w:abstractNumId w:val="8"/>
  </w:num>
  <w:num w:numId="7" w16cid:durableId="1207984108">
    <w:abstractNumId w:val="3"/>
  </w:num>
  <w:num w:numId="8" w16cid:durableId="1623147334">
    <w:abstractNumId w:val="2"/>
  </w:num>
  <w:num w:numId="9" w16cid:durableId="267080726">
    <w:abstractNumId w:val="1"/>
  </w:num>
  <w:num w:numId="10" w16cid:durableId="580219992">
    <w:abstractNumId w:val="0"/>
  </w:num>
  <w:num w:numId="11" w16cid:durableId="1409771108">
    <w:abstractNumId w:val="37"/>
  </w:num>
  <w:num w:numId="12" w16cid:durableId="186061400">
    <w:abstractNumId w:val="13"/>
  </w:num>
  <w:num w:numId="13" w16cid:durableId="800999006">
    <w:abstractNumId w:val="26"/>
  </w:num>
  <w:num w:numId="14" w16cid:durableId="341712306">
    <w:abstractNumId w:val="22"/>
  </w:num>
  <w:num w:numId="15" w16cid:durableId="2026906685">
    <w:abstractNumId w:val="40"/>
  </w:num>
  <w:num w:numId="16" w16cid:durableId="1332610989">
    <w:abstractNumId w:val="31"/>
  </w:num>
  <w:num w:numId="17" w16cid:durableId="134178515">
    <w:abstractNumId w:val="17"/>
  </w:num>
  <w:num w:numId="18" w16cid:durableId="721825444">
    <w:abstractNumId w:val="23"/>
  </w:num>
  <w:num w:numId="19" w16cid:durableId="1990163300">
    <w:abstractNumId w:val="33"/>
  </w:num>
  <w:num w:numId="20" w16cid:durableId="818958708">
    <w:abstractNumId w:val="38"/>
  </w:num>
  <w:num w:numId="21" w16cid:durableId="6909537">
    <w:abstractNumId w:val="41"/>
  </w:num>
  <w:num w:numId="22" w16cid:durableId="1323463274">
    <w:abstractNumId w:val="34"/>
  </w:num>
  <w:num w:numId="23" w16cid:durableId="1334649085">
    <w:abstractNumId w:val="45"/>
  </w:num>
  <w:num w:numId="24" w16cid:durableId="992951982">
    <w:abstractNumId w:val="49"/>
  </w:num>
  <w:num w:numId="25" w16cid:durableId="779496173">
    <w:abstractNumId w:val="27"/>
  </w:num>
  <w:num w:numId="26" w16cid:durableId="1505315353">
    <w:abstractNumId w:val="19"/>
  </w:num>
  <w:num w:numId="27" w16cid:durableId="516578795">
    <w:abstractNumId w:val="29"/>
  </w:num>
  <w:num w:numId="28" w16cid:durableId="16661886">
    <w:abstractNumId w:val="12"/>
  </w:num>
  <w:num w:numId="29" w16cid:durableId="561061313">
    <w:abstractNumId w:val="48"/>
  </w:num>
  <w:num w:numId="30" w16cid:durableId="1351686139">
    <w:abstractNumId w:val="21"/>
  </w:num>
  <w:num w:numId="31" w16cid:durableId="103036185">
    <w:abstractNumId w:val="11"/>
  </w:num>
  <w:num w:numId="32" w16cid:durableId="442307215">
    <w:abstractNumId w:val="42"/>
  </w:num>
  <w:num w:numId="33" w16cid:durableId="138884724">
    <w:abstractNumId w:val="24"/>
  </w:num>
  <w:num w:numId="34" w16cid:durableId="2134248081">
    <w:abstractNumId w:val="18"/>
  </w:num>
  <w:num w:numId="35" w16cid:durableId="1840151960">
    <w:abstractNumId w:val="28"/>
  </w:num>
  <w:num w:numId="36" w16cid:durableId="1901943023">
    <w:abstractNumId w:val="10"/>
  </w:num>
  <w:num w:numId="37" w16cid:durableId="741832536">
    <w:abstractNumId w:val="15"/>
  </w:num>
  <w:num w:numId="38" w16cid:durableId="1038119330">
    <w:abstractNumId w:val="16"/>
  </w:num>
  <w:num w:numId="39" w16cid:durableId="1072508136">
    <w:abstractNumId w:val="44"/>
  </w:num>
  <w:num w:numId="40" w16cid:durableId="1470171807">
    <w:abstractNumId w:val="46"/>
  </w:num>
  <w:num w:numId="41" w16cid:durableId="1902672118">
    <w:abstractNumId w:val="20"/>
  </w:num>
  <w:num w:numId="42" w16cid:durableId="360010531">
    <w:abstractNumId w:val="25"/>
  </w:num>
  <w:num w:numId="43" w16cid:durableId="2060275133">
    <w:abstractNumId w:val="14"/>
  </w:num>
  <w:num w:numId="44" w16cid:durableId="46531041">
    <w:abstractNumId w:val="43"/>
  </w:num>
  <w:num w:numId="45" w16cid:durableId="1479496246">
    <w:abstractNumId w:val="32"/>
  </w:num>
  <w:num w:numId="46" w16cid:durableId="1193303501">
    <w:abstractNumId w:val="30"/>
  </w:num>
  <w:num w:numId="47" w16cid:durableId="984553189">
    <w:abstractNumId w:val="47"/>
  </w:num>
  <w:num w:numId="48" w16cid:durableId="121703030">
    <w:abstractNumId w:val="35"/>
  </w:num>
  <w:num w:numId="49" w16cid:durableId="1519153513">
    <w:abstractNumId w:val="36"/>
  </w:num>
  <w:num w:numId="50" w16cid:durableId="835611338">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567"/>
  <w:autoHyphenation/>
  <w:hyphenationZone w:val="425"/>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HTK - Tomt dokument.dotm"/>
    <w:docVar w:name="CreatedWithDtVersion" w:val="2.8.003"/>
    <w:docVar w:name="DocumentCreated" w:val="DocumentCreated"/>
    <w:docVar w:name="DocumentCreatedOK" w:val="DocumentCreatedOK"/>
    <w:docVar w:name="DocumentInitialized" w:val="OK"/>
    <w:docVar w:name="Encrypted_AcadreDataCaseCF" w:val="4px/qWT38oB+yzRfphvnDX1bBJNef0Fe4NI7RFwDPwtBA2clncdKeHZyxmKgDlUH"/>
    <w:docVar w:name="Encrypted_AcadreDataCaseDate" w:val="F8/MjSZNnFKidENIA1GGJQ=="/>
    <w:docVar w:name="Encrypted_AcadreDataCaseEstate" w:val="EOYlZ2qGHUAA4l+Vc6OPEA=="/>
    <w:docVar w:name="Encrypted_AcadreDataCaseNumber" w:val="MP7PW4lansnzLjrXil0KWw=="/>
    <w:docVar w:name="Encrypted_AcadreDataCaseRemarkName" w:val="EOYlZ2qGHUAA4l+Vc6OPEA=="/>
    <w:docVar w:name="Encrypted_AcadreDataCaseResponsibleUserId" w:val="2jacnNsq1x6nXve9q9epuQ=="/>
    <w:docVar w:name="Encrypted_AcadreDataCaseResponsibleUserInitials" w:val="uM1QE2Y3Kbfb67Qdjz+xRA=="/>
    <w:docVar w:name="Encrypted_AcadreDataCaseResponsibleUserName" w:val="dbYUfGRMm0ssvEmWJ+O/pllUWXqWDYXJ7fgAM3jUGcw="/>
    <w:docVar w:name="Encrypted_AcadreDataCaseSagIndhold" w:val="uHH16FKheibP6VKjQyPHX94QaVXtDvzjtJa8zqPgYwt8l1wViOAUp7KyclgZLpyThz6BUfh3vwuIAsN1SuYmoGmMRAnRzEGvKLquh9eHthA="/>
    <w:docVar w:name="Encrypted_AcadreDataCaseTitle" w:val="C6HnC1AoQcaE22xO2znEQLazak7iDGe28Z6JegLfz1fdvcpVecFnwKW533Q/IPjg"/>
    <w:docVar w:name="Encrypted_AcadreDataDocumentAmountNumber" w:val="yPwYuIQ7DdoiX2VDC190Og=="/>
    <w:docVar w:name="Encrypted_AcadreDataDocumentCategory" w:val="Q0XWo4GJBJiTS2GAZn+orA=="/>
    <w:docVar w:name="Encrypted_AcadreDataDocumentCategoryLiteral" w:val="Q0XWo4GJBJiTS2GAZn+orA=="/>
    <w:docVar w:name="Encrypted_AcadreDataDocumentDate" w:val="Ut04EQFw+O0hIlCyOu8TJw=="/>
    <w:docVar w:name="Encrypted_AcadreDataDocumentDescription" w:val="ynH4xyyhcLE7WNKDQl1j+w=="/>
    <w:docVar w:name="Encrypted_AcadreDataDocumentEvenOutInt" w:val="hkzhiUmdnR0gYA/I+vu4OA=="/>
    <w:docVar w:name="Encrypted_AcadreDataDocumentNo" w:val="yPwYuIQ7DdoiX2VDC190Og=="/>
    <w:docVar w:name="Encrypted_AcadreDataDocumentPublicAccessLevel" w:val="MeiIw7JuP2rrm6ekkW0mmg=="/>
    <w:docVar w:name="Encrypted_AcadreDataDocumentPublicAccessLevelId" w:val="GMapNOIbqL1AdHD5+xJ8hw=="/>
    <w:docVar w:name="Encrypted_AcadreDataDocumentResponsibleUserId" w:val="2jacnNsq1x6nXve9q9epuQ=="/>
    <w:docVar w:name="Encrypted_AcadreDataDocumentResponsibleUserInitials" w:val="uM1QE2Y3Kbfb67Qdjz+xRA=="/>
    <w:docVar w:name="Encrypted_AcadreDataDocumentResponsibleUserName" w:val="dbYUfGRMm0ssvEmWJ+O/pllUWXqWDYXJ7fgAM3jUGcw="/>
    <w:docVar w:name="Encrypted_AcadreDataDocumentStatus" w:val="6p7wRqnJnSosHKwS7njWc40Ivkvmm1TZ9OfC+GtgtwU="/>
    <w:docVar w:name="Encrypted_AcadreDataDocumentStatusLiteral" w:val="NIVIwarKPk129xeXoJ87kg=="/>
    <w:docVar w:name="Encrypted_AcadreDataDocumentTitle" w:val="dR4uvm5NmzMaUBIec+jBJCnWFFbHIiwwJ4bXqWBu15UPH2qnarKMJptPhk29iYeatg7OgxYhVVgcbEzQj0OdYQ=="/>
    <w:docVar w:name="Encrypted_AcadreDataDocumentType" w:val="hVTb3LhMkq6SAv7vjnXUEw=="/>
    <w:docVar w:name="Encrypted_AcadreDataDocumentTypeLiteral" w:val="epGAuoRh5So1VPiWXon9vA=="/>
    <w:docVar w:name="Encrypted_AcadreDataDocumentUniqueNumber" w:val="mKGVmC6AoJotQfIy5ldf9A=="/>
    <w:docVar w:name="Encrypted_AcadreDataDokumentNummer" w:val="yPwYuIQ7DdoiX2VDC190Og=="/>
    <w:docVar w:name="Encrypted_AcadreDataOrganisationUnit" w:val="YSIVYza1ZEsPR7yUeRYjHO3XxsNe66EwoLLjmyl1Fxs="/>
    <w:docVar w:name="Encrypted_AcadreDataUserId" w:val="2jacnNsq1x6nXve9q9epuQ=="/>
    <w:docVar w:name="Encrypted_AcadreDataUserInitials" w:val="uM1QE2Y3Kbfb67Qdjz+xRA=="/>
    <w:docVar w:name="Encrypted_AcadreDataUserName" w:val="dbYUfGRMm0ssvEmWJ+O/pllUWXqWDYXJ7fgAM3jUGcw="/>
    <w:docVar w:name="Encrypted_AcadreDocumentToMultipleRecipients" w:val="Go1BF8BBsJqqGsR1izlsvQ=="/>
    <w:docVar w:name="Encrypted_CloudStatistics_DocumentCreation" w:val="jdVW2FK8uI0YHzTHPTEY1w=="/>
    <w:docVar w:name="Encrypted_CloudStatistics_StoryID" w:val="xJUWA7vsBLIrUqLC5Y5nKQ8E2f+ruz+tDqCyjZ8/7jNSzthjLpfcSamDiEBllH5V"/>
    <w:docVar w:name="Encrypted_DialogFieldValue_caseno" w:val="MP7PW4lansnzLjrXil0KWw=="/>
    <w:docVar w:name="Encrypted_DialogFieldValue_docheader" w:val="dR4uvm5NmzMaUBIec+jBJCnWFFbHIiwwJ4bXqWBu15UPH2qnarKMJptPhk29iYeatg7OgxYhVVgcbEzQj0OdYQ=="/>
    <w:docVar w:name="Encrypted_DialogFieldValue_documentdate" w:val="Ut04EQFw+O0hIlCyOu8TJw=="/>
    <w:docVar w:name="Encrypted_DialogFieldValue_documentid" w:val="gJO26cKJB2kn0P+9ICPOhoB3QNK6+ull5ICu9Kbt+/c="/>
    <w:docVar w:name="Encrypted_DialogFieldValue_senderdepartment" w:val="YSIVYza1ZEsPR7yUeRYjHO3XxsNe66EwoLLjmyl1Fxs="/>
    <w:docVar w:name="Encrypted_DialogFieldValue_senderemaildir" w:val="bHtZODud8t5W/CSrpZQuaXIwu/OEQGJHc47EOkuUBiU="/>
    <w:docVar w:name="Encrypted_DialogFieldValue_senderinitials" w:val="uM1QE2Y3Kbfb67Qdjz+xRA=="/>
    <w:docVar w:name="Encrypted_DialogFieldValue_senderphonedir" w:val="nTQmkrr0DLYrsNemx+J/ew=="/>
    <w:docVar w:name="Encrypted_DocCaseNo" w:val="MP7PW4lansnzLjrXil0KWw=="/>
    <w:docVar w:name="Encrypted_DocHeader" w:val="dR4uvm5NmzMaUBIec+jBJCnWFFbHIiwwJ4bXqWBu15UPH2qnarKMJptPhk29iYeatg7OgxYhVVgcbEzQj0OdYQ=="/>
    <w:docVar w:name="Encrypted_OneClickDesignTemplatePath" w:val="pfzvmaTJ5luy31OQ5JP1cvx8pIQO6kT72ChrDNxvxHAA7M0g6zMAu37T/bHncAE/3jGsRD4WRf02S9GtNmKrZxsM6vOX4ES3ItQIxbxFENhfM/6ErRtoljqWnBaHs2fIZXL19gWdUY6bW+cQUxyolg=="/>
    <w:docVar w:name="IntegrationType" w:val="AcadreCM"/>
    <w:docVar w:name="SaveInTemplateCenterEnabled" w:val="False"/>
  </w:docVars>
  <w:rsids>
    <w:rsidRoot w:val="00782937"/>
    <w:rsid w:val="00000059"/>
    <w:rsid w:val="000006E9"/>
    <w:rsid w:val="00000719"/>
    <w:rsid w:val="00001479"/>
    <w:rsid w:val="000036B7"/>
    <w:rsid w:val="00004BA7"/>
    <w:rsid w:val="00004E49"/>
    <w:rsid w:val="00005384"/>
    <w:rsid w:val="000057A2"/>
    <w:rsid w:val="00010894"/>
    <w:rsid w:val="00012E99"/>
    <w:rsid w:val="0001398B"/>
    <w:rsid w:val="00014D8A"/>
    <w:rsid w:val="00015B8C"/>
    <w:rsid w:val="000166E6"/>
    <w:rsid w:val="00016C11"/>
    <w:rsid w:val="00016FF8"/>
    <w:rsid w:val="00017A14"/>
    <w:rsid w:val="00017B61"/>
    <w:rsid w:val="0002050F"/>
    <w:rsid w:val="000240BC"/>
    <w:rsid w:val="000249FE"/>
    <w:rsid w:val="00024B96"/>
    <w:rsid w:val="00027AB8"/>
    <w:rsid w:val="00030015"/>
    <w:rsid w:val="00030EEA"/>
    <w:rsid w:val="00031CE2"/>
    <w:rsid w:val="00032E73"/>
    <w:rsid w:val="00034148"/>
    <w:rsid w:val="00034962"/>
    <w:rsid w:val="00035731"/>
    <w:rsid w:val="00036B6D"/>
    <w:rsid w:val="0003796E"/>
    <w:rsid w:val="00037FDB"/>
    <w:rsid w:val="000410AC"/>
    <w:rsid w:val="000464BD"/>
    <w:rsid w:val="000519F3"/>
    <w:rsid w:val="0005216C"/>
    <w:rsid w:val="000521B2"/>
    <w:rsid w:val="00052715"/>
    <w:rsid w:val="00053363"/>
    <w:rsid w:val="0005347B"/>
    <w:rsid w:val="00053BCC"/>
    <w:rsid w:val="00053E1F"/>
    <w:rsid w:val="00053E20"/>
    <w:rsid w:val="00053EF5"/>
    <w:rsid w:val="00056737"/>
    <w:rsid w:val="0005766D"/>
    <w:rsid w:val="00057910"/>
    <w:rsid w:val="000601D2"/>
    <w:rsid w:val="0006032F"/>
    <w:rsid w:val="00063FA4"/>
    <w:rsid w:val="000643E0"/>
    <w:rsid w:val="000651B9"/>
    <w:rsid w:val="000705E9"/>
    <w:rsid w:val="00070911"/>
    <w:rsid w:val="00071C87"/>
    <w:rsid w:val="00071FE1"/>
    <w:rsid w:val="00072AE6"/>
    <w:rsid w:val="00072BB7"/>
    <w:rsid w:val="00074092"/>
    <w:rsid w:val="000747AB"/>
    <w:rsid w:val="00074CBC"/>
    <w:rsid w:val="00075F41"/>
    <w:rsid w:val="00077212"/>
    <w:rsid w:val="0007752F"/>
    <w:rsid w:val="00077798"/>
    <w:rsid w:val="00077F45"/>
    <w:rsid w:val="000801C0"/>
    <w:rsid w:val="0008029E"/>
    <w:rsid w:val="00083461"/>
    <w:rsid w:val="00084429"/>
    <w:rsid w:val="00085D45"/>
    <w:rsid w:val="00090798"/>
    <w:rsid w:val="00091128"/>
    <w:rsid w:val="00091160"/>
    <w:rsid w:val="000921B9"/>
    <w:rsid w:val="0009307A"/>
    <w:rsid w:val="00094221"/>
    <w:rsid w:val="00094B13"/>
    <w:rsid w:val="0009521C"/>
    <w:rsid w:val="00095D93"/>
    <w:rsid w:val="00097FCD"/>
    <w:rsid w:val="000A0286"/>
    <w:rsid w:val="000A0373"/>
    <w:rsid w:val="000A33A8"/>
    <w:rsid w:val="000A45C2"/>
    <w:rsid w:val="000A46AC"/>
    <w:rsid w:val="000A4BE8"/>
    <w:rsid w:val="000A5110"/>
    <w:rsid w:val="000A5591"/>
    <w:rsid w:val="000A61CF"/>
    <w:rsid w:val="000B1682"/>
    <w:rsid w:val="000B2713"/>
    <w:rsid w:val="000B27B6"/>
    <w:rsid w:val="000B3651"/>
    <w:rsid w:val="000B4B60"/>
    <w:rsid w:val="000B636E"/>
    <w:rsid w:val="000B6712"/>
    <w:rsid w:val="000B7B33"/>
    <w:rsid w:val="000B7D99"/>
    <w:rsid w:val="000C12BA"/>
    <w:rsid w:val="000C4946"/>
    <w:rsid w:val="000C49C3"/>
    <w:rsid w:val="000C57D2"/>
    <w:rsid w:val="000D0399"/>
    <w:rsid w:val="000D16D0"/>
    <w:rsid w:val="000D1FE4"/>
    <w:rsid w:val="000D267C"/>
    <w:rsid w:val="000D2815"/>
    <w:rsid w:val="000D3488"/>
    <w:rsid w:val="000D4D90"/>
    <w:rsid w:val="000D6260"/>
    <w:rsid w:val="000D64EA"/>
    <w:rsid w:val="000D7308"/>
    <w:rsid w:val="000E041C"/>
    <w:rsid w:val="000E37A5"/>
    <w:rsid w:val="000E3F5E"/>
    <w:rsid w:val="000E4837"/>
    <w:rsid w:val="000E4BE9"/>
    <w:rsid w:val="000E63D2"/>
    <w:rsid w:val="000E6706"/>
    <w:rsid w:val="000E76DB"/>
    <w:rsid w:val="000F154C"/>
    <w:rsid w:val="000F379E"/>
    <w:rsid w:val="000F412D"/>
    <w:rsid w:val="000F50A1"/>
    <w:rsid w:val="000F5648"/>
    <w:rsid w:val="000F642F"/>
    <w:rsid w:val="000F6671"/>
    <w:rsid w:val="000F6675"/>
    <w:rsid w:val="000F7E0B"/>
    <w:rsid w:val="00100539"/>
    <w:rsid w:val="001006F9"/>
    <w:rsid w:val="0010148F"/>
    <w:rsid w:val="001028EE"/>
    <w:rsid w:val="0010356B"/>
    <w:rsid w:val="00104C11"/>
    <w:rsid w:val="00104FC2"/>
    <w:rsid w:val="00105394"/>
    <w:rsid w:val="001061C1"/>
    <w:rsid w:val="00107697"/>
    <w:rsid w:val="00107CF9"/>
    <w:rsid w:val="00110563"/>
    <w:rsid w:val="00111778"/>
    <w:rsid w:val="00112B15"/>
    <w:rsid w:val="00112F87"/>
    <w:rsid w:val="0011497A"/>
    <w:rsid w:val="00115721"/>
    <w:rsid w:val="00115DEB"/>
    <w:rsid w:val="0011648A"/>
    <w:rsid w:val="001176D2"/>
    <w:rsid w:val="00123451"/>
    <w:rsid w:val="001234A0"/>
    <w:rsid w:val="00123A69"/>
    <w:rsid w:val="0012470E"/>
    <w:rsid w:val="0012628D"/>
    <w:rsid w:val="001274B0"/>
    <w:rsid w:val="00127C8B"/>
    <w:rsid w:val="00127CBB"/>
    <w:rsid w:val="00130D49"/>
    <w:rsid w:val="001330FB"/>
    <w:rsid w:val="00135B7E"/>
    <w:rsid w:val="00135BF8"/>
    <w:rsid w:val="00135DCD"/>
    <w:rsid w:val="00136897"/>
    <w:rsid w:val="001371AF"/>
    <w:rsid w:val="001371D1"/>
    <w:rsid w:val="001400E0"/>
    <w:rsid w:val="00140AAD"/>
    <w:rsid w:val="0014259C"/>
    <w:rsid w:val="00142A5F"/>
    <w:rsid w:val="00143D35"/>
    <w:rsid w:val="00144A0B"/>
    <w:rsid w:val="00144BC0"/>
    <w:rsid w:val="001453A3"/>
    <w:rsid w:val="0014747A"/>
    <w:rsid w:val="00151CDB"/>
    <w:rsid w:val="00152B5D"/>
    <w:rsid w:val="00152DF3"/>
    <w:rsid w:val="00152E35"/>
    <w:rsid w:val="00153BF5"/>
    <w:rsid w:val="00155476"/>
    <w:rsid w:val="00157012"/>
    <w:rsid w:val="0015711F"/>
    <w:rsid w:val="001628C3"/>
    <w:rsid w:val="001637F0"/>
    <w:rsid w:val="001638C7"/>
    <w:rsid w:val="00163933"/>
    <w:rsid w:val="001644E4"/>
    <w:rsid w:val="00166961"/>
    <w:rsid w:val="00166B5B"/>
    <w:rsid w:val="001705F1"/>
    <w:rsid w:val="001708AE"/>
    <w:rsid w:val="00170978"/>
    <w:rsid w:val="001713B8"/>
    <w:rsid w:val="00174ACC"/>
    <w:rsid w:val="00174DA6"/>
    <w:rsid w:val="00175700"/>
    <w:rsid w:val="0017581D"/>
    <w:rsid w:val="00175CF4"/>
    <w:rsid w:val="001767B1"/>
    <w:rsid w:val="0017790E"/>
    <w:rsid w:val="00180827"/>
    <w:rsid w:val="0018158B"/>
    <w:rsid w:val="00181C51"/>
    <w:rsid w:val="00181D99"/>
    <w:rsid w:val="001825AC"/>
    <w:rsid w:val="0018496C"/>
    <w:rsid w:val="00185270"/>
    <w:rsid w:val="00185306"/>
    <w:rsid w:val="00187EDD"/>
    <w:rsid w:val="001910C4"/>
    <w:rsid w:val="001938AF"/>
    <w:rsid w:val="001944F8"/>
    <w:rsid w:val="00194B2B"/>
    <w:rsid w:val="0019637E"/>
    <w:rsid w:val="00196882"/>
    <w:rsid w:val="0019702B"/>
    <w:rsid w:val="001A0C1C"/>
    <w:rsid w:val="001A1866"/>
    <w:rsid w:val="001A2A2A"/>
    <w:rsid w:val="001A4581"/>
    <w:rsid w:val="001A45B4"/>
    <w:rsid w:val="001B0966"/>
    <w:rsid w:val="001B0C14"/>
    <w:rsid w:val="001B0F23"/>
    <w:rsid w:val="001B191F"/>
    <w:rsid w:val="001B2109"/>
    <w:rsid w:val="001B25E5"/>
    <w:rsid w:val="001B26BF"/>
    <w:rsid w:val="001B2E3D"/>
    <w:rsid w:val="001B3F57"/>
    <w:rsid w:val="001B4450"/>
    <w:rsid w:val="001B4C6C"/>
    <w:rsid w:val="001B64CE"/>
    <w:rsid w:val="001B6722"/>
    <w:rsid w:val="001C10A6"/>
    <w:rsid w:val="001C5AAF"/>
    <w:rsid w:val="001C5FBF"/>
    <w:rsid w:val="001C6C74"/>
    <w:rsid w:val="001C7DD3"/>
    <w:rsid w:val="001D226B"/>
    <w:rsid w:val="001D29F2"/>
    <w:rsid w:val="001D3185"/>
    <w:rsid w:val="001D3CDE"/>
    <w:rsid w:val="001D564D"/>
    <w:rsid w:val="001D6D17"/>
    <w:rsid w:val="001E0A94"/>
    <w:rsid w:val="001E0F58"/>
    <w:rsid w:val="001E0F59"/>
    <w:rsid w:val="001E1BDD"/>
    <w:rsid w:val="001E278D"/>
    <w:rsid w:val="001E3407"/>
    <w:rsid w:val="001E3D85"/>
    <w:rsid w:val="001E4359"/>
    <w:rsid w:val="001E5401"/>
    <w:rsid w:val="001E5AE3"/>
    <w:rsid w:val="001E5D7F"/>
    <w:rsid w:val="001E65DE"/>
    <w:rsid w:val="001E6B8B"/>
    <w:rsid w:val="001F0E74"/>
    <w:rsid w:val="001F0E9F"/>
    <w:rsid w:val="001F106C"/>
    <w:rsid w:val="001F112F"/>
    <w:rsid w:val="001F1458"/>
    <w:rsid w:val="001F2864"/>
    <w:rsid w:val="001F2889"/>
    <w:rsid w:val="001F2A02"/>
    <w:rsid w:val="001F2D79"/>
    <w:rsid w:val="001F3C5F"/>
    <w:rsid w:val="001F5F63"/>
    <w:rsid w:val="001F61C6"/>
    <w:rsid w:val="001F653A"/>
    <w:rsid w:val="001F6AB0"/>
    <w:rsid w:val="00200188"/>
    <w:rsid w:val="002030C6"/>
    <w:rsid w:val="00204475"/>
    <w:rsid w:val="002048C4"/>
    <w:rsid w:val="00204C41"/>
    <w:rsid w:val="0020600C"/>
    <w:rsid w:val="002068A9"/>
    <w:rsid w:val="00207131"/>
    <w:rsid w:val="002076AA"/>
    <w:rsid w:val="00207807"/>
    <w:rsid w:val="00207F25"/>
    <w:rsid w:val="00210792"/>
    <w:rsid w:val="00211471"/>
    <w:rsid w:val="00213038"/>
    <w:rsid w:val="002133C7"/>
    <w:rsid w:val="00214AD5"/>
    <w:rsid w:val="00214F9F"/>
    <w:rsid w:val="00215E5A"/>
    <w:rsid w:val="002166A2"/>
    <w:rsid w:val="0022228B"/>
    <w:rsid w:val="002222F4"/>
    <w:rsid w:val="00222DFB"/>
    <w:rsid w:val="0022304A"/>
    <w:rsid w:val="0022333D"/>
    <w:rsid w:val="00223710"/>
    <w:rsid w:val="0022474E"/>
    <w:rsid w:val="00225B24"/>
    <w:rsid w:val="00225B26"/>
    <w:rsid w:val="002261FF"/>
    <w:rsid w:val="002266EC"/>
    <w:rsid w:val="00232388"/>
    <w:rsid w:val="00233520"/>
    <w:rsid w:val="0023584C"/>
    <w:rsid w:val="00236754"/>
    <w:rsid w:val="00236CB5"/>
    <w:rsid w:val="00237210"/>
    <w:rsid w:val="002376A3"/>
    <w:rsid w:val="00237738"/>
    <w:rsid w:val="002402D5"/>
    <w:rsid w:val="00240745"/>
    <w:rsid w:val="002438C5"/>
    <w:rsid w:val="00243B2F"/>
    <w:rsid w:val="00244F11"/>
    <w:rsid w:val="0024514F"/>
    <w:rsid w:val="00245339"/>
    <w:rsid w:val="00245BAF"/>
    <w:rsid w:val="00246A43"/>
    <w:rsid w:val="00251491"/>
    <w:rsid w:val="0025178D"/>
    <w:rsid w:val="00251B60"/>
    <w:rsid w:val="00251F29"/>
    <w:rsid w:val="00251F87"/>
    <w:rsid w:val="0025262A"/>
    <w:rsid w:val="00253416"/>
    <w:rsid w:val="00255060"/>
    <w:rsid w:val="00256004"/>
    <w:rsid w:val="002564ED"/>
    <w:rsid w:val="00256B98"/>
    <w:rsid w:val="00256FF8"/>
    <w:rsid w:val="0026012E"/>
    <w:rsid w:val="00261495"/>
    <w:rsid w:val="00261C4B"/>
    <w:rsid w:val="00262044"/>
    <w:rsid w:val="002636BC"/>
    <w:rsid w:val="002653BB"/>
    <w:rsid w:val="0026743D"/>
    <w:rsid w:val="0027046E"/>
    <w:rsid w:val="00270CE4"/>
    <w:rsid w:val="002719FF"/>
    <w:rsid w:val="002730ED"/>
    <w:rsid w:val="00273312"/>
    <w:rsid w:val="00273848"/>
    <w:rsid w:val="00274E15"/>
    <w:rsid w:val="00274F87"/>
    <w:rsid w:val="00277213"/>
    <w:rsid w:val="00277FE6"/>
    <w:rsid w:val="00280656"/>
    <w:rsid w:val="00280E25"/>
    <w:rsid w:val="0028199D"/>
    <w:rsid w:val="00281D8A"/>
    <w:rsid w:val="002842CE"/>
    <w:rsid w:val="002850D6"/>
    <w:rsid w:val="00285367"/>
    <w:rsid w:val="00286014"/>
    <w:rsid w:val="0028667A"/>
    <w:rsid w:val="00286B7E"/>
    <w:rsid w:val="002905D6"/>
    <w:rsid w:val="00290A5E"/>
    <w:rsid w:val="00291917"/>
    <w:rsid w:val="00291E07"/>
    <w:rsid w:val="00292289"/>
    <w:rsid w:val="00292464"/>
    <w:rsid w:val="0029310F"/>
    <w:rsid w:val="00293680"/>
    <w:rsid w:val="00293E98"/>
    <w:rsid w:val="0029410E"/>
    <w:rsid w:val="0029424B"/>
    <w:rsid w:val="00294680"/>
    <w:rsid w:val="002946A6"/>
    <w:rsid w:val="00295476"/>
    <w:rsid w:val="002954E0"/>
    <w:rsid w:val="0029591D"/>
    <w:rsid w:val="002963E1"/>
    <w:rsid w:val="00297A24"/>
    <w:rsid w:val="002A05EB"/>
    <w:rsid w:val="002A3A05"/>
    <w:rsid w:val="002A3CC2"/>
    <w:rsid w:val="002A3DE1"/>
    <w:rsid w:val="002A4D44"/>
    <w:rsid w:val="002A5F98"/>
    <w:rsid w:val="002B0B4A"/>
    <w:rsid w:val="002B20E1"/>
    <w:rsid w:val="002B3E10"/>
    <w:rsid w:val="002B4006"/>
    <w:rsid w:val="002B5F34"/>
    <w:rsid w:val="002B6D46"/>
    <w:rsid w:val="002C032A"/>
    <w:rsid w:val="002C05D4"/>
    <w:rsid w:val="002C1A7E"/>
    <w:rsid w:val="002C293A"/>
    <w:rsid w:val="002C2A20"/>
    <w:rsid w:val="002C2D41"/>
    <w:rsid w:val="002C40A3"/>
    <w:rsid w:val="002C43C1"/>
    <w:rsid w:val="002C6293"/>
    <w:rsid w:val="002C7536"/>
    <w:rsid w:val="002D1ABC"/>
    <w:rsid w:val="002D3498"/>
    <w:rsid w:val="002D45BC"/>
    <w:rsid w:val="002D4BED"/>
    <w:rsid w:val="002D4F3A"/>
    <w:rsid w:val="002E18A4"/>
    <w:rsid w:val="002E193F"/>
    <w:rsid w:val="002E2329"/>
    <w:rsid w:val="002E24F5"/>
    <w:rsid w:val="002E3EF8"/>
    <w:rsid w:val="002E46C2"/>
    <w:rsid w:val="002E515A"/>
    <w:rsid w:val="002E5F78"/>
    <w:rsid w:val="002F01A7"/>
    <w:rsid w:val="002F1424"/>
    <w:rsid w:val="002F19A1"/>
    <w:rsid w:val="002F2FB9"/>
    <w:rsid w:val="002F60F6"/>
    <w:rsid w:val="002F73A6"/>
    <w:rsid w:val="002F7C7A"/>
    <w:rsid w:val="00300498"/>
    <w:rsid w:val="0030251B"/>
    <w:rsid w:val="003040C6"/>
    <w:rsid w:val="00304CB9"/>
    <w:rsid w:val="003050C3"/>
    <w:rsid w:val="00307410"/>
    <w:rsid w:val="00307946"/>
    <w:rsid w:val="00307E85"/>
    <w:rsid w:val="00310C31"/>
    <w:rsid w:val="00310F4C"/>
    <w:rsid w:val="00311113"/>
    <w:rsid w:val="00311FF2"/>
    <w:rsid w:val="00312128"/>
    <w:rsid w:val="003137A2"/>
    <w:rsid w:val="00313C82"/>
    <w:rsid w:val="00314AE1"/>
    <w:rsid w:val="003152AF"/>
    <w:rsid w:val="00315C17"/>
    <w:rsid w:val="00317671"/>
    <w:rsid w:val="00322DD3"/>
    <w:rsid w:val="003238F8"/>
    <w:rsid w:val="00327869"/>
    <w:rsid w:val="00330731"/>
    <w:rsid w:val="003312A4"/>
    <w:rsid w:val="00331611"/>
    <w:rsid w:val="00332660"/>
    <w:rsid w:val="00334135"/>
    <w:rsid w:val="00334292"/>
    <w:rsid w:val="003359AE"/>
    <w:rsid w:val="00340F4C"/>
    <w:rsid w:val="0034158A"/>
    <w:rsid w:val="00341B6A"/>
    <w:rsid w:val="00341D58"/>
    <w:rsid w:val="00341F01"/>
    <w:rsid w:val="003426D4"/>
    <w:rsid w:val="00342ABF"/>
    <w:rsid w:val="003434A9"/>
    <w:rsid w:val="0034554F"/>
    <w:rsid w:val="00345952"/>
    <w:rsid w:val="00350727"/>
    <w:rsid w:val="00351A33"/>
    <w:rsid w:val="0035230C"/>
    <w:rsid w:val="00353F2E"/>
    <w:rsid w:val="0035513D"/>
    <w:rsid w:val="00355608"/>
    <w:rsid w:val="003605DC"/>
    <w:rsid w:val="00360C04"/>
    <w:rsid w:val="00361333"/>
    <w:rsid w:val="00361392"/>
    <w:rsid w:val="00361F52"/>
    <w:rsid w:val="0036336B"/>
    <w:rsid w:val="003649B9"/>
    <w:rsid w:val="00365CAB"/>
    <w:rsid w:val="00367807"/>
    <w:rsid w:val="00367903"/>
    <w:rsid w:val="00367C09"/>
    <w:rsid w:val="0037150C"/>
    <w:rsid w:val="00371552"/>
    <w:rsid w:val="00371A70"/>
    <w:rsid w:val="00373E06"/>
    <w:rsid w:val="00375526"/>
    <w:rsid w:val="00377466"/>
    <w:rsid w:val="00377BA6"/>
    <w:rsid w:val="00381CB0"/>
    <w:rsid w:val="00384745"/>
    <w:rsid w:val="00384782"/>
    <w:rsid w:val="00385175"/>
    <w:rsid w:val="0038599C"/>
    <w:rsid w:val="00385D71"/>
    <w:rsid w:val="0038616E"/>
    <w:rsid w:val="0038645A"/>
    <w:rsid w:val="00386EA5"/>
    <w:rsid w:val="00387188"/>
    <w:rsid w:val="00391B3E"/>
    <w:rsid w:val="00391DFC"/>
    <w:rsid w:val="0039368F"/>
    <w:rsid w:val="003938FC"/>
    <w:rsid w:val="00393BE2"/>
    <w:rsid w:val="0039535C"/>
    <w:rsid w:val="003954DD"/>
    <w:rsid w:val="003974AC"/>
    <w:rsid w:val="00397DDB"/>
    <w:rsid w:val="00397E0C"/>
    <w:rsid w:val="003A0E46"/>
    <w:rsid w:val="003A2325"/>
    <w:rsid w:val="003A4DB5"/>
    <w:rsid w:val="003A6896"/>
    <w:rsid w:val="003B0276"/>
    <w:rsid w:val="003B1168"/>
    <w:rsid w:val="003B31C9"/>
    <w:rsid w:val="003B444F"/>
    <w:rsid w:val="003B4B31"/>
    <w:rsid w:val="003B5E82"/>
    <w:rsid w:val="003B69CF"/>
    <w:rsid w:val="003B6FE5"/>
    <w:rsid w:val="003B760F"/>
    <w:rsid w:val="003B78D5"/>
    <w:rsid w:val="003B7D7E"/>
    <w:rsid w:val="003C3379"/>
    <w:rsid w:val="003C3D89"/>
    <w:rsid w:val="003C4C44"/>
    <w:rsid w:val="003C4F64"/>
    <w:rsid w:val="003C6062"/>
    <w:rsid w:val="003D1261"/>
    <w:rsid w:val="003D174A"/>
    <w:rsid w:val="003D1857"/>
    <w:rsid w:val="003D1945"/>
    <w:rsid w:val="003D20EA"/>
    <w:rsid w:val="003D468C"/>
    <w:rsid w:val="003D5859"/>
    <w:rsid w:val="003D60C3"/>
    <w:rsid w:val="003E07E3"/>
    <w:rsid w:val="003E0DE1"/>
    <w:rsid w:val="003E175B"/>
    <w:rsid w:val="003E18CC"/>
    <w:rsid w:val="003E1AEB"/>
    <w:rsid w:val="003E1D87"/>
    <w:rsid w:val="003E2531"/>
    <w:rsid w:val="003E5400"/>
    <w:rsid w:val="003F12C4"/>
    <w:rsid w:val="003F1E20"/>
    <w:rsid w:val="003F2DA5"/>
    <w:rsid w:val="003F4501"/>
    <w:rsid w:val="003F4676"/>
    <w:rsid w:val="003F4FAF"/>
    <w:rsid w:val="003F687E"/>
    <w:rsid w:val="003F6BF1"/>
    <w:rsid w:val="003F6C80"/>
    <w:rsid w:val="003F70E2"/>
    <w:rsid w:val="003F7594"/>
    <w:rsid w:val="003F75CB"/>
    <w:rsid w:val="0040069E"/>
    <w:rsid w:val="004012D4"/>
    <w:rsid w:val="004016B3"/>
    <w:rsid w:val="004017B4"/>
    <w:rsid w:val="00401E60"/>
    <w:rsid w:val="004020EB"/>
    <w:rsid w:val="00405467"/>
    <w:rsid w:val="0040592A"/>
    <w:rsid w:val="00406430"/>
    <w:rsid w:val="004076D4"/>
    <w:rsid w:val="00410B09"/>
    <w:rsid w:val="004116B2"/>
    <w:rsid w:val="0041183B"/>
    <w:rsid w:val="004124DC"/>
    <w:rsid w:val="004128F2"/>
    <w:rsid w:val="00413935"/>
    <w:rsid w:val="004143B9"/>
    <w:rsid w:val="00415461"/>
    <w:rsid w:val="0042027B"/>
    <w:rsid w:val="00420E13"/>
    <w:rsid w:val="00421545"/>
    <w:rsid w:val="00421AF6"/>
    <w:rsid w:val="00421DCB"/>
    <w:rsid w:val="004220E2"/>
    <w:rsid w:val="00422C9C"/>
    <w:rsid w:val="00423F9F"/>
    <w:rsid w:val="0042435B"/>
    <w:rsid w:val="00424431"/>
    <w:rsid w:val="004254CA"/>
    <w:rsid w:val="00425ACE"/>
    <w:rsid w:val="004261C6"/>
    <w:rsid w:val="0042745C"/>
    <w:rsid w:val="00430056"/>
    <w:rsid w:val="00431FDD"/>
    <w:rsid w:val="00433170"/>
    <w:rsid w:val="004337D3"/>
    <w:rsid w:val="00433ECA"/>
    <w:rsid w:val="004344C0"/>
    <w:rsid w:val="00435072"/>
    <w:rsid w:val="00436860"/>
    <w:rsid w:val="00436EF7"/>
    <w:rsid w:val="00437053"/>
    <w:rsid w:val="0043767C"/>
    <w:rsid w:val="004376FB"/>
    <w:rsid w:val="00437780"/>
    <w:rsid w:val="00437B20"/>
    <w:rsid w:val="0044212B"/>
    <w:rsid w:val="004425B9"/>
    <w:rsid w:val="00442D69"/>
    <w:rsid w:val="00443939"/>
    <w:rsid w:val="00444DC3"/>
    <w:rsid w:val="00446297"/>
    <w:rsid w:val="00450210"/>
    <w:rsid w:val="00451513"/>
    <w:rsid w:val="00455625"/>
    <w:rsid w:val="004560D5"/>
    <w:rsid w:val="0046186B"/>
    <w:rsid w:val="00461F04"/>
    <w:rsid w:val="00463B06"/>
    <w:rsid w:val="00464260"/>
    <w:rsid w:val="00464554"/>
    <w:rsid w:val="004659AF"/>
    <w:rsid w:val="00465CDF"/>
    <w:rsid w:val="00466103"/>
    <w:rsid w:val="00466E98"/>
    <w:rsid w:val="00467387"/>
    <w:rsid w:val="00470D38"/>
    <w:rsid w:val="0047130F"/>
    <w:rsid w:val="00471476"/>
    <w:rsid w:val="00471981"/>
    <w:rsid w:val="00473DCF"/>
    <w:rsid w:val="00474362"/>
    <w:rsid w:val="00474679"/>
    <w:rsid w:val="00475A7B"/>
    <w:rsid w:val="00477A99"/>
    <w:rsid w:val="004804A4"/>
    <w:rsid w:val="00483058"/>
    <w:rsid w:val="00483374"/>
    <w:rsid w:val="00483E0B"/>
    <w:rsid w:val="00484B21"/>
    <w:rsid w:val="00484B3D"/>
    <w:rsid w:val="00484C19"/>
    <w:rsid w:val="00486A47"/>
    <w:rsid w:val="004875A3"/>
    <w:rsid w:val="0048765C"/>
    <w:rsid w:val="0049003F"/>
    <w:rsid w:val="00490067"/>
    <w:rsid w:val="00492A88"/>
    <w:rsid w:val="004933A8"/>
    <w:rsid w:val="0049477A"/>
    <w:rsid w:val="00495929"/>
    <w:rsid w:val="00496B97"/>
    <w:rsid w:val="00496C31"/>
    <w:rsid w:val="00497ADC"/>
    <w:rsid w:val="00497BC9"/>
    <w:rsid w:val="004A131B"/>
    <w:rsid w:val="004A1C05"/>
    <w:rsid w:val="004A2765"/>
    <w:rsid w:val="004A4952"/>
    <w:rsid w:val="004A58D0"/>
    <w:rsid w:val="004A5D9B"/>
    <w:rsid w:val="004A64C6"/>
    <w:rsid w:val="004A7265"/>
    <w:rsid w:val="004A729D"/>
    <w:rsid w:val="004A7457"/>
    <w:rsid w:val="004A78D6"/>
    <w:rsid w:val="004B03A8"/>
    <w:rsid w:val="004B0440"/>
    <w:rsid w:val="004B09F6"/>
    <w:rsid w:val="004B0A78"/>
    <w:rsid w:val="004B11B7"/>
    <w:rsid w:val="004B14BD"/>
    <w:rsid w:val="004B1A4B"/>
    <w:rsid w:val="004B2236"/>
    <w:rsid w:val="004B295D"/>
    <w:rsid w:val="004B30DC"/>
    <w:rsid w:val="004B3810"/>
    <w:rsid w:val="004B3B39"/>
    <w:rsid w:val="004B403B"/>
    <w:rsid w:val="004B43F1"/>
    <w:rsid w:val="004B4857"/>
    <w:rsid w:val="004B4964"/>
    <w:rsid w:val="004B6FF6"/>
    <w:rsid w:val="004C086E"/>
    <w:rsid w:val="004C1082"/>
    <w:rsid w:val="004C1240"/>
    <w:rsid w:val="004C36FB"/>
    <w:rsid w:val="004C5AB5"/>
    <w:rsid w:val="004C5FCE"/>
    <w:rsid w:val="004C7807"/>
    <w:rsid w:val="004C7DD5"/>
    <w:rsid w:val="004C7EAD"/>
    <w:rsid w:val="004D1BA2"/>
    <w:rsid w:val="004D2A9B"/>
    <w:rsid w:val="004D3589"/>
    <w:rsid w:val="004D3AA6"/>
    <w:rsid w:val="004D5B26"/>
    <w:rsid w:val="004D63C1"/>
    <w:rsid w:val="004D6C8E"/>
    <w:rsid w:val="004E0FF7"/>
    <w:rsid w:val="004E2775"/>
    <w:rsid w:val="004E294C"/>
    <w:rsid w:val="004E2FB6"/>
    <w:rsid w:val="004E3759"/>
    <w:rsid w:val="004E497E"/>
    <w:rsid w:val="004E52B1"/>
    <w:rsid w:val="004E6836"/>
    <w:rsid w:val="004E69E2"/>
    <w:rsid w:val="004F0685"/>
    <w:rsid w:val="004F1893"/>
    <w:rsid w:val="004F1896"/>
    <w:rsid w:val="004F294C"/>
    <w:rsid w:val="004F2D15"/>
    <w:rsid w:val="004F6BAD"/>
    <w:rsid w:val="004F7269"/>
    <w:rsid w:val="004F7A54"/>
    <w:rsid w:val="00500579"/>
    <w:rsid w:val="00500F4E"/>
    <w:rsid w:val="0050279F"/>
    <w:rsid w:val="005032D6"/>
    <w:rsid w:val="0050366F"/>
    <w:rsid w:val="00503730"/>
    <w:rsid w:val="00503A06"/>
    <w:rsid w:val="00507026"/>
    <w:rsid w:val="005076B4"/>
    <w:rsid w:val="0051151B"/>
    <w:rsid w:val="0051416F"/>
    <w:rsid w:val="005141B6"/>
    <w:rsid w:val="00514704"/>
    <w:rsid w:val="005159F2"/>
    <w:rsid w:val="00516834"/>
    <w:rsid w:val="00517053"/>
    <w:rsid w:val="005175BC"/>
    <w:rsid w:val="0051763C"/>
    <w:rsid w:val="00517827"/>
    <w:rsid w:val="00520293"/>
    <w:rsid w:val="005209F7"/>
    <w:rsid w:val="00520A5B"/>
    <w:rsid w:val="00522E5C"/>
    <w:rsid w:val="0052319A"/>
    <w:rsid w:val="00523BB5"/>
    <w:rsid w:val="00523C18"/>
    <w:rsid w:val="00523CF5"/>
    <w:rsid w:val="00523D33"/>
    <w:rsid w:val="00524CDB"/>
    <w:rsid w:val="00525A78"/>
    <w:rsid w:val="00525A91"/>
    <w:rsid w:val="005267C1"/>
    <w:rsid w:val="00527127"/>
    <w:rsid w:val="0053053E"/>
    <w:rsid w:val="00530C9F"/>
    <w:rsid w:val="005331BD"/>
    <w:rsid w:val="00533C64"/>
    <w:rsid w:val="00533CF5"/>
    <w:rsid w:val="005361D5"/>
    <w:rsid w:val="00536C18"/>
    <w:rsid w:val="00536FAF"/>
    <w:rsid w:val="005370A7"/>
    <w:rsid w:val="00540609"/>
    <w:rsid w:val="00540761"/>
    <w:rsid w:val="00542C6F"/>
    <w:rsid w:val="00543124"/>
    <w:rsid w:val="00543206"/>
    <w:rsid w:val="00543CF8"/>
    <w:rsid w:val="00544034"/>
    <w:rsid w:val="00544E45"/>
    <w:rsid w:val="0054636B"/>
    <w:rsid w:val="0054715A"/>
    <w:rsid w:val="005513F5"/>
    <w:rsid w:val="00552A4B"/>
    <w:rsid w:val="00552DDD"/>
    <w:rsid w:val="005531F7"/>
    <w:rsid w:val="00554462"/>
    <w:rsid w:val="005566ED"/>
    <w:rsid w:val="005569A2"/>
    <w:rsid w:val="00556DEA"/>
    <w:rsid w:val="00557AC7"/>
    <w:rsid w:val="00560559"/>
    <w:rsid w:val="005616DF"/>
    <w:rsid w:val="00562F49"/>
    <w:rsid w:val="005636E6"/>
    <w:rsid w:val="005645CB"/>
    <w:rsid w:val="00566058"/>
    <w:rsid w:val="005675A7"/>
    <w:rsid w:val="00570320"/>
    <w:rsid w:val="00570DA8"/>
    <w:rsid w:val="0057281F"/>
    <w:rsid w:val="00572E5C"/>
    <w:rsid w:val="0057342A"/>
    <w:rsid w:val="005754F0"/>
    <w:rsid w:val="005808BC"/>
    <w:rsid w:val="00580D0C"/>
    <w:rsid w:val="005824F0"/>
    <w:rsid w:val="00582649"/>
    <w:rsid w:val="00582E13"/>
    <w:rsid w:val="00582EDC"/>
    <w:rsid w:val="00583E16"/>
    <w:rsid w:val="00585E58"/>
    <w:rsid w:val="00587500"/>
    <w:rsid w:val="005878F5"/>
    <w:rsid w:val="00587E75"/>
    <w:rsid w:val="0059011E"/>
    <w:rsid w:val="005906B2"/>
    <w:rsid w:val="00590D9C"/>
    <w:rsid w:val="00592638"/>
    <w:rsid w:val="00594A45"/>
    <w:rsid w:val="005A00A5"/>
    <w:rsid w:val="005A08F0"/>
    <w:rsid w:val="005A1439"/>
    <w:rsid w:val="005A1AFF"/>
    <w:rsid w:val="005A3EFE"/>
    <w:rsid w:val="005A47EA"/>
    <w:rsid w:val="005A4FBC"/>
    <w:rsid w:val="005A6DA4"/>
    <w:rsid w:val="005A76D8"/>
    <w:rsid w:val="005B34C6"/>
    <w:rsid w:val="005B49F4"/>
    <w:rsid w:val="005B4D80"/>
    <w:rsid w:val="005B5777"/>
    <w:rsid w:val="005B640A"/>
    <w:rsid w:val="005B6BFF"/>
    <w:rsid w:val="005B6D21"/>
    <w:rsid w:val="005B76BF"/>
    <w:rsid w:val="005B7D4A"/>
    <w:rsid w:val="005C0C3E"/>
    <w:rsid w:val="005C11E9"/>
    <w:rsid w:val="005C1BFC"/>
    <w:rsid w:val="005C2D0E"/>
    <w:rsid w:val="005C4CF8"/>
    <w:rsid w:val="005C6BCD"/>
    <w:rsid w:val="005C7BF9"/>
    <w:rsid w:val="005D1A7F"/>
    <w:rsid w:val="005D1DAA"/>
    <w:rsid w:val="005D2762"/>
    <w:rsid w:val="005D2FC6"/>
    <w:rsid w:val="005D3815"/>
    <w:rsid w:val="005D4265"/>
    <w:rsid w:val="005D61BA"/>
    <w:rsid w:val="005D64DC"/>
    <w:rsid w:val="005D77E1"/>
    <w:rsid w:val="005E053B"/>
    <w:rsid w:val="005E0973"/>
    <w:rsid w:val="005E114D"/>
    <w:rsid w:val="005E1871"/>
    <w:rsid w:val="005E18BB"/>
    <w:rsid w:val="005E2C03"/>
    <w:rsid w:val="005E33DE"/>
    <w:rsid w:val="005E39E1"/>
    <w:rsid w:val="005E51CF"/>
    <w:rsid w:val="005E6333"/>
    <w:rsid w:val="005E680F"/>
    <w:rsid w:val="005E6B32"/>
    <w:rsid w:val="005E6E82"/>
    <w:rsid w:val="005E7545"/>
    <w:rsid w:val="005E7F75"/>
    <w:rsid w:val="005F02AE"/>
    <w:rsid w:val="005F0F8E"/>
    <w:rsid w:val="005F1652"/>
    <w:rsid w:val="005F31A3"/>
    <w:rsid w:val="005F3BB9"/>
    <w:rsid w:val="005F4955"/>
    <w:rsid w:val="005F6E3E"/>
    <w:rsid w:val="005F7B13"/>
    <w:rsid w:val="005F7D1C"/>
    <w:rsid w:val="006011EB"/>
    <w:rsid w:val="006012A6"/>
    <w:rsid w:val="00601C75"/>
    <w:rsid w:val="00602577"/>
    <w:rsid w:val="00603511"/>
    <w:rsid w:val="0060469B"/>
    <w:rsid w:val="00604761"/>
    <w:rsid w:val="00605102"/>
    <w:rsid w:val="00605274"/>
    <w:rsid w:val="00606798"/>
    <w:rsid w:val="006107B5"/>
    <w:rsid w:val="00611BE0"/>
    <w:rsid w:val="006148A1"/>
    <w:rsid w:val="006155A4"/>
    <w:rsid w:val="006157BB"/>
    <w:rsid w:val="00617FA3"/>
    <w:rsid w:val="006229E6"/>
    <w:rsid w:val="00622E8F"/>
    <w:rsid w:val="00623E48"/>
    <w:rsid w:val="00623EE3"/>
    <w:rsid w:val="006251C2"/>
    <w:rsid w:val="00627B12"/>
    <w:rsid w:val="00627DA0"/>
    <w:rsid w:val="00633AA4"/>
    <w:rsid w:val="0063574F"/>
    <w:rsid w:val="0063690C"/>
    <w:rsid w:val="00637052"/>
    <w:rsid w:val="00637F64"/>
    <w:rsid w:val="00640E4F"/>
    <w:rsid w:val="00641571"/>
    <w:rsid w:val="006427E2"/>
    <w:rsid w:val="00643009"/>
    <w:rsid w:val="00643DDC"/>
    <w:rsid w:val="0064474C"/>
    <w:rsid w:val="00644D10"/>
    <w:rsid w:val="00646399"/>
    <w:rsid w:val="00647FCA"/>
    <w:rsid w:val="0065136F"/>
    <w:rsid w:val="006519C7"/>
    <w:rsid w:val="00651DF5"/>
    <w:rsid w:val="00652438"/>
    <w:rsid w:val="00652F93"/>
    <w:rsid w:val="006543D3"/>
    <w:rsid w:val="0065648D"/>
    <w:rsid w:val="00656F36"/>
    <w:rsid w:val="0065736E"/>
    <w:rsid w:val="00660DCF"/>
    <w:rsid w:val="00661BCF"/>
    <w:rsid w:val="006643A3"/>
    <w:rsid w:val="006655CC"/>
    <w:rsid w:val="00667304"/>
    <w:rsid w:val="00667AA7"/>
    <w:rsid w:val="00671283"/>
    <w:rsid w:val="0067265A"/>
    <w:rsid w:val="006760B9"/>
    <w:rsid w:val="00676A48"/>
    <w:rsid w:val="00680143"/>
    <w:rsid w:val="00680BF2"/>
    <w:rsid w:val="00681490"/>
    <w:rsid w:val="0068166E"/>
    <w:rsid w:val="00683562"/>
    <w:rsid w:val="0068492D"/>
    <w:rsid w:val="00684DB3"/>
    <w:rsid w:val="006858A3"/>
    <w:rsid w:val="00687B78"/>
    <w:rsid w:val="00690680"/>
    <w:rsid w:val="006934B1"/>
    <w:rsid w:val="00693A66"/>
    <w:rsid w:val="00693B6C"/>
    <w:rsid w:val="00693EC9"/>
    <w:rsid w:val="00694144"/>
    <w:rsid w:val="00694A0A"/>
    <w:rsid w:val="00694AD5"/>
    <w:rsid w:val="00695584"/>
    <w:rsid w:val="006960B0"/>
    <w:rsid w:val="006A066A"/>
    <w:rsid w:val="006A1C8A"/>
    <w:rsid w:val="006A22DB"/>
    <w:rsid w:val="006A3FD0"/>
    <w:rsid w:val="006A48A6"/>
    <w:rsid w:val="006A5D3D"/>
    <w:rsid w:val="006A636D"/>
    <w:rsid w:val="006B06C7"/>
    <w:rsid w:val="006B0A0E"/>
    <w:rsid w:val="006B1149"/>
    <w:rsid w:val="006B365F"/>
    <w:rsid w:val="006B390D"/>
    <w:rsid w:val="006B454F"/>
    <w:rsid w:val="006B4A28"/>
    <w:rsid w:val="006B610D"/>
    <w:rsid w:val="006B6265"/>
    <w:rsid w:val="006B6A14"/>
    <w:rsid w:val="006B7276"/>
    <w:rsid w:val="006B78F4"/>
    <w:rsid w:val="006C1292"/>
    <w:rsid w:val="006C16A3"/>
    <w:rsid w:val="006C22E9"/>
    <w:rsid w:val="006C3073"/>
    <w:rsid w:val="006C34B3"/>
    <w:rsid w:val="006C35B3"/>
    <w:rsid w:val="006C3A79"/>
    <w:rsid w:val="006C434C"/>
    <w:rsid w:val="006C4B19"/>
    <w:rsid w:val="006C5485"/>
    <w:rsid w:val="006C5997"/>
    <w:rsid w:val="006C5DE4"/>
    <w:rsid w:val="006C67A8"/>
    <w:rsid w:val="006C6A8A"/>
    <w:rsid w:val="006C6D51"/>
    <w:rsid w:val="006C71EF"/>
    <w:rsid w:val="006D29D6"/>
    <w:rsid w:val="006D2E16"/>
    <w:rsid w:val="006D3EB1"/>
    <w:rsid w:val="006D646F"/>
    <w:rsid w:val="006E0B4B"/>
    <w:rsid w:val="006E1EFB"/>
    <w:rsid w:val="006E3384"/>
    <w:rsid w:val="006E3AA6"/>
    <w:rsid w:val="006E426E"/>
    <w:rsid w:val="006E4545"/>
    <w:rsid w:val="006E568C"/>
    <w:rsid w:val="006E601E"/>
    <w:rsid w:val="006E6027"/>
    <w:rsid w:val="006E6C59"/>
    <w:rsid w:val="006F5360"/>
    <w:rsid w:val="006F5C0A"/>
    <w:rsid w:val="00700A52"/>
    <w:rsid w:val="00700E38"/>
    <w:rsid w:val="00701265"/>
    <w:rsid w:val="00701A3C"/>
    <w:rsid w:val="00704260"/>
    <w:rsid w:val="007059AB"/>
    <w:rsid w:val="00706CCC"/>
    <w:rsid w:val="00707CDB"/>
    <w:rsid w:val="00710393"/>
    <w:rsid w:val="007112D5"/>
    <w:rsid w:val="00711A49"/>
    <w:rsid w:val="0071213E"/>
    <w:rsid w:val="007128D8"/>
    <w:rsid w:val="00713B5D"/>
    <w:rsid w:val="00713C6E"/>
    <w:rsid w:val="00714A10"/>
    <w:rsid w:val="0071513C"/>
    <w:rsid w:val="007152C1"/>
    <w:rsid w:val="00716825"/>
    <w:rsid w:val="00716F69"/>
    <w:rsid w:val="00720539"/>
    <w:rsid w:val="00720C2A"/>
    <w:rsid w:val="007256A5"/>
    <w:rsid w:val="0072577E"/>
    <w:rsid w:val="0072617B"/>
    <w:rsid w:val="007269F4"/>
    <w:rsid w:val="00726E70"/>
    <w:rsid w:val="00726FF5"/>
    <w:rsid w:val="0072732E"/>
    <w:rsid w:val="00727E97"/>
    <w:rsid w:val="00730612"/>
    <w:rsid w:val="0073241E"/>
    <w:rsid w:val="00734B87"/>
    <w:rsid w:val="0073516D"/>
    <w:rsid w:val="00735944"/>
    <w:rsid w:val="0074009B"/>
    <w:rsid w:val="00740703"/>
    <w:rsid w:val="0074082A"/>
    <w:rsid w:val="007409B7"/>
    <w:rsid w:val="007411D8"/>
    <w:rsid w:val="00743000"/>
    <w:rsid w:val="007447C7"/>
    <w:rsid w:val="00745B6B"/>
    <w:rsid w:val="00746EFF"/>
    <w:rsid w:val="007503C4"/>
    <w:rsid w:val="007504A2"/>
    <w:rsid w:val="00750BE1"/>
    <w:rsid w:val="0075188A"/>
    <w:rsid w:val="00752311"/>
    <w:rsid w:val="0075346E"/>
    <w:rsid w:val="00753BA4"/>
    <w:rsid w:val="00755381"/>
    <w:rsid w:val="00756005"/>
    <w:rsid w:val="007577C4"/>
    <w:rsid w:val="007603B1"/>
    <w:rsid w:val="007623AE"/>
    <w:rsid w:val="00762FDA"/>
    <w:rsid w:val="0076310E"/>
    <w:rsid w:val="007636BE"/>
    <w:rsid w:val="00764426"/>
    <w:rsid w:val="007644CF"/>
    <w:rsid w:val="00764B5B"/>
    <w:rsid w:val="007658D5"/>
    <w:rsid w:val="00765C13"/>
    <w:rsid w:val="00765CD4"/>
    <w:rsid w:val="0076627F"/>
    <w:rsid w:val="007676DA"/>
    <w:rsid w:val="00770A03"/>
    <w:rsid w:val="00771186"/>
    <w:rsid w:val="00773BA9"/>
    <w:rsid w:val="007744A5"/>
    <w:rsid w:val="00775D6C"/>
    <w:rsid w:val="0077607D"/>
    <w:rsid w:val="0078029D"/>
    <w:rsid w:val="00780593"/>
    <w:rsid w:val="007806BD"/>
    <w:rsid w:val="00780824"/>
    <w:rsid w:val="0078084D"/>
    <w:rsid w:val="00782232"/>
    <w:rsid w:val="00782937"/>
    <w:rsid w:val="007838D1"/>
    <w:rsid w:val="00783EF5"/>
    <w:rsid w:val="00783F92"/>
    <w:rsid w:val="0078415E"/>
    <w:rsid w:val="00784C3C"/>
    <w:rsid w:val="0078537F"/>
    <w:rsid w:val="007859EE"/>
    <w:rsid w:val="00787B42"/>
    <w:rsid w:val="00787CCA"/>
    <w:rsid w:val="00790D2E"/>
    <w:rsid w:val="007916FD"/>
    <w:rsid w:val="00791A77"/>
    <w:rsid w:val="00793F6B"/>
    <w:rsid w:val="00794A1C"/>
    <w:rsid w:val="0079521A"/>
    <w:rsid w:val="0079598C"/>
    <w:rsid w:val="00795F87"/>
    <w:rsid w:val="00796EC4"/>
    <w:rsid w:val="00797401"/>
    <w:rsid w:val="007A0A25"/>
    <w:rsid w:val="007A19B0"/>
    <w:rsid w:val="007A25B9"/>
    <w:rsid w:val="007A282A"/>
    <w:rsid w:val="007A28F9"/>
    <w:rsid w:val="007A2AF1"/>
    <w:rsid w:val="007A3D08"/>
    <w:rsid w:val="007A4A05"/>
    <w:rsid w:val="007A557B"/>
    <w:rsid w:val="007A6286"/>
    <w:rsid w:val="007B020F"/>
    <w:rsid w:val="007B03B3"/>
    <w:rsid w:val="007B1603"/>
    <w:rsid w:val="007B18E9"/>
    <w:rsid w:val="007B5D65"/>
    <w:rsid w:val="007B6717"/>
    <w:rsid w:val="007B6B43"/>
    <w:rsid w:val="007B76CF"/>
    <w:rsid w:val="007C0108"/>
    <w:rsid w:val="007C0303"/>
    <w:rsid w:val="007C1731"/>
    <w:rsid w:val="007C1FD0"/>
    <w:rsid w:val="007C3045"/>
    <w:rsid w:val="007C7394"/>
    <w:rsid w:val="007D0047"/>
    <w:rsid w:val="007D1712"/>
    <w:rsid w:val="007D2B8D"/>
    <w:rsid w:val="007D4BDE"/>
    <w:rsid w:val="007D4D6E"/>
    <w:rsid w:val="007D638D"/>
    <w:rsid w:val="007D6999"/>
    <w:rsid w:val="007D7C0F"/>
    <w:rsid w:val="007E06EF"/>
    <w:rsid w:val="007E088F"/>
    <w:rsid w:val="007E094F"/>
    <w:rsid w:val="007E4D0B"/>
    <w:rsid w:val="007E5239"/>
    <w:rsid w:val="007E7E2B"/>
    <w:rsid w:val="007F229B"/>
    <w:rsid w:val="007F33BD"/>
    <w:rsid w:val="007F3E9B"/>
    <w:rsid w:val="007F4998"/>
    <w:rsid w:val="007F4B0D"/>
    <w:rsid w:val="007F548C"/>
    <w:rsid w:val="007F6B3C"/>
    <w:rsid w:val="0080192B"/>
    <w:rsid w:val="00801B37"/>
    <w:rsid w:val="00802FA3"/>
    <w:rsid w:val="00803581"/>
    <w:rsid w:val="00805DB8"/>
    <w:rsid w:val="00807E5C"/>
    <w:rsid w:val="00807F9F"/>
    <w:rsid w:val="0081106B"/>
    <w:rsid w:val="008114EA"/>
    <w:rsid w:val="00811674"/>
    <w:rsid w:val="00816996"/>
    <w:rsid w:val="00816F81"/>
    <w:rsid w:val="0082056E"/>
    <w:rsid w:val="00820A51"/>
    <w:rsid w:val="00821DAF"/>
    <w:rsid w:val="0082209C"/>
    <w:rsid w:val="008221CB"/>
    <w:rsid w:val="008226E4"/>
    <w:rsid w:val="008227BA"/>
    <w:rsid w:val="00822E48"/>
    <w:rsid w:val="00822F7D"/>
    <w:rsid w:val="00822FBB"/>
    <w:rsid w:val="0082365B"/>
    <w:rsid w:val="00823842"/>
    <w:rsid w:val="00823D5D"/>
    <w:rsid w:val="008250A9"/>
    <w:rsid w:val="0082650A"/>
    <w:rsid w:val="008265ED"/>
    <w:rsid w:val="00830603"/>
    <w:rsid w:val="00830A18"/>
    <w:rsid w:val="008318DE"/>
    <w:rsid w:val="00833852"/>
    <w:rsid w:val="00834089"/>
    <w:rsid w:val="008344FB"/>
    <w:rsid w:val="0083692D"/>
    <w:rsid w:val="008401B1"/>
    <w:rsid w:val="008401F3"/>
    <w:rsid w:val="00841879"/>
    <w:rsid w:val="00841CD5"/>
    <w:rsid w:val="0084239B"/>
    <w:rsid w:val="00842E61"/>
    <w:rsid w:val="008432D6"/>
    <w:rsid w:val="00847A70"/>
    <w:rsid w:val="008531C2"/>
    <w:rsid w:val="00853864"/>
    <w:rsid w:val="00853FA4"/>
    <w:rsid w:val="00854AA1"/>
    <w:rsid w:val="00854D2A"/>
    <w:rsid w:val="00855A1B"/>
    <w:rsid w:val="008611D6"/>
    <w:rsid w:val="0086127E"/>
    <w:rsid w:val="0086187C"/>
    <w:rsid w:val="00861A60"/>
    <w:rsid w:val="008627C3"/>
    <w:rsid w:val="00862975"/>
    <w:rsid w:val="00862B16"/>
    <w:rsid w:val="00864D63"/>
    <w:rsid w:val="0087002B"/>
    <w:rsid w:val="008736D1"/>
    <w:rsid w:val="008740B5"/>
    <w:rsid w:val="00874E1C"/>
    <w:rsid w:val="00876FBC"/>
    <w:rsid w:val="008771D6"/>
    <w:rsid w:val="00881CF9"/>
    <w:rsid w:val="00882D1E"/>
    <w:rsid w:val="00883F8D"/>
    <w:rsid w:val="00885F55"/>
    <w:rsid w:val="00886BE1"/>
    <w:rsid w:val="00886D03"/>
    <w:rsid w:val="00887A5F"/>
    <w:rsid w:val="00887D36"/>
    <w:rsid w:val="0089175A"/>
    <w:rsid w:val="00894454"/>
    <w:rsid w:val="008944D1"/>
    <w:rsid w:val="00894717"/>
    <w:rsid w:val="00894B87"/>
    <w:rsid w:val="00896396"/>
    <w:rsid w:val="008969BF"/>
    <w:rsid w:val="0089766B"/>
    <w:rsid w:val="00897D7F"/>
    <w:rsid w:val="008A002B"/>
    <w:rsid w:val="008A08DD"/>
    <w:rsid w:val="008A12FB"/>
    <w:rsid w:val="008A482E"/>
    <w:rsid w:val="008A4882"/>
    <w:rsid w:val="008A5701"/>
    <w:rsid w:val="008A5A36"/>
    <w:rsid w:val="008A7401"/>
    <w:rsid w:val="008B0159"/>
    <w:rsid w:val="008B087A"/>
    <w:rsid w:val="008B2086"/>
    <w:rsid w:val="008B525A"/>
    <w:rsid w:val="008B581A"/>
    <w:rsid w:val="008B65A4"/>
    <w:rsid w:val="008B7CFB"/>
    <w:rsid w:val="008C0FB0"/>
    <w:rsid w:val="008C101D"/>
    <w:rsid w:val="008C218D"/>
    <w:rsid w:val="008C30B5"/>
    <w:rsid w:val="008C32C9"/>
    <w:rsid w:val="008C3DB2"/>
    <w:rsid w:val="008C42DF"/>
    <w:rsid w:val="008C4DB5"/>
    <w:rsid w:val="008C51F3"/>
    <w:rsid w:val="008C75A5"/>
    <w:rsid w:val="008D24AA"/>
    <w:rsid w:val="008D2EE6"/>
    <w:rsid w:val="008D4EA6"/>
    <w:rsid w:val="008D54A9"/>
    <w:rsid w:val="008D5F89"/>
    <w:rsid w:val="008D73CA"/>
    <w:rsid w:val="008E1374"/>
    <w:rsid w:val="008E321C"/>
    <w:rsid w:val="008E3B2F"/>
    <w:rsid w:val="008F16BB"/>
    <w:rsid w:val="008F4116"/>
    <w:rsid w:val="008F5FAA"/>
    <w:rsid w:val="008F6F87"/>
    <w:rsid w:val="008F7810"/>
    <w:rsid w:val="00901B10"/>
    <w:rsid w:val="009020A3"/>
    <w:rsid w:val="00902919"/>
    <w:rsid w:val="009036B5"/>
    <w:rsid w:val="009043BE"/>
    <w:rsid w:val="009051E1"/>
    <w:rsid w:val="00905F08"/>
    <w:rsid w:val="00906267"/>
    <w:rsid w:val="00907332"/>
    <w:rsid w:val="00912BEC"/>
    <w:rsid w:val="00913498"/>
    <w:rsid w:val="00914B67"/>
    <w:rsid w:val="00920F61"/>
    <w:rsid w:val="009224AC"/>
    <w:rsid w:val="00922A0C"/>
    <w:rsid w:val="00922B20"/>
    <w:rsid w:val="009236A3"/>
    <w:rsid w:val="009242BC"/>
    <w:rsid w:val="00926813"/>
    <w:rsid w:val="00927839"/>
    <w:rsid w:val="00927966"/>
    <w:rsid w:val="00927EE3"/>
    <w:rsid w:val="009311C9"/>
    <w:rsid w:val="009325E3"/>
    <w:rsid w:val="00932633"/>
    <w:rsid w:val="00932B96"/>
    <w:rsid w:val="00933295"/>
    <w:rsid w:val="00934C2D"/>
    <w:rsid w:val="00934C43"/>
    <w:rsid w:val="00940BAD"/>
    <w:rsid w:val="0094139D"/>
    <w:rsid w:val="009420BD"/>
    <w:rsid w:val="00942CA7"/>
    <w:rsid w:val="00943DCB"/>
    <w:rsid w:val="00950535"/>
    <w:rsid w:val="00951C0A"/>
    <w:rsid w:val="009523F1"/>
    <w:rsid w:val="00952A5B"/>
    <w:rsid w:val="00952D1B"/>
    <w:rsid w:val="00952D43"/>
    <w:rsid w:val="00953169"/>
    <w:rsid w:val="00953868"/>
    <w:rsid w:val="00955E33"/>
    <w:rsid w:val="00956DF6"/>
    <w:rsid w:val="00957559"/>
    <w:rsid w:val="00957764"/>
    <w:rsid w:val="00962651"/>
    <w:rsid w:val="00962808"/>
    <w:rsid w:val="00963578"/>
    <w:rsid w:val="00967E07"/>
    <w:rsid w:val="0097039F"/>
    <w:rsid w:val="00970F0D"/>
    <w:rsid w:val="00972781"/>
    <w:rsid w:val="00972894"/>
    <w:rsid w:val="00972A5E"/>
    <w:rsid w:val="00974D1C"/>
    <w:rsid w:val="00975899"/>
    <w:rsid w:val="00975A79"/>
    <w:rsid w:val="00976149"/>
    <w:rsid w:val="00977315"/>
    <w:rsid w:val="00977F7B"/>
    <w:rsid w:val="00977FEC"/>
    <w:rsid w:val="0098048E"/>
    <w:rsid w:val="00981559"/>
    <w:rsid w:val="00982602"/>
    <w:rsid w:val="00982D74"/>
    <w:rsid w:val="0098468A"/>
    <w:rsid w:val="00984700"/>
    <w:rsid w:val="00987E6D"/>
    <w:rsid w:val="00990726"/>
    <w:rsid w:val="00992CAC"/>
    <w:rsid w:val="0099355E"/>
    <w:rsid w:val="00994342"/>
    <w:rsid w:val="00996059"/>
    <w:rsid w:val="00997599"/>
    <w:rsid w:val="009A08D8"/>
    <w:rsid w:val="009A1562"/>
    <w:rsid w:val="009A3E3D"/>
    <w:rsid w:val="009A3E80"/>
    <w:rsid w:val="009A471D"/>
    <w:rsid w:val="009A4CA8"/>
    <w:rsid w:val="009A5AE3"/>
    <w:rsid w:val="009A5B5F"/>
    <w:rsid w:val="009A7257"/>
    <w:rsid w:val="009A774B"/>
    <w:rsid w:val="009B15D3"/>
    <w:rsid w:val="009B214D"/>
    <w:rsid w:val="009B233C"/>
    <w:rsid w:val="009B3FD1"/>
    <w:rsid w:val="009B47F8"/>
    <w:rsid w:val="009B792C"/>
    <w:rsid w:val="009C2DEB"/>
    <w:rsid w:val="009C31E4"/>
    <w:rsid w:val="009C3BF8"/>
    <w:rsid w:val="009C3D61"/>
    <w:rsid w:val="009C5F42"/>
    <w:rsid w:val="009C7740"/>
    <w:rsid w:val="009C7C26"/>
    <w:rsid w:val="009D01F0"/>
    <w:rsid w:val="009D0BAC"/>
    <w:rsid w:val="009D110D"/>
    <w:rsid w:val="009D15DB"/>
    <w:rsid w:val="009D3931"/>
    <w:rsid w:val="009D53EF"/>
    <w:rsid w:val="009D6935"/>
    <w:rsid w:val="009D7D32"/>
    <w:rsid w:val="009E01ED"/>
    <w:rsid w:val="009E1247"/>
    <w:rsid w:val="009E1769"/>
    <w:rsid w:val="009E1B26"/>
    <w:rsid w:val="009E32E4"/>
    <w:rsid w:val="009E3A8A"/>
    <w:rsid w:val="009E48F2"/>
    <w:rsid w:val="009E5016"/>
    <w:rsid w:val="009E6052"/>
    <w:rsid w:val="009E666E"/>
    <w:rsid w:val="009E66D3"/>
    <w:rsid w:val="009E6CD2"/>
    <w:rsid w:val="009E75D5"/>
    <w:rsid w:val="009F0783"/>
    <w:rsid w:val="009F14E6"/>
    <w:rsid w:val="009F16E0"/>
    <w:rsid w:val="009F2325"/>
    <w:rsid w:val="009F33AD"/>
    <w:rsid w:val="009F54CF"/>
    <w:rsid w:val="009F550D"/>
    <w:rsid w:val="009F58E2"/>
    <w:rsid w:val="00A002BC"/>
    <w:rsid w:val="00A002EB"/>
    <w:rsid w:val="00A008FC"/>
    <w:rsid w:val="00A00B42"/>
    <w:rsid w:val="00A02A8D"/>
    <w:rsid w:val="00A03081"/>
    <w:rsid w:val="00A04643"/>
    <w:rsid w:val="00A04825"/>
    <w:rsid w:val="00A05FF1"/>
    <w:rsid w:val="00A06BD1"/>
    <w:rsid w:val="00A06EFD"/>
    <w:rsid w:val="00A1043E"/>
    <w:rsid w:val="00A10E38"/>
    <w:rsid w:val="00A113F4"/>
    <w:rsid w:val="00A128F3"/>
    <w:rsid w:val="00A12DA8"/>
    <w:rsid w:val="00A12FCF"/>
    <w:rsid w:val="00A133D7"/>
    <w:rsid w:val="00A13417"/>
    <w:rsid w:val="00A14938"/>
    <w:rsid w:val="00A14E71"/>
    <w:rsid w:val="00A16A28"/>
    <w:rsid w:val="00A17722"/>
    <w:rsid w:val="00A21683"/>
    <w:rsid w:val="00A22F6C"/>
    <w:rsid w:val="00A23AD7"/>
    <w:rsid w:val="00A23D90"/>
    <w:rsid w:val="00A24C13"/>
    <w:rsid w:val="00A25CDC"/>
    <w:rsid w:val="00A270A1"/>
    <w:rsid w:val="00A30DA9"/>
    <w:rsid w:val="00A3258D"/>
    <w:rsid w:val="00A3567D"/>
    <w:rsid w:val="00A35F51"/>
    <w:rsid w:val="00A37015"/>
    <w:rsid w:val="00A40FA8"/>
    <w:rsid w:val="00A41498"/>
    <w:rsid w:val="00A417B9"/>
    <w:rsid w:val="00A43D29"/>
    <w:rsid w:val="00A453D2"/>
    <w:rsid w:val="00A45848"/>
    <w:rsid w:val="00A458A3"/>
    <w:rsid w:val="00A45C5B"/>
    <w:rsid w:val="00A50FA4"/>
    <w:rsid w:val="00A52DFE"/>
    <w:rsid w:val="00A537CD"/>
    <w:rsid w:val="00A53836"/>
    <w:rsid w:val="00A53E4C"/>
    <w:rsid w:val="00A54E5F"/>
    <w:rsid w:val="00A54F80"/>
    <w:rsid w:val="00A57A3D"/>
    <w:rsid w:val="00A60292"/>
    <w:rsid w:val="00A60F0C"/>
    <w:rsid w:val="00A617A9"/>
    <w:rsid w:val="00A61A8A"/>
    <w:rsid w:val="00A62F19"/>
    <w:rsid w:val="00A63948"/>
    <w:rsid w:val="00A64311"/>
    <w:rsid w:val="00A64FBA"/>
    <w:rsid w:val="00A65FD1"/>
    <w:rsid w:val="00A6619D"/>
    <w:rsid w:val="00A675CF"/>
    <w:rsid w:val="00A70099"/>
    <w:rsid w:val="00A7016D"/>
    <w:rsid w:val="00A70417"/>
    <w:rsid w:val="00A71D54"/>
    <w:rsid w:val="00A7307A"/>
    <w:rsid w:val="00A73338"/>
    <w:rsid w:val="00A73858"/>
    <w:rsid w:val="00A74C02"/>
    <w:rsid w:val="00A75D8C"/>
    <w:rsid w:val="00A771EB"/>
    <w:rsid w:val="00A773BA"/>
    <w:rsid w:val="00A81210"/>
    <w:rsid w:val="00A81AF2"/>
    <w:rsid w:val="00A82CB1"/>
    <w:rsid w:val="00A83C47"/>
    <w:rsid w:val="00A83F37"/>
    <w:rsid w:val="00A84D63"/>
    <w:rsid w:val="00A86184"/>
    <w:rsid w:val="00A904EA"/>
    <w:rsid w:val="00A9053C"/>
    <w:rsid w:val="00A91277"/>
    <w:rsid w:val="00A92807"/>
    <w:rsid w:val="00A92833"/>
    <w:rsid w:val="00A93686"/>
    <w:rsid w:val="00A95619"/>
    <w:rsid w:val="00A96BA8"/>
    <w:rsid w:val="00A97D54"/>
    <w:rsid w:val="00AA002A"/>
    <w:rsid w:val="00AA0504"/>
    <w:rsid w:val="00AA511A"/>
    <w:rsid w:val="00AA537E"/>
    <w:rsid w:val="00AA61CC"/>
    <w:rsid w:val="00AA729D"/>
    <w:rsid w:val="00AA759A"/>
    <w:rsid w:val="00AA76F7"/>
    <w:rsid w:val="00AB1098"/>
    <w:rsid w:val="00AB17C6"/>
    <w:rsid w:val="00AB2275"/>
    <w:rsid w:val="00AB3CCF"/>
    <w:rsid w:val="00AB420B"/>
    <w:rsid w:val="00AB49D9"/>
    <w:rsid w:val="00AB667A"/>
    <w:rsid w:val="00AB6FF0"/>
    <w:rsid w:val="00AC0382"/>
    <w:rsid w:val="00AC0AC7"/>
    <w:rsid w:val="00AC1755"/>
    <w:rsid w:val="00AC1FBF"/>
    <w:rsid w:val="00AC2C30"/>
    <w:rsid w:val="00AC3B44"/>
    <w:rsid w:val="00AC6953"/>
    <w:rsid w:val="00AC70DA"/>
    <w:rsid w:val="00AD1CF1"/>
    <w:rsid w:val="00AD25DE"/>
    <w:rsid w:val="00AD2A9C"/>
    <w:rsid w:val="00AD3026"/>
    <w:rsid w:val="00AD380F"/>
    <w:rsid w:val="00AD42C0"/>
    <w:rsid w:val="00AD453F"/>
    <w:rsid w:val="00AD5653"/>
    <w:rsid w:val="00AD57C6"/>
    <w:rsid w:val="00AD5D24"/>
    <w:rsid w:val="00AD5D5A"/>
    <w:rsid w:val="00AD7485"/>
    <w:rsid w:val="00AD758A"/>
    <w:rsid w:val="00AE1118"/>
    <w:rsid w:val="00AE2837"/>
    <w:rsid w:val="00AE348F"/>
    <w:rsid w:val="00AE3FF8"/>
    <w:rsid w:val="00AE63D3"/>
    <w:rsid w:val="00AE6D9E"/>
    <w:rsid w:val="00AF0914"/>
    <w:rsid w:val="00AF0AC7"/>
    <w:rsid w:val="00AF3135"/>
    <w:rsid w:val="00AF3619"/>
    <w:rsid w:val="00AF47E5"/>
    <w:rsid w:val="00AF5B2A"/>
    <w:rsid w:val="00AF6177"/>
    <w:rsid w:val="00AF6442"/>
    <w:rsid w:val="00B0098E"/>
    <w:rsid w:val="00B035CD"/>
    <w:rsid w:val="00B03FF9"/>
    <w:rsid w:val="00B04237"/>
    <w:rsid w:val="00B0638E"/>
    <w:rsid w:val="00B075DD"/>
    <w:rsid w:val="00B1033F"/>
    <w:rsid w:val="00B15A28"/>
    <w:rsid w:val="00B16659"/>
    <w:rsid w:val="00B16B5A"/>
    <w:rsid w:val="00B178AA"/>
    <w:rsid w:val="00B20D73"/>
    <w:rsid w:val="00B21DA4"/>
    <w:rsid w:val="00B21E3E"/>
    <w:rsid w:val="00B227C1"/>
    <w:rsid w:val="00B24986"/>
    <w:rsid w:val="00B24C50"/>
    <w:rsid w:val="00B24CB7"/>
    <w:rsid w:val="00B25388"/>
    <w:rsid w:val="00B2580D"/>
    <w:rsid w:val="00B26420"/>
    <w:rsid w:val="00B26589"/>
    <w:rsid w:val="00B302CE"/>
    <w:rsid w:val="00B306AE"/>
    <w:rsid w:val="00B30D53"/>
    <w:rsid w:val="00B3178F"/>
    <w:rsid w:val="00B31DDE"/>
    <w:rsid w:val="00B3296B"/>
    <w:rsid w:val="00B32D03"/>
    <w:rsid w:val="00B3405C"/>
    <w:rsid w:val="00B3426A"/>
    <w:rsid w:val="00B35A72"/>
    <w:rsid w:val="00B35AE9"/>
    <w:rsid w:val="00B36FAC"/>
    <w:rsid w:val="00B3724E"/>
    <w:rsid w:val="00B37C07"/>
    <w:rsid w:val="00B41085"/>
    <w:rsid w:val="00B41E29"/>
    <w:rsid w:val="00B42446"/>
    <w:rsid w:val="00B426A1"/>
    <w:rsid w:val="00B43AFF"/>
    <w:rsid w:val="00B43B02"/>
    <w:rsid w:val="00B43EC5"/>
    <w:rsid w:val="00B45B56"/>
    <w:rsid w:val="00B46CE8"/>
    <w:rsid w:val="00B47CD7"/>
    <w:rsid w:val="00B50AD6"/>
    <w:rsid w:val="00B50F6F"/>
    <w:rsid w:val="00B5104D"/>
    <w:rsid w:val="00B513F9"/>
    <w:rsid w:val="00B52001"/>
    <w:rsid w:val="00B52E27"/>
    <w:rsid w:val="00B55514"/>
    <w:rsid w:val="00B56AB3"/>
    <w:rsid w:val="00B56FAE"/>
    <w:rsid w:val="00B57BEB"/>
    <w:rsid w:val="00B60F66"/>
    <w:rsid w:val="00B622B1"/>
    <w:rsid w:val="00B63339"/>
    <w:rsid w:val="00B647BA"/>
    <w:rsid w:val="00B64F0F"/>
    <w:rsid w:val="00B668A2"/>
    <w:rsid w:val="00B6707A"/>
    <w:rsid w:val="00B674FD"/>
    <w:rsid w:val="00B7250D"/>
    <w:rsid w:val="00B751A3"/>
    <w:rsid w:val="00B772F6"/>
    <w:rsid w:val="00B7793D"/>
    <w:rsid w:val="00B8028C"/>
    <w:rsid w:val="00B80C4A"/>
    <w:rsid w:val="00B810C0"/>
    <w:rsid w:val="00B81BA7"/>
    <w:rsid w:val="00B81E18"/>
    <w:rsid w:val="00B837FC"/>
    <w:rsid w:val="00B83916"/>
    <w:rsid w:val="00B848BD"/>
    <w:rsid w:val="00B85235"/>
    <w:rsid w:val="00B85250"/>
    <w:rsid w:val="00B85E36"/>
    <w:rsid w:val="00B865C3"/>
    <w:rsid w:val="00B86B5B"/>
    <w:rsid w:val="00B86EAF"/>
    <w:rsid w:val="00B87391"/>
    <w:rsid w:val="00B9014B"/>
    <w:rsid w:val="00B90474"/>
    <w:rsid w:val="00B9075D"/>
    <w:rsid w:val="00B91DAD"/>
    <w:rsid w:val="00B93273"/>
    <w:rsid w:val="00B93438"/>
    <w:rsid w:val="00B9371F"/>
    <w:rsid w:val="00B943E2"/>
    <w:rsid w:val="00B94B86"/>
    <w:rsid w:val="00B9517C"/>
    <w:rsid w:val="00B96DA8"/>
    <w:rsid w:val="00B97608"/>
    <w:rsid w:val="00BA13DA"/>
    <w:rsid w:val="00BA1BA3"/>
    <w:rsid w:val="00BA1CDE"/>
    <w:rsid w:val="00BA709A"/>
    <w:rsid w:val="00BB03C8"/>
    <w:rsid w:val="00BB283E"/>
    <w:rsid w:val="00BB5718"/>
    <w:rsid w:val="00BB5E38"/>
    <w:rsid w:val="00BB6AF9"/>
    <w:rsid w:val="00BC06EA"/>
    <w:rsid w:val="00BC2B58"/>
    <w:rsid w:val="00BC3934"/>
    <w:rsid w:val="00BC39EA"/>
    <w:rsid w:val="00BC4222"/>
    <w:rsid w:val="00BC5318"/>
    <w:rsid w:val="00BC5D07"/>
    <w:rsid w:val="00BC6275"/>
    <w:rsid w:val="00BC68DC"/>
    <w:rsid w:val="00BD12FE"/>
    <w:rsid w:val="00BD2426"/>
    <w:rsid w:val="00BD2B34"/>
    <w:rsid w:val="00BD2B3A"/>
    <w:rsid w:val="00BD51F1"/>
    <w:rsid w:val="00BD59A6"/>
    <w:rsid w:val="00BD6726"/>
    <w:rsid w:val="00BD6825"/>
    <w:rsid w:val="00BE1D93"/>
    <w:rsid w:val="00BE26C8"/>
    <w:rsid w:val="00BE2C3F"/>
    <w:rsid w:val="00BE3101"/>
    <w:rsid w:val="00BE4D76"/>
    <w:rsid w:val="00BE5937"/>
    <w:rsid w:val="00BE653E"/>
    <w:rsid w:val="00BE65F2"/>
    <w:rsid w:val="00BE6ED7"/>
    <w:rsid w:val="00BF19C1"/>
    <w:rsid w:val="00BF1FDE"/>
    <w:rsid w:val="00BF2B4C"/>
    <w:rsid w:val="00BF5C97"/>
    <w:rsid w:val="00BF6AAF"/>
    <w:rsid w:val="00C0042F"/>
    <w:rsid w:val="00C00488"/>
    <w:rsid w:val="00C01221"/>
    <w:rsid w:val="00C03A49"/>
    <w:rsid w:val="00C0526B"/>
    <w:rsid w:val="00C058A9"/>
    <w:rsid w:val="00C06461"/>
    <w:rsid w:val="00C07624"/>
    <w:rsid w:val="00C07708"/>
    <w:rsid w:val="00C10B9F"/>
    <w:rsid w:val="00C10D46"/>
    <w:rsid w:val="00C13F3F"/>
    <w:rsid w:val="00C14A87"/>
    <w:rsid w:val="00C156B5"/>
    <w:rsid w:val="00C15F92"/>
    <w:rsid w:val="00C17184"/>
    <w:rsid w:val="00C17792"/>
    <w:rsid w:val="00C17D91"/>
    <w:rsid w:val="00C20F36"/>
    <w:rsid w:val="00C2211E"/>
    <w:rsid w:val="00C22169"/>
    <w:rsid w:val="00C24EAB"/>
    <w:rsid w:val="00C2500E"/>
    <w:rsid w:val="00C25340"/>
    <w:rsid w:val="00C25DDF"/>
    <w:rsid w:val="00C25F47"/>
    <w:rsid w:val="00C30135"/>
    <w:rsid w:val="00C304BD"/>
    <w:rsid w:val="00C30563"/>
    <w:rsid w:val="00C349E8"/>
    <w:rsid w:val="00C34E90"/>
    <w:rsid w:val="00C353C6"/>
    <w:rsid w:val="00C353E7"/>
    <w:rsid w:val="00C35F5D"/>
    <w:rsid w:val="00C3604D"/>
    <w:rsid w:val="00C37215"/>
    <w:rsid w:val="00C37331"/>
    <w:rsid w:val="00C40BF9"/>
    <w:rsid w:val="00C40F3B"/>
    <w:rsid w:val="00C41D67"/>
    <w:rsid w:val="00C41F3B"/>
    <w:rsid w:val="00C425BB"/>
    <w:rsid w:val="00C44346"/>
    <w:rsid w:val="00C45BF3"/>
    <w:rsid w:val="00C51751"/>
    <w:rsid w:val="00C51FFD"/>
    <w:rsid w:val="00C53B3A"/>
    <w:rsid w:val="00C55F07"/>
    <w:rsid w:val="00C5637B"/>
    <w:rsid w:val="00C56FB6"/>
    <w:rsid w:val="00C57DBC"/>
    <w:rsid w:val="00C612A4"/>
    <w:rsid w:val="00C61867"/>
    <w:rsid w:val="00C6374E"/>
    <w:rsid w:val="00C64FF9"/>
    <w:rsid w:val="00C6509B"/>
    <w:rsid w:val="00C65163"/>
    <w:rsid w:val="00C65A3A"/>
    <w:rsid w:val="00C66355"/>
    <w:rsid w:val="00C66DCE"/>
    <w:rsid w:val="00C6715C"/>
    <w:rsid w:val="00C67D19"/>
    <w:rsid w:val="00C67DC7"/>
    <w:rsid w:val="00C74C86"/>
    <w:rsid w:val="00C76935"/>
    <w:rsid w:val="00C773F8"/>
    <w:rsid w:val="00C776D6"/>
    <w:rsid w:val="00C77B31"/>
    <w:rsid w:val="00C77F8E"/>
    <w:rsid w:val="00C803BE"/>
    <w:rsid w:val="00C8094F"/>
    <w:rsid w:val="00C82D3F"/>
    <w:rsid w:val="00C84B80"/>
    <w:rsid w:val="00C86DD2"/>
    <w:rsid w:val="00C90613"/>
    <w:rsid w:val="00C906BA"/>
    <w:rsid w:val="00C90764"/>
    <w:rsid w:val="00C91C35"/>
    <w:rsid w:val="00C93D54"/>
    <w:rsid w:val="00C93EDF"/>
    <w:rsid w:val="00C94DAD"/>
    <w:rsid w:val="00C967AC"/>
    <w:rsid w:val="00C96B3B"/>
    <w:rsid w:val="00C9736B"/>
    <w:rsid w:val="00C97728"/>
    <w:rsid w:val="00CA188F"/>
    <w:rsid w:val="00CA1A11"/>
    <w:rsid w:val="00CA43C0"/>
    <w:rsid w:val="00CA51E8"/>
    <w:rsid w:val="00CA68FF"/>
    <w:rsid w:val="00CA758E"/>
    <w:rsid w:val="00CB120F"/>
    <w:rsid w:val="00CB183E"/>
    <w:rsid w:val="00CB1E46"/>
    <w:rsid w:val="00CB580F"/>
    <w:rsid w:val="00CB6379"/>
    <w:rsid w:val="00CB7851"/>
    <w:rsid w:val="00CC1394"/>
    <w:rsid w:val="00CC2675"/>
    <w:rsid w:val="00CC2DBF"/>
    <w:rsid w:val="00CC38C1"/>
    <w:rsid w:val="00CC55C7"/>
    <w:rsid w:val="00CC6342"/>
    <w:rsid w:val="00CD0842"/>
    <w:rsid w:val="00CD0A9A"/>
    <w:rsid w:val="00CD3019"/>
    <w:rsid w:val="00CD3A42"/>
    <w:rsid w:val="00CD41FF"/>
    <w:rsid w:val="00CD45FC"/>
    <w:rsid w:val="00CD4E8B"/>
    <w:rsid w:val="00CD5805"/>
    <w:rsid w:val="00CD5B1D"/>
    <w:rsid w:val="00CD6716"/>
    <w:rsid w:val="00CD6996"/>
    <w:rsid w:val="00CE08C1"/>
    <w:rsid w:val="00CE194B"/>
    <w:rsid w:val="00CE419D"/>
    <w:rsid w:val="00CE44A8"/>
    <w:rsid w:val="00CE4F3A"/>
    <w:rsid w:val="00CE5A3D"/>
    <w:rsid w:val="00CE6761"/>
    <w:rsid w:val="00CE6ED4"/>
    <w:rsid w:val="00CF014A"/>
    <w:rsid w:val="00CF0154"/>
    <w:rsid w:val="00CF189F"/>
    <w:rsid w:val="00CF1CA2"/>
    <w:rsid w:val="00CF2B3D"/>
    <w:rsid w:val="00CF3A89"/>
    <w:rsid w:val="00CF510B"/>
    <w:rsid w:val="00CF53C2"/>
    <w:rsid w:val="00CF6F00"/>
    <w:rsid w:val="00D016BB"/>
    <w:rsid w:val="00D04008"/>
    <w:rsid w:val="00D10D56"/>
    <w:rsid w:val="00D10DDA"/>
    <w:rsid w:val="00D11D8B"/>
    <w:rsid w:val="00D1292F"/>
    <w:rsid w:val="00D12FB8"/>
    <w:rsid w:val="00D1384B"/>
    <w:rsid w:val="00D13E0E"/>
    <w:rsid w:val="00D14BD9"/>
    <w:rsid w:val="00D15847"/>
    <w:rsid w:val="00D20681"/>
    <w:rsid w:val="00D21286"/>
    <w:rsid w:val="00D21900"/>
    <w:rsid w:val="00D223D6"/>
    <w:rsid w:val="00D23488"/>
    <w:rsid w:val="00D240EA"/>
    <w:rsid w:val="00D2419B"/>
    <w:rsid w:val="00D271F9"/>
    <w:rsid w:val="00D27E72"/>
    <w:rsid w:val="00D3214A"/>
    <w:rsid w:val="00D322C2"/>
    <w:rsid w:val="00D32592"/>
    <w:rsid w:val="00D32AC1"/>
    <w:rsid w:val="00D32E33"/>
    <w:rsid w:val="00D3428C"/>
    <w:rsid w:val="00D3442C"/>
    <w:rsid w:val="00D3448E"/>
    <w:rsid w:val="00D34BC6"/>
    <w:rsid w:val="00D354F6"/>
    <w:rsid w:val="00D3673B"/>
    <w:rsid w:val="00D40173"/>
    <w:rsid w:val="00D40AD0"/>
    <w:rsid w:val="00D435EF"/>
    <w:rsid w:val="00D4408C"/>
    <w:rsid w:val="00D45368"/>
    <w:rsid w:val="00D45A20"/>
    <w:rsid w:val="00D461E8"/>
    <w:rsid w:val="00D46901"/>
    <w:rsid w:val="00D47AD3"/>
    <w:rsid w:val="00D50B91"/>
    <w:rsid w:val="00D53478"/>
    <w:rsid w:val="00D53E68"/>
    <w:rsid w:val="00D54CBD"/>
    <w:rsid w:val="00D54DFB"/>
    <w:rsid w:val="00D557C9"/>
    <w:rsid w:val="00D55B23"/>
    <w:rsid w:val="00D56F80"/>
    <w:rsid w:val="00D61E3C"/>
    <w:rsid w:val="00D656AA"/>
    <w:rsid w:val="00D66239"/>
    <w:rsid w:val="00D664C4"/>
    <w:rsid w:val="00D70052"/>
    <w:rsid w:val="00D710FF"/>
    <w:rsid w:val="00D716E4"/>
    <w:rsid w:val="00D718F6"/>
    <w:rsid w:val="00D71D3C"/>
    <w:rsid w:val="00D724D7"/>
    <w:rsid w:val="00D7391A"/>
    <w:rsid w:val="00D73E5C"/>
    <w:rsid w:val="00D74A3F"/>
    <w:rsid w:val="00D74BC5"/>
    <w:rsid w:val="00D76F23"/>
    <w:rsid w:val="00D81AB5"/>
    <w:rsid w:val="00D86B7E"/>
    <w:rsid w:val="00D877A4"/>
    <w:rsid w:val="00D87AF4"/>
    <w:rsid w:val="00D904BD"/>
    <w:rsid w:val="00D90DF0"/>
    <w:rsid w:val="00D91562"/>
    <w:rsid w:val="00D92A23"/>
    <w:rsid w:val="00D930F9"/>
    <w:rsid w:val="00D935A5"/>
    <w:rsid w:val="00D95256"/>
    <w:rsid w:val="00D959C6"/>
    <w:rsid w:val="00D95C32"/>
    <w:rsid w:val="00D9629A"/>
    <w:rsid w:val="00D97A6A"/>
    <w:rsid w:val="00D97A9B"/>
    <w:rsid w:val="00D97D6F"/>
    <w:rsid w:val="00DA0419"/>
    <w:rsid w:val="00DA0F79"/>
    <w:rsid w:val="00DA1126"/>
    <w:rsid w:val="00DA224D"/>
    <w:rsid w:val="00DA2677"/>
    <w:rsid w:val="00DA2D76"/>
    <w:rsid w:val="00DA2DE3"/>
    <w:rsid w:val="00DA3A58"/>
    <w:rsid w:val="00DA406A"/>
    <w:rsid w:val="00DA4911"/>
    <w:rsid w:val="00DA6130"/>
    <w:rsid w:val="00DA69E1"/>
    <w:rsid w:val="00DB0333"/>
    <w:rsid w:val="00DB1384"/>
    <w:rsid w:val="00DB2153"/>
    <w:rsid w:val="00DB2351"/>
    <w:rsid w:val="00DB248C"/>
    <w:rsid w:val="00DB2654"/>
    <w:rsid w:val="00DB2697"/>
    <w:rsid w:val="00DB2F88"/>
    <w:rsid w:val="00DB4D3C"/>
    <w:rsid w:val="00DB5A33"/>
    <w:rsid w:val="00DB764D"/>
    <w:rsid w:val="00DB7BD4"/>
    <w:rsid w:val="00DC067D"/>
    <w:rsid w:val="00DC0E54"/>
    <w:rsid w:val="00DC3280"/>
    <w:rsid w:val="00DC3506"/>
    <w:rsid w:val="00DC39A3"/>
    <w:rsid w:val="00DC3ADB"/>
    <w:rsid w:val="00DC506D"/>
    <w:rsid w:val="00DC73DE"/>
    <w:rsid w:val="00DD0A4A"/>
    <w:rsid w:val="00DD219A"/>
    <w:rsid w:val="00DD2CD0"/>
    <w:rsid w:val="00DD2F6C"/>
    <w:rsid w:val="00DD3059"/>
    <w:rsid w:val="00DD3625"/>
    <w:rsid w:val="00DD379A"/>
    <w:rsid w:val="00DD3B39"/>
    <w:rsid w:val="00DD67EB"/>
    <w:rsid w:val="00DD702E"/>
    <w:rsid w:val="00DE0311"/>
    <w:rsid w:val="00DE1F72"/>
    <w:rsid w:val="00DE2419"/>
    <w:rsid w:val="00DE2A3F"/>
    <w:rsid w:val="00DE58AF"/>
    <w:rsid w:val="00DE748D"/>
    <w:rsid w:val="00DF021D"/>
    <w:rsid w:val="00DF042C"/>
    <w:rsid w:val="00DF1913"/>
    <w:rsid w:val="00DF3632"/>
    <w:rsid w:val="00DF5F0D"/>
    <w:rsid w:val="00DF61E0"/>
    <w:rsid w:val="00DF6610"/>
    <w:rsid w:val="00DF673A"/>
    <w:rsid w:val="00DF6FFB"/>
    <w:rsid w:val="00DF736D"/>
    <w:rsid w:val="00E00183"/>
    <w:rsid w:val="00E01815"/>
    <w:rsid w:val="00E01D84"/>
    <w:rsid w:val="00E031E2"/>
    <w:rsid w:val="00E04D92"/>
    <w:rsid w:val="00E05A89"/>
    <w:rsid w:val="00E07BE5"/>
    <w:rsid w:val="00E10390"/>
    <w:rsid w:val="00E117D8"/>
    <w:rsid w:val="00E11A62"/>
    <w:rsid w:val="00E1270B"/>
    <w:rsid w:val="00E13F8A"/>
    <w:rsid w:val="00E14178"/>
    <w:rsid w:val="00E14329"/>
    <w:rsid w:val="00E16ECA"/>
    <w:rsid w:val="00E22CDB"/>
    <w:rsid w:val="00E22DA1"/>
    <w:rsid w:val="00E23AE4"/>
    <w:rsid w:val="00E24170"/>
    <w:rsid w:val="00E249FB"/>
    <w:rsid w:val="00E24A94"/>
    <w:rsid w:val="00E255E5"/>
    <w:rsid w:val="00E26031"/>
    <w:rsid w:val="00E268F5"/>
    <w:rsid w:val="00E27146"/>
    <w:rsid w:val="00E271EE"/>
    <w:rsid w:val="00E2723D"/>
    <w:rsid w:val="00E31488"/>
    <w:rsid w:val="00E31B55"/>
    <w:rsid w:val="00E32AC3"/>
    <w:rsid w:val="00E33550"/>
    <w:rsid w:val="00E33D80"/>
    <w:rsid w:val="00E35BFF"/>
    <w:rsid w:val="00E35D35"/>
    <w:rsid w:val="00E35E36"/>
    <w:rsid w:val="00E3663D"/>
    <w:rsid w:val="00E36D88"/>
    <w:rsid w:val="00E3798C"/>
    <w:rsid w:val="00E37FD7"/>
    <w:rsid w:val="00E40D5A"/>
    <w:rsid w:val="00E4131A"/>
    <w:rsid w:val="00E42521"/>
    <w:rsid w:val="00E4306E"/>
    <w:rsid w:val="00E43232"/>
    <w:rsid w:val="00E437CD"/>
    <w:rsid w:val="00E438D1"/>
    <w:rsid w:val="00E50766"/>
    <w:rsid w:val="00E50C70"/>
    <w:rsid w:val="00E50D99"/>
    <w:rsid w:val="00E52FC1"/>
    <w:rsid w:val="00E5405B"/>
    <w:rsid w:val="00E54859"/>
    <w:rsid w:val="00E57F25"/>
    <w:rsid w:val="00E6304F"/>
    <w:rsid w:val="00E6417C"/>
    <w:rsid w:val="00E6469C"/>
    <w:rsid w:val="00E648C5"/>
    <w:rsid w:val="00E65059"/>
    <w:rsid w:val="00E6564F"/>
    <w:rsid w:val="00E66134"/>
    <w:rsid w:val="00E67C19"/>
    <w:rsid w:val="00E700F8"/>
    <w:rsid w:val="00E713C9"/>
    <w:rsid w:val="00E737F6"/>
    <w:rsid w:val="00E73C8D"/>
    <w:rsid w:val="00E76508"/>
    <w:rsid w:val="00E76971"/>
    <w:rsid w:val="00E8034D"/>
    <w:rsid w:val="00E80A81"/>
    <w:rsid w:val="00E82388"/>
    <w:rsid w:val="00E82E84"/>
    <w:rsid w:val="00E82FAB"/>
    <w:rsid w:val="00E84F15"/>
    <w:rsid w:val="00E850CC"/>
    <w:rsid w:val="00E851D5"/>
    <w:rsid w:val="00E85D86"/>
    <w:rsid w:val="00E86B91"/>
    <w:rsid w:val="00E90183"/>
    <w:rsid w:val="00E904CD"/>
    <w:rsid w:val="00E90A9F"/>
    <w:rsid w:val="00E911A3"/>
    <w:rsid w:val="00E91B5F"/>
    <w:rsid w:val="00E93213"/>
    <w:rsid w:val="00E93870"/>
    <w:rsid w:val="00E93B15"/>
    <w:rsid w:val="00E95103"/>
    <w:rsid w:val="00E9564F"/>
    <w:rsid w:val="00E967EB"/>
    <w:rsid w:val="00E9713E"/>
    <w:rsid w:val="00E97877"/>
    <w:rsid w:val="00E9797E"/>
    <w:rsid w:val="00EA009B"/>
    <w:rsid w:val="00EA00EE"/>
    <w:rsid w:val="00EA0A81"/>
    <w:rsid w:val="00EA1979"/>
    <w:rsid w:val="00EA25A5"/>
    <w:rsid w:val="00EA3993"/>
    <w:rsid w:val="00EA5250"/>
    <w:rsid w:val="00EA546C"/>
    <w:rsid w:val="00EA6639"/>
    <w:rsid w:val="00EB542D"/>
    <w:rsid w:val="00EB5E9A"/>
    <w:rsid w:val="00EB7E51"/>
    <w:rsid w:val="00EC02C8"/>
    <w:rsid w:val="00EC1217"/>
    <w:rsid w:val="00EC181F"/>
    <w:rsid w:val="00EC24F1"/>
    <w:rsid w:val="00EC2606"/>
    <w:rsid w:val="00EC2A22"/>
    <w:rsid w:val="00EC2BFE"/>
    <w:rsid w:val="00EC2CEF"/>
    <w:rsid w:val="00EC318E"/>
    <w:rsid w:val="00EC459B"/>
    <w:rsid w:val="00EC4DE3"/>
    <w:rsid w:val="00EC62FB"/>
    <w:rsid w:val="00EC6499"/>
    <w:rsid w:val="00EC6B0F"/>
    <w:rsid w:val="00EC6EAA"/>
    <w:rsid w:val="00EC7C82"/>
    <w:rsid w:val="00ED2265"/>
    <w:rsid w:val="00ED2DE2"/>
    <w:rsid w:val="00ED432D"/>
    <w:rsid w:val="00ED6BA8"/>
    <w:rsid w:val="00ED7570"/>
    <w:rsid w:val="00ED795F"/>
    <w:rsid w:val="00EE05E5"/>
    <w:rsid w:val="00EE1003"/>
    <w:rsid w:val="00EE46C5"/>
    <w:rsid w:val="00EE4B95"/>
    <w:rsid w:val="00EE52AE"/>
    <w:rsid w:val="00EE5831"/>
    <w:rsid w:val="00EE6A03"/>
    <w:rsid w:val="00EE7993"/>
    <w:rsid w:val="00EF0393"/>
    <w:rsid w:val="00EF0663"/>
    <w:rsid w:val="00EF18D5"/>
    <w:rsid w:val="00EF31A1"/>
    <w:rsid w:val="00EF4F1C"/>
    <w:rsid w:val="00EF5F38"/>
    <w:rsid w:val="00EF6868"/>
    <w:rsid w:val="00EF6D6B"/>
    <w:rsid w:val="00EF7177"/>
    <w:rsid w:val="00F0005E"/>
    <w:rsid w:val="00F00FBF"/>
    <w:rsid w:val="00F01102"/>
    <w:rsid w:val="00F01479"/>
    <w:rsid w:val="00F021B9"/>
    <w:rsid w:val="00F02375"/>
    <w:rsid w:val="00F02389"/>
    <w:rsid w:val="00F0241B"/>
    <w:rsid w:val="00F02A96"/>
    <w:rsid w:val="00F03F88"/>
    <w:rsid w:val="00F04B5A"/>
    <w:rsid w:val="00F05119"/>
    <w:rsid w:val="00F05312"/>
    <w:rsid w:val="00F053A8"/>
    <w:rsid w:val="00F06668"/>
    <w:rsid w:val="00F07EB6"/>
    <w:rsid w:val="00F102F2"/>
    <w:rsid w:val="00F1401C"/>
    <w:rsid w:val="00F14F5A"/>
    <w:rsid w:val="00F1670A"/>
    <w:rsid w:val="00F20560"/>
    <w:rsid w:val="00F2085C"/>
    <w:rsid w:val="00F209F8"/>
    <w:rsid w:val="00F21C13"/>
    <w:rsid w:val="00F224AF"/>
    <w:rsid w:val="00F22A5E"/>
    <w:rsid w:val="00F239CC"/>
    <w:rsid w:val="00F23A42"/>
    <w:rsid w:val="00F2596B"/>
    <w:rsid w:val="00F2644B"/>
    <w:rsid w:val="00F26B1A"/>
    <w:rsid w:val="00F27685"/>
    <w:rsid w:val="00F3142B"/>
    <w:rsid w:val="00F31F88"/>
    <w:rsid w:val="00F323FC"/>
    <w:rsid w:val="00F32CF0"/>
    <w:rsid w:val="00F33CA4"/>
    <w:rsid w:val="00F34910"/>
    <w:rsid w:val="00F35ADB"/>
    <w:rsid w:val="00F35E9F"/>
    <w:rsid w:val="00F35F80"/>
    <w:rsid w:val="00F3603E"/>
    <w:rsid w:val="00F360BC"/>
    <w:rsid w:val="00F45644"/>
    <w:rsid w:val="00F45D04"/>
    <w:rsid w:val="00F46B15"/>
    <w:rsid w:val="00F477A5"/>
    <w:rsid w:val="00F47D14"/>
    <w:rsid w:val="00F50303"/>
    <w:rsid w:val="00F50960"/>
    <w:rsid w:val="00F51EC2"/>
    <w:rsid w:val="00F522B6"/>
    <w:rsid w:val="00F52BE9"/>
    <w:rsid w:val="00F53483"/>
    <w:rsid w:val="00F53DD6"/>
    <w:rsid w:val="00F54405"/>
    <w:rsid w:val="00F5587F"/>
    <w:rsid w:val="00F56085"/>
    <w:rsid w:val="00F5690D"/>
    <w:rsid w:val="00F56BC4"/>
    <w:rsid w:val="00F57DC3"/>
    <w:rsid w:val="00F628F0"/>
    <w:rsid w:val="00F63234"/>
    <w:rsid w:val="00F64A2C"/>
    <w:rsid w:val="00F65035"/>
    <w:rsid w:val="00F6550E"/>
    <w:rsid w:val="00F66287"/>
    <w:rsid w:val="00F665E7"/>
    <w:rsid w:val="00F6667C"/>
    <w:rsid w:val="00F678D0"/>
    <w:rsid w:val="00F70029"/>
    <w:rsid w:val="00F71240"/>
    <w:rsid w:val="00F714C2"/>
    <w:rsid w:val="00F7295C"/>
    <w:rsid w:val="00F729E4"/>
    <w:rsid w:val="00F73101"/>
    <w:rsid w:val="00F73C51"/>
    <w:rsid w:val="00F745E9"/>
    <w:rsid w:val="00F74D38"/>
    <w:rsid w:val="00F74E46"/>
    <w:rsid w:val="00F7502E"/>
    <w:rsid w:val="00F75552"/>
    <w:rsid w:val="00F76CEF"/>
    <w:rsid w:val="00F81CC8"/>
    <w:rsid w:val="00F83997"/>
    <w:rsid w:val="00F845F3"/>
    <w:rsid w:val="00F85998"/>
    <w:rsid w:val="00F87AC0"/>
    <w:rsid w:val="00F91A3C"/>
    <w:rsid w:val="00F91E04"/>
    <w:rsid w:val="00F93119"/>
    <w:rsid w:val="00F93928"/>
    <w:rsid w:val="00F9458A"/>
    <w:rsid w:val="00FA1062"/>
    <w:rsid w:val="00FA1335"/>
    <w:rsid w:val="00FA1D7E"/>
    <w:rsid w:val="00FA2576"/>
    <w:rsid w:val="00FA2666"/>
    <w:rsid w:val="00FA4920"/>
    <w:rsid w:val="00FA4A30"/>
    <w:rsid w:val="00FA5037"/>
    <w:rsid w:val="00FA672F"/>
    <w:rsid w:val="00FA6E6E"/>
    <w:rsid w:val="00FB1754"/>
    <w:rsid w:val="00FB37C0"/>
    <w:rsid w:val="00FB4952"/>
    <w:rsid w:val="00FB4A45"/>
    <w:rsid w:val="00FB4C29"/>
    <w:rsid w:val="00FB4E47"/>
    <w:rsid w:val="00FB4EE1"/>
    <w:rsid w:val="00FB62E2"/>
    <w:rsid w:val="00FB62F7"/>
    <w:rsid w:val="00FC2B8F"/>
    <w:rsid w:val="00FC5F51"/>
    <w:rsid w:val="00FD0DD1"/>
    <w:rsid w:val="00FD1C2F"/>
    <w:rsid w:val="00FD4F06"/>
    <w:rsid w:val="00FD62B8"/>
    <w:rsid w:val="00FD6690"/>
    <w:rsid w:val="00FD6828"/>
    <w:rsid w:val="00FD6B88"/>
    <w:rsid w:val="00FD70B2"/>
    <w:rsid w:val="00FE1EBA"/>
    <w:rsid w:val="00FE2816"/>
    <w:rsid w:val="00FE3064"/>
    <w:rsid w:val="00FE4B7A"/>
    <w:rsid w:val="00FE5B78"/>
    <w:rsid w:val="00FE6929"/>
    <w:rsid w:val="00FE6D44"/>
    <w:rsid w:val="00FF04ED"/>
    <w:rsid w:val="00FF4176"/>
    <w:rsid w:val="00FF4910"/>
    <w:rsid w:val="00FF6114"/>
    <w:rsid w:val="00FF63F3"/>
    <w:rsid w:val="00FF759C"/>
    <w:rsid w:val="00FF76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9DC4A1"/>
  <w15:docId w15:val="{4A2846C7-0B09-43E9-ACA1-456257CC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D9"/>
    <w:pPr>
      <w:spacing w:after="0" w:line="240" w:lineRule="atLeast"/>
    </w:pPr>
    <w:rPr>
      <w:rFonts w:ascii="Verdana" w:eastAsia="Times New Roman" w:hAnsi="Verdana" w:cs="Times New Roman"/>
      <w:sz w:val="19"/>
      <w:szCs w:val="20"/>
      <w:lang w:eastAsia="da-DK"/>
    </w:rPr>
  </w:style>
  <w:style w:type="paragraph" w:styleId="Overskrift1">
    <w:name w:val="heading 1"/>
    <w:basedOn w:val="Normal"/>
    <w:next w:val="Normal"/>
    <w:link w:val="Overskrift1Tegn"/>
    <w:qFormat/>
    <w:rsid w:val="00D904BD"/>
    <w:pPr>
      <w:spacing w:line="300" w:lineRule="exact"/>
      <w:outlineLvl w:val="0"/>
    </w:pPr>
    <w:rPr>
      <w:b/>
      <w:sz w:val="28"/>
      <w:szCs w:val="28"/>
    </w:rPr>
  </w:style>
  <w:style w:type="paragraph" w:styleId="Overskrift2">
    <w:name w:val="heading 2"/>
    <w:basedOn w:val="Normal"/>
    <w:next w:val="Normal"/>
    <w:link w:val="Overskrift2Tegn"/>
    <w:qFormat/>
    <w:rsid w:val="00D904BD"/>
    <w:pPr>
      <w:spacing w:before="480"/>
      <w:outlineLvl w:val="1"/>
    </w:pPr>
    <w:rPr>
      <w:b/>
      <w:sz w:val="24"/>
    </w:rPr>
  </w:style>
  <w:style w:type="paragraph" w:styleId="Overskrift3">
    <w:name w:val="heading 3"/>
    <w:basedOn w:val="Normal"/>
    <w:next w:val="Normalindrykning"/>
    <w:link w:val="Overskrift3Tegn"/>
    <w:qFormat/>
    <w:rsid w:val="00782937"/>
    <w:pPr>
      <w:spacing w:before="360"/>
      <w:outlineLvl w:val="2"/>
    </w:pPr>
    <w:rPr>
      <w:u w:val="single"/>
    </w:rPr>
  </w:style>
  <w:style w:type="paragraph" w:styleId="Overskrift4">
    <w:name w:val="heading 4"/>
    <w:basedOn w:val="Normal"/>
    <w:next w:val="Normal"/>
    <w:link w:val="Overskrift4Tegn"/>
    <w:semiHidden/>
    <w:unhideWhenUsed/>
    <w:qFormat/>
    <w:rsid w:val="00782937"/>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782937"/>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782937"/>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782937"/>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78293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7829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782937"/>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rsid w:val="00782937"/>
    <w:pPr>
      <w:tabs>
        <w:tab w:val="right" w:pos="8931"/>
      </w:tabs>
      <w:spacing w:after="1418"/>
    </w:pPr>
  </w:style>
  <w:style w:type="character" w:customStyle="1" w:styleId="SidehovedTegn">
    <w:name w:val="Sidehoved Tegn"/>
    <w:basedOn w:val="Standardskrifttypeiafsnit"/>
    <w:link w:val="Sidehoved"/>
    <w:rsid w:val="00782937"/>
    <w:rPr>
      <w:rFonts w:ascii="Verdana" w:eastAsia="Times New Roman" w:hAnsi="Verdana" w:cs="Times New Roman"/>
      <w:sz w:val="19"/>
      <w:szCs w:val="20"/>
      <w:lang w:eastAsia="da-DK"/>
    </w:rPr>
  </w:style>
  <w:style w:type="paragraph" w:styleId="Sidefod">
    <w:name w:val="footer"/>
    <w:basedOn w:val="Normal"/>
    <w:link w:val="SidefodTegn"/>
    <w:uiPriority w:val="99"/>
    <w:rsid w:val="00782937"/>
    <w:pPr>
      <w:tabs>
        <w:tab w:val="center" w:pos="4819"/>
        <w:tab w:val="right" w:pos="9071"/>
      </w:tabs>
    </w:pPr>
  </w:style>
  <w:style w:type="character" w:customStyle="1" w:styleId="SidefodTegn">
    <w:name w:val="Sidefod Tegn"/>
    <w:basedOn w:val="Standardskrifttypeiafsnit"/>
    <w:link w:val="Sidefod"/>
    <w:uiPriority w:val="99"/>
    <w:rsid w:val="005E0973"/>
    <w:rPr>
      <w:rFonts w:ascii="Verdana" w:eastAsia="Times New Roman" w:hAnsi="Verdana" w:cs="Times New Roman"/>
      <w:sz w:val="19"/>
      <w:szCs w:val="20"/>
      <w:lang w:eastAsia="da-DK"/>
    </w:rPr>
  </w:style>
  <w:style w:type="character" w:customStyle="1" w:styleId="Overskrift1Tegn">
    <w:name w:val="Overskrift 1 Tegn"/>
    <w:basedOn w:val="Standardskrifttypeiafsnit"/>
    <w:link w:val="Overskrift1"/>
    <w:rsid w:val="00D904BD"/>
    <w:rPr>
      <w:rFonts w:ascii="Verdana" w:eastAsia="Times New Roman" w:hAnsi="Verdana" w:cs="Times New Roman"/>
      <w:b/>
      <w:sz w:val="28"/>
      <w:szCs w:val="28"/>
      <w:lang w:eastAsia="da-DK"/>
    </w:rPr>
  </w:style>
  <w:style w:type="character" w:customStyle="1" w:styleId="Overskrift2Tegn">
    <w:name w:val="Overskrift 2 Tegn"/>
    <w:basedOn w:val="Standardskrifttypeiafsnit"/>
    <w:link w:val="Overskrift2"/>
    <w:rsid w:val="00D904BD"/>
    <w:rPr>
      <w:rFonts w:ascii="Verdana" w:eastAsia="Times New Roman" w:hAnsi="Verdana" w:cs="Times New Roman"/>
      <w:b/>
      <w:sz w:val="24"/>
      <w:szCs w:val="20"/>
      <w:lang w:eastAsia="da-DK"/>
    </w:rPr>
  </w:style>
  <w:style w:type="character" w:customStyle="1" w:styleId="Overskrift3Tegn">
    <w:name w:val="Overskrift 3 Tegn"/>
    <w:basedOn w:val="Standardskrifttypeiafsnit"/>
    <w:link w:val="Overskrift3"/>
    <w:rsid w:val="00782937"/>
    <w:rPr>
      <w:rFonts w:ascii="Verdana" w:eastAsia="Times New Roman" w:hAnsi="Verdana" w:cs="Times New Roman"/>
      <w:sz w:val="19"/>
      <w:szCs w:val="20"/>
      <w:u w:val="single"/>
      <w:lang w:eastAsia="da-DK"/>
    </w:rPr>
  </w:style>
  <w:style w:type="paragraph" w:styleId="Normalindrykning">
    <w:name w:val="Normal Indent"/>
    <w:basedOn w:val="Normal"/>
    <w:rsid w:val="00782937"/>
    <w:pPr>
      <w:ind w:left="1304"/>
    </w:pPr>
  </w:style>
  <w:style w:type="paragraph" w:styleId="Indholdsfortegnelse2">
    <w:name w:val="toc 2"/>
    <w:basedOn w:val="Normal"/>
    <w:next w:val="Normal"/>
    <w:link w:val="Indholdsfortegnelse2Tegn"/>
    <w:uiPriority w:val="39"/>
    <w:qFormat/>
    <w:rsid w:val="00782937"/>
    <w:pPr>
      <w:tabs>
        <w:tab w:val="left" w:pos="567"/>
        <w:tab w:val="right" w:pos="8335"/>
      </w:tabs>
      <w:spacing w:after="240"/>
      <w:ind w:left="567" w:right="-57" w:hanging="567"/>
    </w:pPr>
    <w:rPr>
      <w:rFonts w:ascii="Times New Roman" w:hAnsi="Times New Roman"/>
    </w:rPr>
  </w:style>
  <w:style w:type="paragraph" w:customStyle="1" w:styleId="Liste1">
    <w:name w:val="Liste1"/>
    <w:basedOn w:val="Normal"/>
    <w:rsid w:val="00782937"/>
    <w:pPr>
      <w:spacing w:before="120"/>
      <w:ind w:left="709" w:hanging="709"/>
    </w:pPr>
  </w:style>
  <w:style w:type="paragraph" w:customStyle="1" w:styleId="Brevtop">
    <w:name w:val="Brevtop"/>
    <w:basedOn w:val="Normal"/>
    <w:rsid w:val="00782937"/>
    <w:pPr>
      <w:jc w:val="center"/>
    </w:pPr>
    <w:rPr>
      <w:b/>
      <w:sz w:val="20"/>
    </w:rPr>
  </w:style>
  <w:style w:type="paragraph" w:styleId="Dato">
    <w:name w:val="Date"/>
    <w:basedOn w:val="Normal"/>
    <w:next w:val="Dato1"/>
    <w:link w:val="DatoTegn"/>
    <w:rsid w:val="00782937"/>
    <w:pPr>
      <w:tabs>
        <w:tab w:val="left" w:pos="4536"/>
        <w:tab w:val="right" w:pos="8931"/>
      </w:tabs>
      <w:spacing w:before="960"/>
    </w:pPr>
    <w:rPr>
      <w:b/>
      <w:sz w:val="20"/>
    </w:rPr>
  </w:style>
  <w:style w:type="character" w:customStyle="1" w:styleId="DatoTegn">
    <w:name w:val="Dato Tegn"/>
    <w:basedOn w:val="Standardskrifttypeiafsnit"/>
    <w:link w:val="Dato"/>
    <w:rsid w:val="00782937"/>
    <w:rPr>
      <w:rFonts w:ascii="Verdana" w:eastAsia="Times New Roman" w:hAnsi="Verdana" w:cs="Times New Roman"/>
      <w:b/>
      <w:sz w:val="20"/>
      <w:szCs w:val="20"/>
      <w:lang w:eastAsia="da-DK"/>
    </w:rPr>
  </w:style>
  <w:style w:type="paragraph" w:customStyle="1" w:styleId="Dato1">
    <w:name w:val="Dato1"/>
    <w:basedOn w:val="Dato"/>
    <w:rsid w:val="00782937"/>
    <w:pPr>
      <w:tabs>
        <w:tab w:val="clear" w:pos="4536"/>
        <w:tab w:val="clear" w:pos="8931"/>
        <w:tab w:val="left" w:pos="3686"/>
        <w:tab w:val="left" w:pos="7655"/>
      </w:tabs>
      <w:ind w:right="-170"/>
    </w:pPr>
  </w:style>
  <w:style w:type="paragraph" w:customStyle="1" w:styleId="BilagKopi">
    <w:name w:val="BilagKopi"/>
    <w:basedOn w:val="Normal"/>
    <w:rsid w:val="00782937"/>
    <w:pPr>
      <w:keepNext/>
      <w:keepLines/>
      <w:tabs>
        <w:tab w:val="left" w:pos="851"/>
      </w:tabs>
    </w:pPr>
  </w:style>
  <w:style w:type="paragraph" w:customStyle="1" w:styleId="Adresse">
    <w:name w:val="Adresse"/>
    <w:basedOn w:val="Normal"/>
    <w:rsid w:val="00782937"/>
  </w:style>
  <w:style w:type="paragraph" w:customStyle="1" w:styleId="Hilsen">
    <w:name w:val="Hilsen"/>
    <w:basedOn w:val="Normal"/>
    <w:rsid w:val="00782937"/>
    <w:pPr>
      <w:keepNext/>
      <w:keepLines/>
      <w:spacing w:before="960" w:after="720"/>
    </w:pPr>
  </w:style>
  <w:style w:type="paragraph" w:customStyle="1" w:styleId="Dato2">
    <w:name w:val="Dato2"/>
    <w:basedOn w:val="Dato1"/>
    <w:rsid w:val="00782937"/>
    <w:pPr>
      <w:spacing w:before="0" w:after="480"/>
      <w:ind w:right="0"/>
    </w:pPr>
    <w:rPr>
      <w:b w:val="0"/>
      <w:sz w:val="24"/>
    </w:rPr>
  </w:style>
  <w:style w:type="character" w:styleId="Sidetal">
    <w:name w:val="page number"/>
    <w:basedOn w:val="Standardskrifttypeiafsnit"/>
    <w:rsid w:val="00782937"/>
  </w:style>
  <w:style w:type="paragraph" w:customStyle="1" w:styleId="TypografiOverskrift1Fr12pkt">
    <w:name w:val="Typografi Overskrift 1 + Før:  12 pkt."/>
    <w:basedOn w:val="Overskrift1"/>
    <w:rsid w:val="00782937"/>
    <w:rPr>
      <w:bCs/>
    </w:rPr>
  </w:style>
  <w:style w:type="paragraph" w:styleId="Markeringsbobletekst">
    <w:name w:val="Balloon Text"/>
    <w:basedOn w:val="Normal"/>
    <w:link w:val="MarkeringsbobletekstTegn"/>
    <w:semiHidden/>
    <w:rsid w:val="00782937"/>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782937"/>
    <w:rPr>
      <w:rFonts w:ascii="Tahoma" w:eastAsia="Times New Roman" w:hAnsi="Tahoma" w:cs="Tahoma"/>
      <w:sz w:val="16"/>
      <w:szCs w:val="16"/>
      <w:lang w:eastAsia="da-DK"/>
    </w:rPr>
  </w:style>
  <w:style w:type="paragraph" w:customStyle="1" w:styleId="Kolofontekst">
    <w:name w:val="Kolofontekst"/>
    <w:basedOn w:val="Sidehoved"/>
    <w:link w:val="KolofontekstTegn"/>
    <w:rsid w:val="00782937"/>
    <w:pPr>
      <w:spacing w:after="0"/>
      <w:ind w:left="74"/>
    </w:pPr>
    <w:rPr>
      <w:sz w:val="16"/>
      <w:szCs w:val="16"/>
    </w:rPr>
  </w:style>
  <w:style w:type="character" w:customStyle="1" w:styleId="KolofontekstTegn">
    <w:name w:val="Kolofontekst Tegn"/>
    <w:basedOn w:val="SidehovedTegn"/>
    <w:link w:val="Kolofontekst"/>
    <w:rsid w:val="00782937"/>
    <w:rPr>
      <w:rFonts w:ascii="Verdana" w:eastAsia="Times New Roman" w:hAnsi="Verdana" w:cs="Times New Roman"/>
      <w:sz w:val="16"/>
      <w:szCs w:val="16"/>
      <w:lang w:eastAsia="da-DK"/>
    </w:rPr>
  </w:style>
  <w:style w:type="paragraph" w:customStyle="1" w:styleId="Afsender">
    <w:name w:val="Afsender"/>
    <w:basedOn w:val="Normal"/>
    <w:link w:val="AfsenderTegn"/>
    <w:rsid w:val="00782937"/>
    <w:rPr>
      <w:sz w:val="16"/>
    </w:rPr>
  </w:style>
  <w:style w:type="character" w:customStyle="1" w:styleId="AfsenderTegn">
    <w:name w:val="Afsender Tegn"/>
    <w:basedOn w:val="Standardskrifttypeiafsnit"/>
    <w:link w:val="Afsender"/>
    <w:rsid w:val="00782937"/>
    <w:rPr>
      <w:rFonts w:ascii="Verdana" w:eastAsia="Times New Roman" w:hAnsi="Verdana" w:cs="Times New Roman"/>
      <w:sz w:val="16"/>
      <w:szCs w:val="20"/>
      <w:lang w:eastAsia="da-DK"/>
    </w:rPr>
  </w:style>
  <w:style w:type="paragraph" w:customStyle="1" w:styleId="DatoTekst">
    <w:name w:val="DatoTekst"/>
    <w:basedOn w:val="Normal"/>
    <w:rsid w:val="00782937"/>
    <w:pPr>
      <w:spacing w:line="200" w:lineRule="exact"/>
      <w:ind w:left="72" w:right="-70"/>
    </w:pPr>
    <w:rPr>
      <w:sz w:val="16"/>
    </w:rPr>
  </w:style>
  <w:style w:type="paragraph" w:customStyle="1" w:styleId="SidefodTekst">
    <w:name w:val="SidefodTekst"/>
    <w:basedOn w:val="Sidefod"/>
    <w:rsid w:val="00782937"/>
    <w:pPr>
      <w:tabs>
        <w:tab w:val="clear" w:pos="4819"/>
        <w:tab w:val="clear" w:pos="9071"/>
      </w:tabs>
      <w:spacing w:line="200" w:lineRule="exact"/>
      <w:ind w:right="-425"/>
    </w:pPr>
    <w:rPr>
      <w:i/>
      <w:iCs/>
      <w:sz w:val="16"/>
      <w:szCs w:val="16"/>
    </w:rPr>
  </w:style>
  <w:style w:type="paragraph" w:customStyle="1" w:styleId="Enhed">
    <w:name w:val="Enhed"/>
    <w:basedOn w:val="Afsender"/>
    <w:rsid w:val="00782937"/>
    <w:rPr>
      <w:b/>
    </w:rPr>
  </w:style>
  <w:style w:type="paragraph" w:customStyle="1" w:styleId="Kolofon">
    <w:name w:val="Kolofon"/>
    <w:basedOn w:val="Normal"/>
    <w:rsid w:val="00782937"/>
    <w:pPr>
      <w:spacing w:line="200" w:lineRule="exact"/>
      <w:ind w:left="72" w:right="-70"/>
    </w:pPr>
    <w:rPr>
      <w:b/>
      <w:bCs/>
      <w:sz w:val="16"/>
    </w:rPr>
  </w:style>
  <w:style w:type="paragraph" w:styleId="Afsenderadresse">
    <w:name w:val="envelope return"/>
    <w:basedOn w:val="Normal"/>
    <w:uiPriority w:val="99"/>
    <w:semiHidden/>
    <w:unhideWhenUsed/>
    <w:rsid w:val="00782937"/>
    <w:pPr>
      <w:spacing w:line="240" w:lineRule="auto"/>
    </w:pPr>
    <w:rPr>
      <w:rFonts w:asciiTheme="majorHAnsi" w:eastAsiaTheme="majorEastAsia" w:hAnsiTheme="majorHAnsi" w:cstheme="majorBidi"/>
      <w:sz w:val="20"/>
    </w:rPr>
  </w:style>
  <w:style w:type="paragraph" w:styleId="Almindeligtekst">
    <w:name w:val="Plain Text"/>
    <w:basedOn w:val="Normal"/>
    <w:link w:val="AlmindeligtekstTegn"/>
    <w:uiPriority w:val="99"/>
    <w:semiHidden/>
    <w:unhideWhenUsed/>
    <w:rsid w:val="0078293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82937"/>
    <w:rPr>
      <w:rFonts w:ascii="Consolas" w:eastAsia="Times New Roman" w:hAnsi="Consolas" w:cs="Times New Roman"/>
      <w:sz w:val="21"/>
      <w:szCs w:val="21"/>
      <w:lang w:eastAsia="da-DK"/>
    </w:rPr>
  </w:style>
  <w:style w:type="character" w:styleId="BesgtLink">
    <w:name w:val="FollowedHyperlink"/>
    <w:basedOn w:val="Standardskrifttypeiafsnit"/>
    <w:semiHidden/>
    <w:unhideWhenUsed/>
    <w:rsid w:val="00782937"/>
    <w:rPr>
      <w:color w:val="800080" w:themeColor="followedHyperlink"/>
      <w:u w:val="single"/>
    </w:rPr>
  </w:style>
  <w:style w:type="paragraph" w:styleId="Bibliografi">
    <w:name w:val="Bibliography"/>
    <w:basedOn w:val="Normal"/>
    <w:next w:val="Normal"/>
    <w:uiPriority w:val="37"/>
    <w:semiHidden/>
    <w:unhideWhenUsed/>
    <w:rsid w:val="00782937"/>
  </w:style>
  <w:style w:type="paragraph" w:styleId="Billedtekst">
    <w:name w:val="caption"/>
    <w:basedOn w:val="Normal"/>
    <w:next w:val="Normal"/>
    <w:uiPriority w:val="35"/>
    <w:semiHidden/>
    <w:unhideWhenUsed/>
    <w:rsid w:val="00782937"/>
    <w:pPr>
      <w:spacing w:after="200" w:line="240" w:lineRule="auto"/>
    </w:pPr>
    <w:rPr>
      <w:i/>
      <w:iCs/>
      <w:color w:val="1F497D" w:themeColor="text2"/>
      <w:sz w:val="18"/>
      <w:szCs w:val="18"/>
    </w:rPr>
  </w:style>
  <w:style w:type="paragraph" w:styleId="Bloktekst">
    <w:name w:val="Block Text"/>
    <w:basedOn w:val="Normal"/>
    <w:uiPriority w:val="99"/>
    <w:semiHidden/>
    <w:unhideWhenUsed/>
    <w:rsid w:val="0078293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782937"/>
    <w:rPr>
      <w:b/>
      <w:bCs/>
      <w:i/>
      <w:iCs/>
      <w:spacing w:val="5"/>
    </w:rPr>
  </w:style>
  <w:style w:type="paragraph" w:styleId="Brevhoved">
    <w:name w:val="Message Header"/>
    <w:basedOn w:val="Normal"/>
    <w:link w:val="BrevhovedTegn"/>
    <w:uiPriority w:val="99"/>
    <w:semiHidden/>
    <w:unhideWhenUsed/>
    <w:rsid w:val="0078293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82937"/>
    <w:rPr>
      <w:rFonts w:asciiTheme="majorHAnsi" w:eastAsiaTheme="majorEastAsia" w:hAnsiTheme="majorHAnsi" w:cstheme="majorBidi"/>
      <w:sz w:val="24"/>
      <w:szCs w:val="24"/>
      <w:shd w:val="pct20" w:color="auto" w:fill="auto"/>
      <w:lang w:eastAsia="da-DK"/>
    </w:rPr>
  </w:style>
  <w:style w:type="paragraph" w:styleId="Brdtekst">
    <w:name w:val="Body Text"/>
    <w:basedOn w:val="Normal"/>
    <w:link w:val="BrdtekstTegn"/>
    <w:uiPriority w:val="99"/>
    <w:semiHidden/>
    <w:unhideWhenUsed/>
    <w:rsid w:val="00782937"/>
    <w:pPr>
      <w:spacing w:after="120"/>
    </w:pPr>
  </w:style>
  <w:style w:type="character" w:customStyle="1" w:styleId="BrdtekstTegn">
    <w:name w:val="Brødtekst Tegn"/>
    <w:basedOn w:val="Standardskrifttypeiafsnit"/>
    <w:link w:val="Brdtekst"/>
    <w:uiPriority w:val="99"/>
    <w:semiHidden/>
    <w:rsid w:val="00782937"/>
    <w:rPr>
      <w:rFonts w:ascii="Verdana" w:eastAsia="Times New Roman" w:hAnsi="Verdana" w:cs="Times New Roman"/>
      <w:sz w:val="19"/>
      <w:szCs w:val="20"/>
      <w:lang w:eastAsia="da-DK"/>
    </w:rPr>
  </w:style>
  <w:style w:type="paragraph" w:styleId="Brdtekst-frstelinjeindrykning1">
    <w:name w:val="Body Text First Indent"/>
    <w:basedOn w:val="Brdtekst"/>
    <w:link w:val="Brdtekst-frstelinjeindrykning1Tegn"/>
    <w:uiPriority w:val="99"/>
    <w:semiHidden/>
    <w:unhideWhenUsed/>
    <w:rsid w:val="0078293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82937"/>
    <w:rPr>
      <w:rFonts w:ascii="Verdana" w:eastAsia="Times New Roman" w:hAnsi="Verdana" w:cs="Times New Roman"/>
      <w:sz w:val="19"/>
      <w:szCs w:val="20"/>
      <w:lang w:eastAsia="da-DK"/>
    </w:rPr>
  </w:style>
  <w:style w:type="paragraph" w:styleId="Brdtekstindrykning">
    <w:name w:val="Body Text Indent"/>
    <w:basedOn w:val="Normal"/>
    <w:link w:val="BrdtekstindrykningTegn"/>
    <w:semiHidden/>
    <w:unhideWhenUsed/>
    <w:rsid w:val="00782937"/>
    <w:pPr>
      <w:spacing w:after="120"/>
      <w:ind w:left="283"/>
    </w:pPr>
  </w:style>
  <w:style w:type="character" w:customStyle="1" w:styleId="BrdtekstindrykningTegn">
    <w:name w:val="Brødtekstindrykning Tegn"/>
    <w:basedOn w:val="Standardskrifttypeiafsnit"/>
    <w:link w:val="Brdtekstindrykning"/>
    <w:semiHidden/>
    <w:rsid w:val="00782937"/>
    <w:rPr>
      <w:rFonts w:ascii="Verdana" w:eastAsia="Times New Roman" w:hAnsi="Verdana" w:cs="Times New Roman"/>
      <w:sz w:val="19"/>
      <w:szCs w:val="20"/>
      <w:lang w:eastAsia="da-DK"/>
    </w:rPr>
  </w:style>
  <w:style w:type="paragraph" w:styleId="Brdtekst-frstelinjeindrykning2">
    <w:name w:val="Body Text First Indent 2"/>
    <w:basedOn w:val="Brdtekstindrykning"/>
    <w:link w:val="Brdtekst-frstelinjeindrykning2Tegn"/>
    <w:uiPriority w:val="99"/>
    <w:semiHidden/>
    <w:unhideWhenUsed/>
    <w:rsid w:val="0078293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82937"/>
    <w:rPr>
      <w:rFonts w:ascii="Verdana" w:eastAsia="Times New Roman" w:hAnsi="Verdana" w:cs="Times New Roman"/>
      <w:sz w:val="19"/>
      <w:szCs w:val="20"/>
      <w:lang w:eastAsia="da-DK"/>
    </w:rPr>
  </w:style>
  <w:style w:type="paragraph" w:styleId="Brdtekst2">
    <w:name w:val="Body Text 2"/>
    <w:basedOn w:val="Normal"/>
    <w:link w:val="Brdtekst2Tegn"/>
    <w:semiHidden/>
    <w:unhideWhenUsed/>
    <w:rsid w:val="00782937"/>
    <w:pPr>
      <w:spacing w:after="120" w:line="480" w:lineRule="auto"/>
    </w:pPr>
  </w:style>
  <w:style w:type="character" w:customStyle="1" w:styleId="Brdtekst2Tegn">
    <w:name w:val="Brødtekst 2 Tegn"/>
    <w:basedOn w:val="Standardskrifttypeiafsnit"/>
    <w:link w:val="Brdtekst2"/>
    <w:semiHidden/>
    <w:rsid w:val="00782937"/>
    <w:rPr>
      <w:rFonts w:ascii="Verdana" w:eastAsia="Times New Roman" w:hAnsi="Verdana" w:cs="Times New Roman"/>
      <w:sz w:val="19"/>
      <w:szCs w:val="20"/>
      <w:lang w:eastAsia="da-DK"/>
    </w:rPr>
  </w:style>
  <w:style w:type="paragraph" w:styleId="Brdtekst3">
    <w:name w:val="Body Text 3"/>
    <w:basedOn w:val="Normal"/>
    <w:link w:val="Brdtekst3Tegn"/>
    <w:semiHidden/>
    <w:unhideWhenUsed/>
    <w:rsid w:val="00782937"/>
    <w:pPr>
      <w:spacing w:after="120"/>
    </w:pPr>
    <w:rPr>
      <w:sz w:val="16"/>
      <w:szCs w:val="16"/>
    </w:rPr>
  </w:style>
  <w:style w:type="character" w:customStyle="1" w:styleId="Brdtekst3Tegn">
    <w:name w:val="Brødtekst 3 Tegn"/>
    <w:basedOn w:val="Standardskrifttypeiafsnit"/>
    <w:link w:val="Brdtekst3"/>
    <w:semiHidden/>
    <w:rsid w:val="00782937"/>
    <w:rPr>
      <w:rFonts w:ascii="Verdana" w:eastAsia="Times New Roman" w:hAnsi="Verdana" w:cs="Times New Roman"/>
      <w:sz w:val="16"/>
      <w:szCs w:val="16"/>
      <w:lang w:eastAsia="da-DK"/>
    </w:rPr>
  </w:style>
  <w:style w:type="paragraph" w:styleId="Brdtekstindrykning2">
    <w:name w:val="Body Text Indent 2"/>
    <w:basedOn w:val="Normal"/>
    <w:link w:val="Brdtekstindrykning2Tegn"/>
    <w:uiPriority w:val="99"/>
    <w:semiHidden/>
    <w:unhideWhenUsed/>
    <w:rsid w:val="0078293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82937"/>
    <w:rPr>
      <w:rFonts w:ascii="Verdana" w:eastAsia="Times New Roman" w:hAnsi="Verdana" w:cs="Times New Roman"/>
      <w:sz w:val="19"/>
      <w:szCs w:val="20"/>
      <w:lang w:eastAsia="da-DK"/>
    </w:rPr>
  </w:style>
  <w:style w:type="paragraph" w:styleId="Brdtekstindrykning3">
    <w:name w:val="Body Text Indent 3"/>
    <w:basedOn w:val="Normal"/>
    <w:link w:val="Brdtekstindrykning3Tegn"/>
    <w:uiPriority w:val="99"/>
    <w:semiHidden/>
    <w:unhideWhenUsed/>
    <w:rsid w:val="0078293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82937"/>
    <w:rPr>
      <w:rFonts w:ascii="Verdana" w:eastAsia="Times New Roman" w:hAnsi="Verdana" w:cs="Times New Roman"/>
      <w:sz w:val="16"/>
      <w:szCs w:val="16"/>
      <w:lang w:eastAsia="da-DK"/>
    </w:rPr>
  </w:style>
  <w:style w:type="paragraph" w:styleId="Citat">
    <w:name w:val="Quote"/>
    <w:basedOn w:val="Normal"/>
    <w:next w:val="Normal"/>
    <w:link w:val="CitatTegn"/>
    <w:uiPriority w:val="29"/>
    <w:rsid w:val="00782937"/>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782937"/>
    <w:rPr>
      <w:rFonts w:ascii="Verdana" w:eastAsia="Times New Roman" w:hAnsi="Verdana" w:cs="Times New Roman"/>
      <w:i/>
      <w:iCs/>
      <w:color w:val="404040" w:themeColor="text1" w:themeTint="BF"/>
      <w:sz w:val="19"/>
      <w:szCs w:val="20"/>
      <w:lang w:eastAsia="da-DK"/>
    </w:rPr>
  </w:style>
  <w:style w:type="paragraph" w:styleId="Citatoverskrift">
    <w:name w:val="toa heading"/>
    <w:basedOn w:val="Normal"/>
    <w:next w:val="Normal"/>
    <w:uiPriority w:val="99"/>
    <w:semiHidden/>
    <w:unhideWhenUsed/>
    <w:rsid w:val="00782937"/>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82937"/>
    <w:pPr>
      <w:ind w:left="190" w:hanging="190"/>
    </w:pPr>
  </w:style>
  <w:style w:type="paragraph" w:styleId="Dokumentoversigt">
    <w:name w:val="Document Map"/>
    <w:basedOn w:val="Normal"/>
    <w:link w:val="DokumentoversigtTegn"/>
    <w:uiPriority w:val="99"/>
    <w:semiHidden/>
    <w:unhideWhenUsed/>
    <w:rsid w:val="0078293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82937"/>
    <w:rPr>
      <w:rFonts w:ascii="Segoe UI" w:eastAsia="Times New Roman" w:hAnsi="Segoe UI" w:cs="Segoe UI"/>
      <w:sz w:val="16"/>
      <w:szCs w:val="16"/>
      <w:lang w:eastAsia="da-DK"/>
    </w:rPr>
  </w:style>
  <w:style w:type="character" w:styleId="Fodnotehenvisning">
    <w:name w:val="footnote reference"/>
    <w:basedOn w:val="Standardskrifttypeiafsnit"/>
    <w:semiHidden/>
    <w:unhideWhenUsed/>
    <w:rsid w:val="00782937"/>
    <w:rPr>
      <w:vertAlign w:val="superscript"/>
    </w:rPr>
  </w:style>
  <w:style w:type="paragraph" w:styleId="Fodnotetekst">
    <w:name w:val="footnote text"/>
    <w:basedOn w:val="Normal"/>
    <w:link w:val="FodnotetekstTegn"/>
    <w:semiHidden/>
    <w:unhideWhenUsed/>
    <w:rsid w:val="00782937"/>
    <w:pPr>
      <w:spacing w:line="240" w:lineRule="auto"/>
    </w:pPr>
    <w:rPr>
      <w:sz w:val="20"/>
    </w:rPr>
  </w:style>
  <w:style w:type="character" w:customStyle="1" w:styleId="FodnotetekstTegn">
    <w:name w:val="Fodnotetekst Tegn"/>
    <w:basedOn w:val="Standardskrifttypeiafsnit"/>
    <w:link w:val="Fodnotetekst"/>
    <w:semiHidden/>
    <w:rsid w:val="00782937"/>
    <w:rPr>
      <w:rFonts w:ascii="Verdana" w:eastAsia="Times New Roman" w:hAnsi="Verdana" w:cs="Times New Roman"/>
      <w:sz w:val="20"/>
      <w:szCs w:val="20"/>
      <w:lang w:eastAsia="da-DK"/>
    </w:rPr>
  </w:style>
  <w:style w:type="paragraph" w:styleId="FormateretHTML">
    <w:name w:val="HTML Preformatted"/>
    <w:basedOn w:val="Normal"/>
    <w:link w:val="FormateretHTMLTegn"/>
    <w:uiPriority w:val="99"/>
    <w:semiHidden/>
    <w:unhideWhenUsed/>
    <w:rsid w:val="00782937"/>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782937"/>
    <w:rPr>
      <w:rFonts w:ascii="Consolas" w:eastAsia="Times New Roman" w:hAnsi="Consolas" w:cs="Times New Roman"/>
      <w:sz w:val="20"/>
      <w:szCs w:val="20"/>
      <w:lang w:eastAsia="da-DK"/>
    </w:rPr>
  </w:style>
  <w:style w:type="character" w:styleId="Fremhv">
    <w:name w:val="Emphasis"/>
    <w:basedOn w:val="Standardskrifttypeiafsnit"/>
    <w:uiPriority w:val="20"/>
    <w:rsid w:val="00782937"/>
    <w:rPr>
      <w:i/>
      <w:iCs/>
    </w:rPr>
  </w:style>
  <w:style w:type="character" w:styleId="Hashtag">
    <w:name w:val="Hashtag"/>
    <w:basedOn w:val="Standardskrifttypeiafsnit"/>
    <w:uiPriority w:val="99"/>
    <w:semiHidden/>
    <w:unhideWhenUsed/>
    <w:rsid w:val="00782937"/>
    <w:rPr>
      <w:color w:val="2B579A"/>
      <w:shd w:val="clear" w:color="auto" w:fill="E1DFDD"/>
    </w:rPr>
  </w:style>
  <w:style w:type="paragraph" w:styleId="HTML-adresse">
    <w:name w:val="HTML Address"/>
    <w:basedOn w:val="Normal"/>
    <w:link w:val="HTML-adresseTegn"/>
    <w:uiPriority w:val="99"/>
    <w:semiHidden/>
    <w:unhideWhenUsed/>
    <w:rsid w:val="00782937"/>
    <w:pPr>
      <w:spacing w:line="240" w:lineRule="auto"/>
    </w:pPr>
    <w:rPr>
      <w:i/>
      <w:iCs/>
    </w:rPr>
  </w:style>
  <w:style w:type="character" w:customStyle="1" w:styleId="HTML-adresseTegn">
    <w:name w:val="HTML-adresse Tegn"/>
    <w:basedOn w:val="Standardskrifttypeiafsnit"/>
    <w:link w:val="HTML-adresse"/>
    <w:uiPriority w:val="99"/>
    <w:semiHidden/>
    <w:rsid w:val="00782937"/>
    <w:rPr>
      <w:rFonts w:ascii="Verdana" w:eastAsia="Times New Roman" w:hAnsi="Verdana" w:cs="Times New Roman"/>
      <w:i/>
      <w:iCs/>
      <w:sz w:val="19"/>
      <w:szCs w:val="20"/>
      <w:lang w:eastAsia="da-DK"/>
    </w:rPr>
  </w:style>
  <w:style w:type="character" w:styleId="HTML-akronym">
    <w:name w:val="HTML Acronym"/>
    <w:basedOn w:val="Standardskrifttypeiafsnit"/>
    <w:uiPriority w:val="99"/>
    <w:semiHidden/>
    <w:unhideWhenUsed/>
    <w:rsid w:val="00782937"/>
  </w:style>
  <w:style w:type="character" w:styleId="HTML-citat">
    <w:name w:val="HTML Cite"/>
    <w:basedOn w:val="Standardskrifttypeiafsnit"/>
    <w:uiPriority w:val="99"/>
    <w:semiHidden/>
    <w:unhideWhenUsed/>
    <w:rsid w:val="00782937"/>
    <w:rPr>
      <w:i/>
      <w:iCs/>
    </w:rPr>
  </w:style>
  <w:style w:type="character" w:styleId="HTML-definition">
    <w:name w:val="HTML Definition"/>
    <w:basedOn w:val="Standardskrifttypeiafsnit"/>
    <w:uiPriority w:val="99"/>
    <w:semiHidden/>
    <w:unhideWhenUsed/>
    <w:rsid w:val="00782937"/>
    <w:rPr>
      <w:i/>
      <w:iCs/>
    </w:rPr>
  </w:style>
  <w:style w:type="character" w:styleId="HTML-eksempel">
    <w:name w:val="HTML Sample"/>
    <w:basedOn w:val="Standardskrifttypeiafsnit"/>
    <w:uiPriority w:val="99"/>
    <w:semiHidden/>
    <w:unhideWhenUsed/>
    <w:rsid w:val="00782937"/>
    <w:rPr>
      <w:rFonts w:ascii="Consolas" w:hAnsi="Consolas"/>
      <w:sz w:val="24"/>
      <w:szCs w:val="24"/>
    </w:rPr>
  </w:style>
  <w:style w:type="character" w:styleId="HTML-kode">
    <w:name w:val="HTML Code"/>
    <w:basedOn w:val="Standardskrifttypeiafsnit"/>
    <w:uiPriority w:val="99"/>
    <w:semiHidden/>
    <w:unhideWhenUsed/>
    <w:rsid w:val="00782937"/>
    <w:rPr>
      <w:rFonts w:ascii="Consolas" w:hAnsi="Consolas"/>
      <w:sz w:val="20"/>
      <w:szCs w:val="20"/>
    </w:rPr>
  </w:style>
  <w:style w:type="character" w:styleId="HTML-skrivemaskine">
    <w:name w:val="HTML Typewriter"/>
    <w:basedOn w:val="Standardskrifttypeiafsnit"/>
    <w:uiPriority w:val="99"/>
    <w:semiHidden/>
    <w:unhideWhenUsed/>
    <w:rsid w:val="00782937"/>
    <w:rPr>
      <w:rFonts w:ascii="Consolas" w:hAnsi="Consolas"/>
      <w:sz w:val="20"/>
      <w:szCs w:val="20"/>
    </w:rPr>
  </w:style>
  <w:style w:type="character" w:styleId="HTML-tastatur">
    <w:name w:val="HTML Keyboard"/>
    <w:basedOn w:val="Standardskrifttypeiafsnit"/>
    <w:uiPriority w:val="99"/>
    <w:semiHidden/>
    <w:unhideWhenUsed/>
    <w:rsid w:val="00782937"/>
    <w:rPr>
      <w:rFonts w:ascii="Consolas" w:hAnsi="Consolas"/>
      <w:sz w:val="20"/>
      <w:szCs w:val="20"/>
    </w:rPr>
  </w:style>
  <w:style w:type="character" w:styleId="HTML-variabel">
    <w:name w:val="HTML Variable"/>
    <w:basedOn w:val="Standardskrifttypeiafsnit"/>
    <w:uiPriority w:val="99"/>
    <w:semiHidden/>
    <w:unhideWhenUsed/>
    <w:rsid w:val="00782937"/>
    <w:rPr>
      <w:i/>
      <w:iCs/>
    </w:rPr>
  </w:style>
  <w:style w:type="character" w:styleId="Hyperlink">
    <w:name w:val="Hyperlink"/>
    <w:basedOn w:val="Standardskrifttypeiafsnit"/>
    <w:uiPriority w:val="99"/>
    <w:unhideWhenUsed/>
    <w:rsid w:val="00782937"/>
    <w:rPr>
      <w:color w:val="0000FF" w:themeColor="hyperlink"/>
      <w:u w:val="single"/>
    </w:rPr>
  </w:style>
  <w:style w:type="paragraph" w:styleId="Indeks1">
    <w:name w:val="index 1"/>
    <w:basedOn w:val="Normal"/>
    <w:next w:val="Normal"/>
    <w:autoRedefine/>
    <w:uiPriority w:val="99"/>
    <w:semiHidden/>
    <w:unhideWhenUsed/>
    <w:rsid w:val="00782937"/>
    <w:pPr>
      <w:spacing w:line="240" w:lineRule="auto"/>
      <w:ind w:left="190" w:hanging="190"/>
    </w:pPr>
  </w:style>
  <w:style w:type="paragraph" w:styleId="Indeks2">
    <w:name w:val="index 2"/>
    <w:basedOn w:val="Normal"/>
    <w:next w:val="Normal"/>
    <w:autoRedefine/>
    <w:uiPriority w:val="99"/>
    <w:semiHidden/>
    <w:unhideWhenUsed/>
    <w:rsid w:val="00782937"/>
    <w:pPr>
      <w:spacing w:line="240" w:lineRule="auto"/>
      <w:ind w:left="380" w:hanging="190"/>
    </w:pPr>
  </w:style>
  <w:style w:type="paragraph" w:styleId="Indeks3">
    <w:name w:val="index 3"/>
    <w:basedOn w:val="Normal"/>
    <w:next w:val="Normal"/>
    <w:autoRedefine/>
    <w:uiPriority w:val="99"/>
    <w:semiHidden/>
    <w:unhideWhenUsed/>
    <w:rsid w:val="00782937"/>
    <w:pPr>
      <w:spacing w:line="240" w:lineRule="auto"/>
      <w:ind w:left="570" w:hanging="190"/>
    </w:pPr>
  </w:style>
  <w:style w:type="paragraph" w:styleId="Indeks4">
    <w:name w:val="index 4"/>
    <w:basedOn w:val="Normal"/>
    <w:next w:val="Normal"/>
    <w:autoRedefine/>
    <w:uiPriority w:val="99"/>
    <w:semiHidden/>
    <w:unhideWhenUsed/>
    <w:rsid w:val="00782937"/>
    <w:pPr>
      <w:spacing w:line="240" w:lineRule="auto"/>
      <w:ind w:left="760" w:hanging="190"/>
    </w:pPr>
  </w:style>
  <w:style w:type="paragraph" w:styleId="Indeks5">
    <w:name w:val="index 5"/>
    <w:basedOn w:val="Normal"/>
    <w:next w:val="Normal"/>
    <w:autoRedefine/>
    <w:uiPriority w:val="99"/>
    <w:semiHidden/>
    <w:unhideWhenUsed/>
    <w:rsid w:val="00782937"/>
    <w:pPr>
      <w:spacing w:line="240" w:lineRule="auto"/>
      <w:ind w:left="950" w:hanging="190"/>
    </w:pPr>
  </w:style>
  <w:style w:type="paragraph" w:styleId="Indeks6">
    <w:name w:val="index 6"/>
    <w:basedOn w:val="Normal"/>
    <w:next w:val="Normal"/>
    <w:autoRedefine/>
    <w:uiPriority w:val="99"/>
    <w:semiHidden/>
    <w:unhideWhenUsed/>
    <w:rsid w:val="00782937"/>
    <w:pPr>
      <w:spacing w:line="240" w:lineRule="auto"/>
      <w:ind w:left="1140" w:hanging="190"/>
    </w:pPr>
  </w:style>
  <w:style w:type="paragraph" w:styleId="Indeks7">
    <w:name w:val="index 7"/>
    <w:basedOn w:val="Normal"/>
    <w:next w:val="Normal"/>
    <w:autoRedefine/>
    <w:uiPriority w:val="99"/>
    <w:semiHidden/>
    <w:unhideWhenUsed/>
    <w:rsid w:val="00782937"/>
    <w:pPr>
      <w:spacing w:line="240" w:lineRule="auto"/>
      <w:ind w:left="1330" w:hanging="190"/>
    </w:pPr>
  </w:style>
  <w:style w:type="paragraph" w:styleId="Indeks8">
    <w:name w:val="index 8"/>
    <w:basedOn w:val="Normal"/>
    <w:next w:val="Normal"/>
    <w:autoRedefine/>
    <w:uiPriority w:val="99"/>
    <w:semiHidden/>
    <w:unhideWhenUsed/>
    <w:rsid w:val="00782937"/>
    <w:pPr>
      <w:spacing w:line="240" w:lineRule="auto"/>
      <w:ind w:left="1520" w:hanging="190"/>
    </w:pPr>
  </w:style>
  <w:style w:type="paragraph" w:styleId="Indeks9">
    <w:name w:val="index 9"/>
    <w:basedOn w:val="Normal"/>
    <w:next w:val="Normal"/>
    <w:autoRedefine/>
    <w:uiPriority w:val="99"/>
    <w:semiHidden/>
    <w:unhideWhenUsed/>
    <w:rsid w:val="00782937"/>
    <w:pPr>
      <w:spacing w:line="240" w:lineRule="auto"/>
      <w:ind w:left="1710" w:hanging="190"/>
    </w:pPr>
  </w:style>
  <w:style w:type="paragraph" w:styleId="Indeksoverskrift">
    <w:name w:val="index heading"/>
    <w:basedOn w:val="Normal"/>
    <w:next w:val="Indeks1"/>
    <w:uiPriority w:val="99"/>
    <w:semiHidden/>
    <w:unhideWhenUsed/>
    <w:rsid w:val="00782937"/>
    <w:rPr>
      <w:rFonts w:asciiTheme="majorHAnsi" w:eastAsiaTheme="majorEastAsia" w:hAnsiTheme="majorHAnsi" w:cstheme="majorBidi"/>
      <w:b/>
      <w:bCs/>
    </w:rPr>
  </w:style>
  <w:style w:type="paragraph" w:styleId="Indholdsfortegnelse1">
    <w:name w:val="toc 1"/>
    <w:basedOn w:val="Normal"/>
    <w:next w:val="Normal"/>
    <w:link w:val="Indholdsfortegnelse1Tegn"/>
    <w:autoRedefine/>
    <w:uiPriority w:val="39"/>
    <w:unhideWhenUsed/>
    <w:qFormat/>
    <w:rsid w:val="00782937"/>
    <w:pPr>
      <w:spacing w:after="100"/>
    </w:pPr>
  </w:style>
  <w:style w:type="paragraph" w:styleId="Indholdsfortegnelse3">
    <w:name w:val="toc 3"/>
    <w:basedOn w:val="Normal"/>
    <w:next w:val="Normal"/>
    <w:autoRedefine/>
    <w:uiPriority w:val="39"/>
    <w:unhideWhenUsed/>
    <w:qFormat/>
    <w:rsid w:val="00782937"/>
    <w:pPr>
      <w:spacing w:after="100"/>
      <w:ind w:left="380"/>
    </w:pPr>
  </w:style>
  <w:style w:type="paragraph" w:styleId="Indholdsfortegnelse4">
    <w:name w:val="toc 4"/>
    <w:basedOn w:val="Normal"/>
    <w:next w:val="Normal"/>
    <w:autoRedefine/>
    <w:uiPriority w:val="39"/>
    <w:semiHidden/>
    <w:unhideWhenUsed/>
    <w:rsid w:val="00782937"/>
    <w:pPr>
      <w:spacing w:after="100"/>
      <w:ind w:left="570"/>
    </w:pPr>
  </w:style>
  <w:style w:type="paragraph" w:styleId="Indholdsfortegnelse5">
    <w:name w:val="toc 5"/>
    <w:basedOn w:val="Normal"/>
    <w:next w:val="Normal"/>
    <w:autoRedefine/>
    <w:uiPriority w:val="39"/>
    <w:semiHidden/>
    <w:unhideWhenUsed/>
    <w:rsid w:val="00782937"/>
    <w:pPr>
      <w:spacing w:after="100"/>
      <w:ind w:left="760"/>
    </w:pPr>
  </w:style>
  <w:style w:type="paragraph" w:styleId="Indholdsfortegnelse6">
    <w:name w:val="toc 6"/>
    <w:basedOn w:val="Normal"/>
    <w:next w:val="Normal"/>
    <w:autoRedefine/>
    <w:uiPriority w:val="39"/>
    <w:semiHidden/>
    <w:unhideWhenUsed/>
    <w:rsid w:val="00782937"/>
    <w:pPr>
      <w:spacing w:after="100"/>
      <w:ind w:left="950"/>
    </w:pPr>
  </w:style>
  <w:style w:type="paragraph" w:styleId="Indholdsfortegnelse7">
    <w:name w:val="toc 7"/>
    <w:basedOn w:val="Normal"/>
    <w:next w:val="Normal"/>
    <w:autoRedefine/>
    <w:uiPriority w:val="39"/>
    <w:semiHidden/>
    <w:unhideWhenUsed/>
    <w:rsid w:val="00782937"/>
    <w:pPr>
      <w:spacing w:after="100"/>
      <w:ind w:left="1140"/>
    </w:pPr>
  </w:style>
  <w:style w:type="paragraph" w:styleId="Indholdsfortegnelse8">
    <w:name w:val="toc 8"/>
    <w:basedOn w:val="Normal"/>
    <w:next w:val="Normal"/>
    <w:autoRedefine/>
    <w:uiPriority w:val="39"/>
    <w:semiHidden/>
    <w:unhideWhenUsed/>
    <w:rsid w:val="00782937"/>
    <w:pPr>
      <w:spacing w:after="100"/>
      <w:ind w:left="1330"/>
    </w:pPr>
  </w:style>
  <w:style w:type="paragraph" w:styleId="Indholdsfortegnelse9">
    <w:name w:val="toc 9"/>
    <w:basedOn w:val="Normal"/>
    <w:next w:val="Normal"/>
    <w:autoRedefine/>
    <w:uiPriority w:val="39"/>
    <w:semiHidden/>
    <w:unhideWhenUsed/>
    <w:rsid w:val="00782937"/>
    <w:pPr>
      <w:spacing w:after="100"/>
      <w:ind w:left="1520"/>
    </w:pPr>
  </w:style>
  <w:style w:type="paragraph" w:styleId="Ingenafstand">
    <w:name w:val="No Spacing"/>
    <w:uiPriority w:val="1"/>
    <w:rsid w:val="00782937"/>
    <w:pPr>
      <w:spacing w:after="0" w:line="240" w:lineRule="auto"/>
    </w:pPr>
    <w:rPr>
      <w:rFonts w:ascii="Verdana" w:eastAsia="Times New Roman" w:hAnsi="Verdana" w:cs="Times New Roman"/>
      <w:sz w:val="19"/>
      <w:szCs w:val="20"/>
      <w:lang w:eastAsia="da-DK"/>
    </w:rPr>
  </w:style>
  <w:style w:type="paragraph" w:styleId="Kommentartekst">
    <w:name w:val="annotation text"/>
    <w:basedOn w:val="Normal"/>
    <w:link w:val="KommentartekstTegn"/>
    <w:unhideWhenUsed/>
    <w:rsid w:val="00782937"/>
    <w:pPr>
      <w:spacing w:line="240" w:lineRule="auto"/>
    </w:pPr>
    <w:rPr>
      <w:sz w:val="20"/>
    </w:rPr>
  </w:style>
  <w:style w:type="character" w:customStyle="1" w:styleId="KommentartekstTegn">
    <w:name w:val="Kommentartekst Tegn"/>
    <w:basedOn w:val="Standardskrifttypeiafsnit"/>
    <w:link w:val="Kommentartekst"/>
    <w:rsid w:val="00782937"/>
    <w:rPr>
      <w:rFonts w:ascii="Verdana" w:eastAsia="Times New Roman" w:hAnsi="Verdana" w:cs="Times New Roman"/>
      <w:sz w:val="20"/>
      <w:szCs w:val="20"/>
      <w:lang w:eastAsia="da-DK"/>
    </w:rPr>
  </w:style>
  <w:style w:type="paragraph" w:styleId="Kommentaremne">
    <w:name w:val="annotation subject"/>
    <w:basedOn w:val="Kommentartekst"/>
    <w:next w:val="Kommentartekst"/>
    <w:link w:val="KommentaremneTegn"/>
    <w:semiHidden/>
    <w:unhideWhenUsed/>
    <w:rsid w:val="00782937"/>
    <w:rPr>
      <w:b/>
      <w:bCs/>
    </w:rPr>
  </w:style>
  <w:style w:type="character" w:customStyle="1" w:styleId="KommentaremneTegn">
    <w:name w:val="Kommentaremne Tegn"/>
    <w:basedOn w:val="KommentartekstTegn"/>
    <w:link w:val="Kommentaremne"/>
    <w:semiHidden/>
    <w:rsid w:val="00782937"/>
    <w:rPr>
      <w:rFonts w:ascii="Verdana" w:eastAsia="Times New Roman" w:hAnsi="Verdana" w:cs="Times New Roman"/>
      <w:b/>
      <w:bCs/>
      <w:sz w:val="20"/>
      <w:szCs w:val="20"/>
      <w:lang w:eastAsia="da-DK"/>
    </w:rPr>
  </w:style>
  <w:style w:type="character" w:styleId="Kommentarhenvisning">
    <w:name w:val="annotation reference"/>
    <w:basedOn w:val="Standardskrifttypeiafsnit"/>
    <w:semiHidden/>
    <w:unhideWhenUsed/>
    <w:rsid w:val="00782937"/>
    <w:rPr>
      <w:sz w:val="16"/>
      <w:szCs w:val="16"/>
    </w:rPr>
  </w:style>
  <w:style w:type="character" w:styleId="Kraftigfremhvning">
    <w:name w:val="Intense Emphasis"/>
    <w:basedOn w:val="Standardskrifttypeiafsnit"/>
    <w:uiPriority w:val="21"/>
    <w:rsid w:val="00782937"/>
    <w:rPr>
      <w:i/>
      <w:iCs/>
      <w:color w:val="4F81BD" w:themeColor="accent1"/>
    </w:rPr>
  </w:style>
  <w:style w:type="character" w:styleId="Kraftighenvisning">
    <w:name w:val="Intense Reference"/>
    <w:basedOn w:val="Standardskrifttypeiafsnit"/>
    <w:uiPriority w:val="32"/>
    <w:rsid w:val="00782937"/>
    <w:rPr>
      <w:b/>
      <w:bCs/>
      <w:smallCaps/>
      <w:color w:val="4F81BD" w:themeColor="accent1"/>
      <w:spacing w:val="5"/>
    </w:rPr>
  </w:style>
  <w:style w:type="character" w:styleId="Linjenummer">
    <w:name w:val="line number"/>
    <w:basedOn w:val="Standardskrifttypeiafsnit"/>
    <w:uiPriority w:val="99"/>
    <w:semiHidden/>
    <w:unhideWhenUsed/>
    <w:rsid w:val="00782937"/>
  </w:style>
  <w:style w:type="paragraph" w:styleId="Liste">
    <w:name w:val="List"/>
    <w:basedOn w:val="Normal"/>
    <w:uiPriority w:val="99"/>
    <w:semiHidden/>
    <w:unhideWhenUsed/>
    <w:rsid w:val="00782937"/>
    <w:pPr>
      <w:ind w:left="283" w:hanging="283"/>
      <w:contextualSpacing/>
    </w:pPr>
  </w:style>
  <w:style w:type="paragraph" w:styleId="Liste2">
    <w:name w:val="List 2"/>
    <w:basedOn w:val="Normal"/>
    <w:uiPriority w:val="99"/>
    <w:semiHidden/>
    <w:unhideWhenUsed/>
    <w:rsid w:val="00782937"/>
    <w:pPr>
      <w:ind w:left="566" w:hanging="283"/>
      <w:contextualSpacing/>
    </w:pPr>
  </w:style>
  <w:style w:type="paragraph" w:styleId="Liste3">
    <w:name w:val="List 3"/>
    <w:basedOn w:val="Normal"/>
    <w:uiPriority w:val="99"/>
    <w:semiHidden/>
    <w:unhideWhenUsed/>
    <w:rsid w:val="00782937"/>
    <w:pPr>
      <w:ind w:left="849" w:hanging="283"/>
      <w:contextualSpacing/>
    </w:pPr>
  </w:style>
  <w:style w:type="paragraph" w:styleId="Liste4">
    <w:name w:val="List 4"/>
    <w:basedOn w:val="Normal"/>
    <w:uiPriority w:val="99"/>
    <w:semiHidden/>
    <w:unhideWhenUsed/>
    <w:rsid w:val="00782937"/>
    <w:pPr>
      <w:ind w:left="1132" w:hanging="283"/>
      <w:contextualSpacing/>
    </w:pPr>
  </w:style>
  <w:style w:type="paragraph" w:styleId="Liste5">
    <w:name w:val="List 5"/>
    <w:basedOn w:val="Normal"/>
    <w:uiPriority w:val="99"/>
    <w:semiHidden/>
    <w:unhideWhenUsed/>
    <w:rsid w:val="00782937"/>
    <w:pPr>
      <w:ind w:left="1415" w:hanging="283"/>
      <w:contextualSpacing/>
    </w:pPr>
  </w:style>
  <w:style w:type="paragraph" w:styleId="Listeoverfigurer">
    <w:name w:val="table of figures"/>
    <w:basedOn w:val="Normal"/>
    <w:next w:val="Normal"/>
    <w:uiPriority w:val="99"/>
    <w:semiHidden/>
    <w:unhideWhenUsed/>
    <w:rsid w:val="00782937"/>
  </w:style>
  <w:style w:type="paragraph" w:styleId="Listeafsnit">
    <w:name w:val="List Paragraph"/>
    <w:basedOn w:val="Normal"/>
    <w:uiPriority w:val="34"/>
    <w:qFormat/>
    <w:rsid w:val="00782937"/>
    <w:pPr>
      <w:ind w:left="720"/>
      <w:contextualSpacing/>
    </w:pPr>
  </w:style>
  <w:style w:type="paragraph" w:styleId="Mailsignatur">
    <w:name w:val="E-mail Signature"/>
    <w:basedOn w:val="Normal"/>
    <w:link w:val="MailsignaturTegn"/>
    <w:uiPriority w:val="99"/>
    <w:semiHidden/>
    <w:unhideWhenUsed/>
    <w:rsid w:val="00782937"/>
    <w:pPr>
      <w:spacing w:line="240" w:lineRule="auto"/>
    </w:pPr>
  </w:style>
  <w:style w:type="character" w:customStyle="1" w:styleId="MailsignaturTegn">
    <w:name w:val="Mailsignatur Tegn"/>
    <w:basedOn w:val="Standardskrifttypeiafsnit"/>
    <w:link w:val="Mailsignatur"/>
    <w:uiPriority w:val="99"/>
    <w:semiHidden/>
    <w:rsid w:val="00782937"/>
    <w:rPr>
      <w:rFonts w:ascii="Verdana" w:eastAsia="Times New Roman" w:hAnsi="Verdana" w:cs="Times New Roman"/>
      <w:sz w:val="19"/>
      <w:szCs w:val="20"/>
      <w:lang w:eastAsia="da-DK"/>
    </w:rPr>
  </w:style>
  <w:style w:type="paragraph" w:styleId="Makrotekst">
    <w:name w:val="macro"/>
    <w:link w:val="MakrotekstTegn"/>
    <w:uiPriority w:val="99"/>
    <w:semiHidden/>
    <w:unhideWhenUsed/>
    <w:rsid w:val="00782937"/>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782937"/>
    <w:rPr>
      <w:rFonts w:ascii="Consolas" w:eastAsia="Times New Roman" w:hAnsi="Consolas" w:cs="Times New Roman"/>
      <w:sz w:val="20"/>
      <w:szCs w:val="20"/>
      <w:lang w:eastAsia="da-DK"/>
    </w:rPr>
  </w:style>
  <w:style w:type="paragraph" w:styleId="Modtageradresse">
    <w:name w:val="envelope address"/>
    <w:basedOn w:val="Normal"/>
    <w:uiPriority w:val="99"/>
    <w:semiHidden/>
    <w:unhideWhenUsed/>
    <w:rsid w:val="0078293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782937"/>
    <w:rPr>
      <w:rFonts w:ascii="Times New Roman" w:hAnsi="Times New Roman"/>
      <w:sz w:val="24"/>
      <w:szCs w:val="24"/>
    </w:rPr>
  </w:style>
  <w:style w:type="paragraph" w:styleId="Noteoverskrift">
    <w:name w:val="Note Heading"/>
    <w:basedOn w:val="Normal"/>
    <w:next w:val="Normal"/>
    <w:link w:val="NoteoverskriftTegn"/>
    <w:uiPriority w:val="99"/>
    <w:semiHidden/>
    <w:unhideWhenUsed/>
    <w:rsid w:val="00782937"/>
    <w:pPr>
      <w:spacing w:line="240" w:lineRule="auto"/>
    </w:pPr>
  </w:style>
  <w:style w:type="character" w:customStyle="1" w:styleId="NoteoverskriftTegn">
    <w:name w:val="Noteoverskrift Tegn"/>
    <w:basedOn w:val="Standardskrifttypeiafsnit"/>
    <w:link w:val="Noteoverskrift"/>
    <w:uiPriority w:val="99"/>
    <w:semiHidden/>
    <w:rsid w:val="00782937"/>
    <w:rPr>
      <w:rFonts w:ascii="Verdana" w:eastAsia="Times New Roman" w:hAnsi="Verdana" w:cs="Times New Roman"/>
      <w:sz w:val="19"/>
      <w:szCs w:val="20"/>
      <w:lang w:eastAsia="da-DK"/>
    </w:rPr>
  </w:style>
  <w:style w:type="character" w:styleId="Omtal">
    <w:name w:val="Mention"/>
    <w:basedOn w:val="Standardskrifttypeiafsnit"/>
    <w:uiPriority w:val="99"/>
    <w:semiHidden/>
    <w:unhideWhenUsed/>
    <w:rsid w:val="00782937"/>
    <w:rPr>
      <w:color w:val="2B579A"/>
      <w:shd w:val="clear" w:color="auto" w:fill="E1DFDD"/>
    </w:rPr>
  </w:style>
  <w:style w:type="paragraph" w:styleId="Opstilling-forts">
    <w:name w:val="List Continue"/>
    <w:basedOn w:val="Normal"/>
    <w:uiPriority w:val="99"/>
    <w:semiHidden/>
    <w:unhideWhenUsed/>
    <w:rsid w:val="00782937"/>
    <w:pPr>
      <w:spacing w:after="120"/>
      <w:ind w:left="283"/>
      <w:contextualSpacing/>
    </w:pPr>
  </w:style>
  <w:style w:type="paragraph" w:styleId="Opstilling-forts2">
    <w:name w:val="List Continue 2"/>
    <w:basedOn w:val="Normal"/>
    <w:uiPriority w:val="99"/>
    <w:semiHidden/>
    <w:unhideWhenUsed/>
    <w:rsid w:val="00782937"/>
    <w:pPr>
      <w:spacing w:after="120"/>
      <w:ind w:left="566"/>
      <w:contextualSpacing/>
    </w:pPr>
  </w:style>
  <w:style w:type="paragraph" w:styleId="Opstilling-forts3">
    <w:name w:val="List Continue 3"/>
    <w:basedOn w:val="Normal"/>
    <w:uiPriority w:val="99"/>
    <w:semiHidden/>
    <w:unhideWhenUsed/>
    <w:rsid w:val="00782937"/>
    <w:pPr>
      <w:spacing w:after="120"/>
      <w:ind w:left="849"/>
      <w:contextualSpacing/>
    </w:pPr>
  </w:style>
  <w:style w:type="paragraph" w:styleId="Opstilling-forts4">
    <w:name w:val="List Continue 4"/>
    <w:basedOn w:val="Normal"/>
    <w:uiPriority w:val="99"/>
    <w:semiHidden/>
    <w:unhideWhenUsed/>
    <w:rsid w:val="00782937"/>
    <w:pPr>
      <w:spacing w:after="120"/>
      <w:ind w:left="1132"/>
      <w:contextualSpacing/>
    </w:pPr>
  </w:style>
  <w:style w:type="paragraph" w:styleId="Opstilling-forts5">
    <w:name w:val="List Continue 5"/>
    <w:basedOn w:val="Normal"/>
    <w:uiPriority w:val="99"/>
    <w:semiHidden/>
    <w:unhideWhenUsed/>
    <w:rsid w:val="00782937"/>
    <w:pPr>
      <w:spacing w:after="120"/>
      <w:ind w:left="1415"/>
      <w:contextualSpacing/>
    </w:pPr>
  </w:style>
  <w:style w:type="paragraph" w:styleId="Opstilling-punkttegn">
    <w:name w:val="List Bullet"/>
    <w:basedOn w:val="Normal"/>
    <w:uiPriority w:val="99"/>
    <w:semiHidden/>
    <w:unhideWhenUsed/>
    <w:rsid w:val="00782937"/>
    <w:pPr>
      <w:numPr>
        <w:numId w:val="1"/>
      </w:numPr>
      <w:contextualSpacing/>
    </w:pPr>
  </w:style>
  <w:style w:type="paragraph" w:styleId="Opstilling-punkttegn2">
    <w:name w:val="List Bullet 2"/>
    <w:basedOn w:val="Normal"/>
    <w:uiPriority w:val="99"/>
    <w:semiHidden/>
    <w:unhideWhenUsed/>
    <w:rsid w:val="00782937"/>
    <w:pPr>
      <w:numPr>
        <w:numId w:val="2"/>
      </w:numPr>
      <w:contextualSpacing/>
    </w:pPr>
  </w:style>
  <w:style w:type="paragraph" w:styleId="Opstilling-punkttegn3">
    <w:name w:val="List Bullet 3"/>
    <w:basedOn w:val="Normal"/>
    <w:uiPriority w:val="99"/>
    <w:semiHidden/>
    <w:unhideWhenUsed/>
    <w:rsid w:val="00782937"/>
    <w:pPr>
      <w:numPr>
        <w:numId w:val="3"/>
      </w:numPr>
      <w:contextualSpacing/>
    </w:pPr>
  </w:style>
  <w:style w:type="paragraph" w:styleId="Opstilling-punkttegn4">
    <w:name w:val="List Bullet 4"/>
    <w:basedOn w:val="Normal"/>
    <w:uiPriority w:val="99"/>
    <w:semiHidden/>
    <w:unhideWhenUsed/>
    <w:rsid w:val="00782937"/>
    <w:pPr>
      <w:numPr>
        <w:numId w:val="4"/>
      </w:numPr>
      <w:contextualSpacing/>
    </w:pPr>
  </w:style>
  <w:style w:type="paragraph" w:styleId="Opstilling-punkttegn5">
    <w:name w:val="List Bullet 5"/>
    <w:basedOn w:val="Normal"/>
    <w:uiPriority w:val="99"/>
    <w:semiHidden/>
    <w:unhideWhenUsed/>
    <w:rsid w:val="00782937"/>
    <w:pPr>
      <w:numPr>
        <w:numId w:val="5"/>
      </w:numPr>
      <w:contextualSpacing/>
    </w:pPr>
  </w:style>
  <w:style w:type="paragraph" w:styleId="Opstilling-talellerbogst">
    <w:name w:val="List Number"/>
    <w:basedOn w:val="Normal"/>
    <w:uiPriority w:val="99"/>
    <w:semiHidden/>
    <w:unhideWhenUsed/>
    <w:rsid w:val="00782937"/>
    <w:pPr>
      <w:numPr>
        <w:numId w:val="6"/>
      </w:numPr>
      <w:contextualSpacing/>
    </w:pPr>
  </w:style>
  <w:style w:type="paragraph" w:styleId="Opstilling-talellerbogst2">
    <w:name w:val="List Number 2"/>
    <w:basedOn w:val="Normal"/>
    <w:uiPriority w:val="99"/>
    <w:semiHidden/>
    <w:unhideWhenUsed/>
    <w:rsid w:val="00782937"/>
    <w:pPr>
      <w:numPr>
        <w:numId w:val="7"/>
      </w:numPr>
      <w:contextualSpacing/>
    </w:pPr>
  </w:style>
  <w:style w:type="paragraph" w:styleId="Opstilling-talellerbogst3">
    <w:name w:val="List Number 3"/>
    <w:basedOn w:val="Normal"/>
    <w:uiPriority w:val="99"/>
    <w:semiHidden/>
    <w:unhideWhenUsed/>
    <w:rsid w:val="00782937"/>
    <w:pPr>
      <w:numPr>
        <w:numId w:val="8"/>
      </w:numPr>
      <w:contextualSpacing/>
    </w:pPr>
  </w:style>
  <w:style w:type="paragraph" w:styleId="Opstilling-talellerbogst4">
    <w:name w:val="List Number 4"/>
    <w:basedOn w:val="Normal"/>
    <w:uiPriority w:val="99"/>
    <w:semiHidden/>
    <w:unhideWhenUsed/>
    <w:rsid w:val="00782937"/>
    <w:pPr>
      <w:numPr>
        <w:numId w:val="9"/>
      </w:numPr>
      <w:contextualSpacing/>
    </w:pPr>
  </w:style>
  <w:style w:type="paragraph" w:styleId="Opstilling-talellerbogst5">
    <w:name w:val="List Number 5"/>
    <w:basedOn w:val="Normal"/>
    <w:uiPriority w:val="99"/>
    <w:semiHidden/>
    <w:unhideWhenUsed/>
    <w:rsid w:val="00782937"/>
    <w:pPr>
      <w:numPr>
        <w:numId w:val="10"/>
      </w:numPr>
      <w:contextualSpacing/>
    </w:pPr>
  </w:style>
  <w:style w:type="paragraph" w:styleId="Overskrift">
    <w:name w:val="TOC Heading"/>
    <w:basedOn w:val="Overskrift1"/>
    <w:next w:val="Normal"/>
    <w:uiPriority w:val="39"/>
    <w:unhideWhenUsed/>
    <w:qFormat/>
    <w:rsid w:val="00782937"/>
    <w:pPr>
      <w:keepNext/>
      <w:keepLines/>
      <w:spacing w:before="240" w:line="240" w:lineRule="atLeast"/>
      <w:outlineLvl w:val="9"/>
    </w:pPr>
    <w:rPr>
      <w:rFonts w:asciiTheme="majorHAnsi" w:eastAsiaTheme="majorEastAsia" w:hAnsiTheme="majorHAnsi" w:cstheme="majorBidi"/>
      <w:b w:val="0"/>
      <w:color w:val="365F91" w:themeColor="accent1" w:themeShade="BF"/>
      <w:sz w:val="32"/>
      <w:szCs w:val="32"/>
    </w:rPr>
  </w:style>
  <w:style w:type="character" w:customStyle="1" w:styleId="Overskrift4Tegn">
    <w:name w:val="Overskrift 4 Tegn"/>
    <w:basedOn w:val="Standardskrifttypeiafsnit"/>
    <w:link w:val="Overskrift4"/>
    <w:semiHidden/>
    <w:rsid w:val="00782937"/>
    <w:rPr>
      <w:rFonts w:asciiTheme="majorHAnsi" w:eastAsiaTheme="majorEastAsia" w:hAnsiTheme="majorHAnsi" w:cstheme="majorBidi"/>
      <w:i/>
      <w:iCs/>
      <w:color w:val="365F91" w:themeColor="accent1" w:themeShade="BF"/>
      <w:sz w:val="19"/>
      <w:szCs w:val="20"/>
      <w:lang w:eastAsia="da-DK"/>
    </w:rPr>
  </w:style>
  <w:style w:type="character" w:customStyle="1" w:styleId="Overskrift5Tegn">
    <w:name w:val="Overskrift 5 Tegn"/>
    <w:basedOn w:val="Standardskrifttypeiafsnit"/>
    <w:link w:val="Overskrift5"/>
    <w:semiHidden/>
    <w:rsid w:val="00782937"/>
    <w:rPr>
      <w:rFonts w:asciiTheme="majorHAnsi" w:eastAsiaTheme="majorEastAsia" w:hAnsiTheme="majorHAnsi" w:cstheme="majorBidi"/>
      <w:color w:val="365F91" w:themeColor="accent1" w:themeShade="BF"/>
      <w:sz w:val="19"/>
      <w:szCs w:val="20"/>
      <w:lang w:eastAsia="da-DK"/>
    </w:rPr>
  </w:style>
  <w:style w:type="character" w:customStyle="1" w:styleId="Overskrift6Tegn">
    <w:name w:val="Overskrift 6 Tegn"/>
    <w:basedOn w:val="Standardskrifttypeiafsnit"/>
    <w:link w:val="Overskrift6"/>
    <w:semiHidden/>
    <w:rsid w:val="00782937"/>
    <w:rPr>
      <w:rFonts w:asciiTheme="majorHAnsi" w:eastAsiaTheme="majorEastAsia" w:hAnsiTheme="majorHAnsi" w:cstheme="majorBidi"/>
      <w:color w:val="243F60" w:themeColor="accent1" w:themeShade="7F"/>
      <w:sz w:val="19"/>
      <w:szCs w:val="20"/>
      <w:lang w:eastAsia="da-DK"/>
    </w:rPr>
  </w:style>
  <w:style w:type="character" w:customStyle="1" w:styleId="Overskrift7Tegn">
    <w:name w:val="Overskrift 7 Tegn"/>
    <w:basedOn w:val="Standardskrifttypeiafsnit"/>
    <w:link w:val="Overskrift7"/>
    <w:semiHidden/>
    <w:rsid w:val="00782937"/>
    <w:rPr>
      <w:rFonts w:asciiTheme="majorHAnsi" w:eastAsiaTheme="majorEastAsia" w:hAnsiTheme="majorHAnsi" w:cstheme="majorBidi"/>
      <w:i/>
      <w:iCs/>
      <w:color w:val="243F60" w:themeColor="accent1" w:themeShade="7F"/>
      <w:sz w:val="19"/>
      <w:szCs w:val="20"/>
      <w:lang w:eastAsia="da-DK"/>
    </w:rPr>
  </w:style>
  <w:style w:type="character" w:customStyle="1" w:styleId="Overskrift8Tegn">
    <w:name w:val="Overskrift 8 Tegn"/>
    <w:basedOn w:val="Standardskrifttypeiafsnit"/>
    <w:link w:val="Overskrift8"/>
    <w:semiHidden/>
    <w:rsid w:val="00782937"/>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semiHidden/>
    <w:rsid w:val="00782937"/>
    <w:rPr>
      <w:rFonts w:asciiTheme="majorHAnsi" w:eastAsiaTheme="majorEastAsia" w:hAnsiTheme="majorHAnsi" w:cstheme="majorBidi"/>
      <w:i/>
      <w:iCs/>
      <w:color w:val="272727" w:themeColor="text1" w:themeTint="D8"/>
      <w:sz w:val="21"/>
      <w:szCs w:val="21"/>
      <w:lang w:eastAsia="da-DK"/>
    </w:rPr>
  </w:style>
  <w:style w:type="character" w:styleId="Pladsholdertekst">
    <w:name w:val="Placeholder Text"/>
    <w:basedOn w:val="Standardskrifttypeiafsnit"/>
    <w:uiPriority w:val="99"/>
    <w:semiHidden/>
    <w:rsid w:val="00782937"/>
    <w:rPr>
      <w:color w:val="808080"/>
    </w:rPr>
  </w:style>
  <w:style w:type="paragraph" w:styleId="Sluthilsen">
    <w:name w:val="Closing"/>
    <w:basedOn w:val="Normal"/>
    <w:link w:val="SluthilsenTegn"/>
    <w:uiPriority w:val="99"/>
    <w:semiHidden/>
    <w:unhideWhenUsed/>
    <w:rsid w:val="00782937"/>
    <w:pPr>
      <w:spacing w:line="240" w:lineRule="auto"/>
      <w:ind w:left="4252"/>
    </w:pPr>
  </w:style>
  <w:style w:type="character" w:customStyle="1" w:styleId="SluthilsenTegn">
    <w:name w:val="Sluthilsen Tegn"/>
    <w:basedOn w:val="Standardskrifttypeiafsnit"/>
    <w:link w:val="Sluthilsen"/>
    <w:uiPriority w:val="99"/>
    <w:semiHidden/>
    <w:rsid w:val="00782937"/>
    <w:rPr>
      <w:rFonts w:ascii="Verdana" w:eastAsia="Times New Roman" w:hAnsi="Verdana" w:cs="Times New Roman"/>
      <w:sz w:val="19"/>
      <w:szCs w:val="20"/>
      <w:lang w:eastAsia="da-DK"/>
    </w:rPr>
  </w:style>
  <w:style w:type="character" w:styleId="Slutnotehenvisning">
    <w:name w:val="endnote reference"/>
    <w:basedOn w:val="Standardskrifttypeiafsnit"/>
    <w:uiPriority w:val="99"/>
    <w:semiHidden/>
    <w:unhideWhenUsed/>
    <w:rsid w:val="00782937"/>
    <w:rPr>
      <w:vertAlign w:val="superscript"/>
    </w:rPr>
  </w:style>
  <w:style w:type="paragraph" w:styleId="Slutnotetekst">
    <w:name w:val="endnote text"/>
    <w:basedOn w:val="Normal"/>
    <w:link w:val="SlutnotetekstTegn"/>
    <w:uiPriority w:val="99"/>
    <w:semiHidden/>
    <w:unhideWhenUsed/>
    <w:rsid w:val="00782937"/>
    <w:pPr>
      <w:spacing w:line="240" w:lineRule="auto"/>
    </w:pPr>
    <w:rPr>
      <w:sz w:val="20"/>
    </w:rPr>
  </w:style>
  <w:style w:type="character" w:customStyle="1" w:styleId="SlutnotetekstTegn">
    <w:name w:val="Slutnotetekst Tegn"/>
    <w:basedOn w:val="Standardskrifttypeiafsnit"/>
    <w:link w:val="Slutnotetekst"/>
    <w:uiPriority w:val="99"/>
    <w:semiHidden/>
    <w:rsid w:val="00782937"/>
    <w:rPr>
      <w:rFonts w:ascii="Verdana" w:eastAsia="Times New Roman" w:hAnsi="Verdana" w:cs="Times New Roman"/>
      <w:sz w:val="20"/>
      <w:szCs w:val="20"/>
      <w:lang w:eastAsia="da-DK"/>
    </w:rPr>
  </w:style>
  <w:style w:type="character" w:styleId="SmartHyperlink">
    <w:name w:val="Smart Hyperlink"/>
    <w:basedOn w:val="Standardskrifttypeiafsnit"/>
    <w:uiPriority w:val="99"/>
    <w:semiHidden/>
    <w:unhideWhenUsed/>
    <w:rsid w:val="00782937"/>
    <w:rPr>
      <w:u w:val="dotted"/>
    </w:rPr>
  </w:style>
  <w:style w:type="paragraph" w:styleId="Starthilsen">
    <w:name w:val="Salutation"/>
    <w:basedOn w:val="Normal"/>
    <w:next w:val="Normal"/>
    <w:link w:val="StarthilsenTegn"/>
    <w:uiPriority w:val="99"/>
    <w:semiHidden/>
    <w:unhideWhenUsed/>
    <w:rsid w:val="00782937"/>
  </w:style>
  <w:style w:type="character" w:customStyle="1" w:styleId="StarthilsenTegn">
    <w:name w:val="Starthilsen Tegn"/>
    <w:basedOn w:val="Standardskrifttypeiafsnit"/>
    <w:link w:val="Starthilsen"/>
    <w:uiPriority w:val="99"/>
    <w:semiHidden/>
    <w:rsid w:val="00782937"/>
    <w:rPr>
      <w:rFonts w:ascii="Verdana" w:eastAsia="Times New Roman" w:hAnsi="Verdana" w:cs="Times New Roman"/>
      <w:sz w:val="19"/>
      <w:szCs w:val="20"/>
      <w:lang w:eastAsia="da-DK"/>
    </w:rPr>
  </w:style>
  <w:style w:type="character" w:styleId="Strk">
    <w:name w:val="Strong"/>
    <w:basedOn w:val="Standardskrifttypeiafsnit"/>
    <w:uiPriority w:val="22"/>
    <w:rsid w:val="00782937"/>
    <w:rPr>
      <w:b/>
      <w:bCs/>
    </w:rPr>
  </w:style>
  <w:style w:type="paragraph" w:styleId="Strktcitat">
    <w:name w:val="Intense Quote"/>
    <w:basedOn w:val="Normal"/>
    <w:next w:val="Normal"/>
    <w:link w:val="StrktcitatTegn"/>
    <w:uiPriority w:val="30"/>
    <w:rsid w:val="007829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782937"/>
    <w:rPr>
      <w:rFonts w:ascii="Verdana" w:eastAsia="Times New Roman" w:hAnsi="Verdana" w:cs="Times New Roman"/>
      <w:i/>
      <w:iCs/>
      <w:color w:val="4F81BD" w:themeColor="accent1"/>
      <w:sz w:val="19"/>
      <w:szCs w:val="20"/>
      <w:lang w:eastAsia="da-DK"/>
    </w:rPr>
  </w:style>
  <w:style w:type="character" w:styleId="Svagfremhvning">
    <w:name w:val="Subtle Emphasis"/>
    <w:basedOn w:val="Standardskrifttypeiafsnit"/>
    <w:uiPriority w:val="19"/>
    <w:rsid w:val="00782937"/>
    <w:rPr>
      <w:i/>
      <w:iCs/>
      <w:color w:val="404040" w:themeColor="text1" w:themeTint="BF"/>
    </w:rPr>
  </w:style>
  <w:style w:type="character" w:styleId="Svaghenvisning">
    <w:name w:val="Subtle Reference"/>
    <w:basedOn w:val="Standardskrifttypeiafsnit"/>
    <w:uiPriority w:val="31"/>
    <w:rsid w:val="00782937"/>
    <w:rPr>
      <w:smallCaps/>
      <w:color w:val="5A5A5A" w:themeColor="text1" w:themeTint="A5"/>
    </w:rPr>
  </w:style>
  <w:style w:type="paragraph" w:styleId="Titel">
    <w:name w:val="Title"/>
    <w:basedOn w:val="Normal"/>
    <w:next w:val="Normal"/>
    <w:link w:val="TitelTegn"/>
    <w:uiPriority w:val="10"/>
    <w:rsid w:val="0078293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2937"/>
    <w:rPr>
      <w:rFonts w:asciiTheme="majorHAnsi" w:eastAsiaTheme="majorEastAsia" w:hAnsiTheme="majorHAnsi" w:cstheme="majorBidi"/>
      <w:spacing w:val="-10"/>
      <w:kern w:val="28"/>
      <w:sz w:val="56"/>
      <w:szCs w:val="56"/>
      <w:lang w:eastAsia="da-DK"/>
    </w:rPr>
  </w:style>
  <w:style w:type="character" w:styleId="Ulstomtale">
    <w:name w:val="Unresolved Mention"/>
    <w:basedOn w:val="Standardskrifttypeiafsnit"/>
    <w:uiPriority w:val="99"/>
    <w:semiHidden/>
    <w:unhideWhenUsed/>
    <w:rsid w:val="00782937"/>
    <w:rPr>
      <w:color w:val="605E5C"/>
      <w:shd w:val="clear" w:color="auto" w:fill="E1DFDD"/>
    </w:rPr>
  </w:style>
  <w:style w:type="paragraph" w:styleId="Underskrift">
    <w:name w:val="Signature"/>
    <w:basedOn w:val="Normal"/>
    <w:link w:val="UnderskriftTegn"/>
    <w:uiPriority w:val="99"/>
    <w:semiHidden/>
    <w:unhideWhenUsed/>
    <w:rsid w:val="00782937"/>
    <w:pPr>
      <w:spacing w:line="240" w:lineRule="auto"/>
      <w:ind w:left="4252"/>
    </w:pPr>
  </w:style>
  <w:style w:type="character" w:customStyle="1" w:styleId="UnderskriftTegn">
    <w:name w:val="Underskrift Tegn"/>
    <w:basedOn w:val="Standardskrifttypeiafsnit"/>
    <w:link w:val="Underskrift"/>
    <w:uiPriority w:val="99"/>
    <w:semiHidden/>
    <w:rsid w:val="00782937"/>
    <w:rPr>
      <w:rFonts w:ascii="Verdana" w:eastAsia="Times New Roman" w:hAnsi="Verdana" w:cs="Times New Roman"/>
      <w:sz w:val="19"/>
      <w:szCs w:val="20"/>
      <w:lang w:eastAsia="da-DK"/>
    </w:rPr>
  </w:style>
  <w:style w:type="paragraph" w:styleId="Undertitel">
    <w:name w:val="Subtitle"/>
    <w:basedOn w:val="Normal"/>
    <w:next w:val="Normal"/>
    <w:link w:val="UndertitelTegn"/>
    <w:uiPriority w:val="11"/>
    <w:rsid w:val="007829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782937"/>
    <w:rPr>
      <w:rFonts w:eastAsiaTheme="minorEastAsia"/>
      <w:color w:val="5A5A5A" w:themeColor="text1" w:themeTint="A5"/>
      <w:spacing w:val="15"/>
      <w:lang w:eastAsia="da-DK"/>
    </w:rPr>
  </w:style>
  <w:style w:type="numbering" w:customStyle="1" w:styleId="Ingenoversigt1">
    <w:name w:val="Ingen oversigt1"/>
    <w:next w:val="Ingenoversigt"/>
    <w:uiPriority w:val="99"/>
    <w:semiHidden/>
    <w:unhideWhenUsed/>
    <w:rsid w:val="000B6712"/>
  </w:style>
  <w:style w:type="paragraph" w:customStyle="1" w:styleId="msonormal0">
    <w:name w:val="msonormal"/>
    <w:basedOn w:val="Normal"/>
    <w:rsid w:val="000B6712"/>
    <w:pPr>
      <w:spacing w:before="100" w:beforeAutospacing="1" w:after="100" w:afterAutospacing="1" w:line="240" w:lineRule="auto"/>
    </w:pPr>
    <w:rPr>
      <w:rFonts w:ascii="Times New Roman" w:hAnsi="Times New Roman"/>
      <w:sz w:val="24"/>
      <w:szCs w:val="24"/>
    </w:rPr>
  </w:style>
  <w:style w:type="character" w:customStyle="1" w:styleId="Indholdsfortegnelse1Tegn">
    <w:name w:val="Indholdsfortegnelse 1 Tegn"/>
    <w:basedOn w:val="Standardskrifttypeiafsnit"/>
    <w:link w:val="Indholdsfortegnelse1"/>
    <w:uiPriority w:val="39"/>
    <w:semiHidden/>
    <w:locked/>
    <w:rsid w:val="000B6712"/>
    <w:rPr>
      <w:rFonts w:ascii="Verdana" w:eastAsia="Times New Roman" w:hAnsi="Verdana" w:cs="Times New Roman"/>
      <w:sz w:val="19"/>
      <w:szCs w:val="20"/>
      <w:lang w:eastAsia="da-DK"/>
    </w:rPr>
  </w:style>
  <w:style w:type="character" w:customStyle="1" w:styleId="Indholdsfortegnelse2Tegn">
    <w:name w:val="Indholdsfortegnelse 2 Tegn"/>
    <w:basedOn w:val="Standardskrifttypeiafsnit"/>
    <w:link w:val="Indholdsfortegnelse2"/>
    <w:uiPriority w:val="39"/>
    <w:semiHidden/>
    <w:locked/>
    <w:rsid w:val="000B6712"/>
    <w:rPr>
      <w:rFonts w:ascii="Times New Roman" w:eastAsia="Times New Roman" w:hAnsi="Times New Roman" w:cs="Times New Roman"/>
      <w:sz w:val="19"/>
      <w:szCs w:val="20"/>
      <w:lang w:eastAsia="da-DK"/>
    </w:rPr>
  </w:style>
  <w:style w:type="paragraph" w:styleId="Korrektur">
    <w:name w:val="Revision"/>
    <w:uiPriority w:val="99"/>
    <w:semiHidden/>
    <w:rsid w:val="000B6712"/>
    <w:pPr>
      <w:spacing w:after="0" w:line="240" w:lineRule="auto"/>
    </w:pPr>
    <w:rPr>
      <w:rFonts w:ascii="Verdana" w:eastAsia="Times New Roman" w:hAnsi="Verdana" w:cs="Times New Roman"/>
      <w:sz w:val="19"/>
      <w:szCs w:val="20"/>
      <w:lang w:eastAsia="da-DK"/>
    </w:rPr>
  </w:style>
  <w:style w:type="paragraph" w:customStyle="1" w:styleId="tabeltekst">
    <w:name w:val="tabeltekst"/>
    <w:basedOn w:val="Normal"/>
    <w:rsid w:val="000B6712"/>
    <w:pPr>
      <w:spacing w:line="240" w:lineRule="auto"/>
    </w:pPr>
    <w:rPr>
      <w:rFonts w:ascii="Tahoma" w:hAnsi="Tahoma" w:cs="Tahoma"/>
      <w:color w:val="000000"/>
      <w:sz w:val="24"/>
      <w:szCs w:val="24"/>
    </w:rPr>
  </w:style>
  <w:style w:type="paragraph" w:customStyle="1" w:styleId="Default">
    <w:name w:val="Default"/>
    <w:rsid w:val="000B6712"/>
    <w:pPr>
      <w:autoSpaceDE w:val="0"/>
      <w:autoSpaceDN w:val="0"/>
      <w:adjustRightInd w:val="0"/>
      <w:spacing w:after="0" w:line="240" w:lineRule="auto"/>
    </w:pPr>
    <w:rPr>
      <w:rFonts w:ascii="Verdana" w:eastAsia="Times New Roman" w:hAnsi="Verdana" w:cs="Verdana"/>
      <w:color w:val="000000"/>
      <w:sz w:val="24"/>
      <w:szCs w:val="24"/>
      <w:lang w:eastAsia="da-DK"/>
    </w:rPr>
  </w:style>
  <w:style w:type="character" w:customStyle="1" w:styleId="TestTegn">
    <w:name w:val="Test Tegn"/>
    <w:basedOn w:val="Overskrift2Tegn"/>
    <w:link w:val="Test"/>
    <w:locked/>
    <w:rsid w:val="000B6712"/>
    <w:rPr>
      <w:rFonts w:ascii="Verdana" w:eastAsia="Times New Roman" w:hAnsi="Verdana" w:cs="Times New Roman"/>
      <w:b/>
      <w:sz w:val="19"/>
      <w:szCs w:val="24"/>
      <w:lang w:eastAsia="da-DK"/>
    </w:rPr>
  </w:style>
  <w:style w:type="paragraph" w:customStyle="1" w:styleId="Test">
    <w:name w:val="Test"/>
    <w:basedOn w:val="Normal"/>
    <w:link w:val="TestTegn"/>
    <w:rsid w:val="000B6712"/>
    <w:pPr>
      <w:numPr>
        <w:numId w:val="11"/>
      </w:numPr>
    </w:pPr>
    <w:rPr>
      <w:b/>
      <w:szCs w:val="24"/>
    </w:rPr>
  </w:style>
  <w:style w:type="paragraph" w:customStyle="1" w:styleId="Typografi1">
    <w:name w:val="Typografi1"/>
    <w:basedOn w:val="Overskrift2"/>
    <w:rsid w:val="000B6712"/>
    <w:pPr>
      <w:tabs>
        <w:tab w:val="num" w:pos="567"/>
      </w:tabs>
      <w:ind w:left="576" w:hanging="576"/>
    </w:pPr>
  </w:style>
  <w:style w:type="paragraph" w:customStyle="1" w:styleId="Typografi2">
    <w:name w:val="Typografi2"/>
    <w:basedOn w:val="Overskrift3"/>
    <w:rsid w:val="000B6712"/>
    <w:pPr>
      <w:tabs>
        <w:tab w:val="num" w:pos="1146"/>
      </w:tabs>
      <w:ind w:left="1146" w:hanging="720"/>
    </w:pPr>
    <w:rPr>
      <w:u w:val="none"/>
    </w:rPr>
  </w:style>
  <w:style w:type="paragraph" w:customStyle="1" w:styleId="Lsevejledning">
    <w:name w:val="Læsevejledning"/>
    <w:basedOn w:val="Normal"/>
    <w:rsid w:val="000B6712"/>
    <w:pPr>
      <w:spacing w:line="240" w:lineRule="auto"/>
      <w:jc w:val="both"/>
    </w:pPr>
    <w:rPr>
      <w:rFonts w:ascii="Times New Roman" w:hAnsi="Times New Roman"/>
      <w:spacing w:val="-3"/>
      <w:sz w:val="24"/>
    </w:rPr>
  </w:style>
  <w:style w:type="paragraph" w:customStyle="1" w:styleId="Stamoplysninger">
    <w:name w:val="Stamoplysninger"/>
    <w:basedOn w:val="Normal"/>
    <w:rsid w:val="000B6712"/>
    <w:pPr>
      <w:spacing w:line="240" w:lineRule="auto"/>
      <w:jc w:val="both"/>
    </w:pPr>
    <w:rPr>
      <w:rFonts w:ascii="Times New Roman" w:hAnsi="Times New Roman"/>
      <w:sz w:val="20"/>
    </w:rPr>
  </w:style>
  <w:style w:type="paragraph" w:customStyle="1" w:styleId="liste10">
    <w:name w:val="liste1"/>
    <w:basedOn w:val="Normal"/>
    <w:rsid w:val="000B6712"/>
    <w:pPr>
      <w:spacing w:line="240" w:lineRule="auto"/>
      <w:ind w:left="280"/>
    </w:pPr>
    <w:rPr>
      <w:rFonts w:ascii="Tahoma" w:hAnsi="Tahoma" w:cs="Tahoma"/>
      <w:color w:val="000000"/>
      <w:sz w:val="24"/>
      <w:szCs w:val="24"/>
    </w:rPr>
  </w:style>
  <w:style w:type="paragraph" w:customStyle="1" w:styleId="tekstoverskriftvenstre">
    <w:name w:val="tekstoverskriftvenstre"/>
    <w:basedOn w:val="Normal"/>
    <w:rsid w:val="000B6712"/>
    <w:pPr>
      <w:keepNext/>
      <w:spacing w:before="240" w:line="240" w:lineRule="auto"/>
    </w:pPr>
    <w:rPr>
      <w:rFonts w:ascii="Tahoma" w:hAnsi="Tahoma" w:cs="Tahoma"/>
      <w:i/>
      <w:iCs/>
      <w:color w:val="000000"/>
      <w:sz w:val="24"/>
      <w:szCs w:val="24"/>
    </w:rPr>
  </w:style>
  <w:style w:type="paragraph" w:customStyle="1" w:styleId="tekstv">
    <w:name w:val="tekstv"/>
    <w:basedOn w:val="Normal"/>
    <w:rsid w:val="000B6712"/>
    <w:pPr>
      <w:spacing w:before="60" w:after="60" w:line="240" w:lineRule="auto"/>
      <w:jc w:val="both"/>
    </w:pPr>
    <w:rPr>
      <w:rFonts w:ascii="Tahoma" w:hAnsi="Tahoma" w:cs="Tahoma"/>
      <w:color w:val="000000"/>
      <w:sz w:val="24"/>
      <w:szCs w:val="24"/>
    </w:rPr>
  </w:style>
  <w:style w:type="paragraph" w:customStyle="1" w:styleId="liste20">
    <w:name w:val="liste2"/>
    <w:basedOn w:val="Normal"/>
    <w:rsid w:val="000B6712"/>
    <w:pPr>
      <w:spacing w:line="240" w:lineRule="auto"/>
      <w:ind w:left="560"/>
    </w:pPr>
    <w:rPr>
      <w:rFonts w:ascii="Tahoma" w:hAnsi="Tahoma" w:cs="Tahoma"/>
      <w:color w:val="000000"/>
      <w:sz w:val="24"/>
      <w:szCs w:val="24"/>
    </w:rPr>
  </w:style>
  <w:style w:type="paragraph" w:customStyle="1" w:styleId="TypografiFedLinjeafstandenkelt">
    <w:name w:val="Typografi Fed Linjeafstand:  enkelt"/>
    <w:basedOn w:val="Normal"/>
    <w:rsid w:val="000B6712"/>
    <w:pPr>
      <w:spacing w:line="240" w:lineRule="auto"/>
    </w:pPr>
    <w:rPr>
      <w:b/>
      <w:bCs/>
      <w:sz w:val="24"/>
    </w:rPr>
  </w:style>
  <w:style w:type="character" w:customStyle="1" w:styleId="testTegn0">
    <w:name w:val="test Tegn"/>
    <w:basedOn w:val="Standardskrifttypeiafsnit"/>
    <w:link w:val="test0"/>
    <w:locked/>
    <w:rsid w:val="000B6712"/>
    <w:rPr>
      <w:rFonts w:ascii="Verdana" w:hAnsi="Verdana"/>
      <w:noProof/>
      <w:sz w:val="19"/>
    </w:rPr>
  </w:style>
  <w:style w:type="paragraph" w:customStyle="1" w:styleId="test0">
    <w:name w:val="test"/>
    <w:basedOn w:val="Normal"/>
    <w:link w:val="testTegn0"/>
    <w:rsid w:val="000B6712"/>
    <w:pPr>
      <w:tabs>
        <w:tab w:val="right" w:pos="9072"/>
      </w:tabs>
    </w:pPr>
    <w:rPr>
      <w:rFonts w:eastAsiaTheme="minorHAnsi" w:cstheme="minorBidi"/>
      <w:noProof/>
      <w:szCs w:val="22"/>
      <w:lang w:eastAsia="en-US"/>
    </w:rPr>
  </w:style>
  <w:style w:type="character" w:customStyle="1" w:styleId="GE-nummerlisteTegn">
    <w:name w:val="GE-nummerliste Tegn"/>
    <w:link w:val="GE-nummerliste"/>
    <w:locked/>
    <w:rsid w:val="000B6712"/>
    <w:rPr>
      <w:rFonts w:ascii="Verdana" w:eastAsia="Verdana" w:hAnsi="Verdana"/>
    </w:rPr>
  </w:style>
  <w:style w:type="paragraph" w:customStyle="1" w:styleId="GE-nummerliste">
    <w:name w:val="GE-nummerliste"/>
    <w:basedOn w:val="Normal"/>
    <w:link w:val="GE-nummerlisteTegn"/>
    <w:rsid w:val="000B6712"/>
    <w:pPr>
      <w:numPr>
        <w:numId w:val="12"/>
      </w:numPr>
      <w:spacing w:before="120" w:line="240" w:lineRule="auto"/>
    </w:pPr>
    <w:rPr>
      <w:rFonts w:eastAsia="Verdana" w:cstheme="minorBidi"/>
      <w:sz w:val="22"/>
      <w:szCs w:val="22"/>
      <w:lang w:eastAsia="en-US"/>
    </w:rPr>
  </w:style>
  <w:style w:type="paragraph" w:customStyle="1" w:styleId="kitabletxt1">
    <w:name w:val="kitabletxt1"/>
    <w:basedOn w:val="Normal"/>
    <w:rsid w:val="000B6712"/>
    <w:pPr>
      <w:spacing w:line="240" w:lineRule="auto"/>
    </w:pPr>
    <w:rPr>
      <w:rFonts w:ascii="Times New Roman" w:hAnsi="Times New Roman"/>
      <w:sz w:val="24"/>
      <w:szCs w:val="24"/>
    </w:rPr>
  </w:style>
  <w:style w:type="character" w:customStyle="1" w:styleId="superscript1">
    <w:name w:val="superscript1"/>
    <w:basedOn w:val="Standardskrifttypeiafsnit"/>
    <w:rsid w:val="000B6712"/>
    <w:rPr>
      <w:rFonts w:ascii="Tahoma" w:hAnsi="Tahoma" w:cs="Tahoma" w:hint="default"/>
      <w:color w:val="000000"/>
      <w:sz w:val="17"/>
      <w:szCs w:val="17"/>
      <w:vertAlign w:val="superscript"/>
    </w:rPr>
  </w:style>
  <w:style w:type="character" w:customStyle="1" w:styleId="liste1nr1">
    <w:name w:val="liste1nr1"/>
    <w:basedOn w:val="Standardskrifttypeiafsnit"/>
    <w:rsid w:val="000B6712"/>
    <w:rPr>
      <w:rFonts w:ascii="Tahoma" w:hAnsi="Tahoma" w:cs="Tahoma" w:hint="default"/>
      <w:color w:val="000000"/>
      <w:sz w:val="24"/>
      <w:szCs w:val="24"/>
    </w:rPr>
  </w:style>
  <w:style w:type="character" w:customStyle="1" w:styleId="bold1">
    <w:name w:val="bold1"/>
    <w:basedOn w:val="Standardskrifttypeiafsnit"/>
    <w:rsid w:val="000B6712"/>
    <w:rPr>
      <w:rFonts w:ascii="Tahoma" w:hAnsi="Tahoma" w:cs="Tahoma" w:hint="default"/>
      <w:b/>
      <w:bCs/>
      <w:color w:val="000000"/>
      <w:sz w:val="24"/>
      <w:szCs w:val="24"/>
    </w:rPr>
  </w:style>
  <w:style w:type="character" w:customStyle="1" w:styleId="boldsuperscript">
    <w:name w:val="bold superscript"/>
    <w:basedOn w:val="Standardskrifttypeiafsnit"/>
    <w:rsid w:val="000B6712"/>
    <w:rPr>
      <w:rFonts w:ascii="Tahoma" w:hAnsi="Tahoma" w:cs="Tahoma" w:hint="default"/>
      <w:color w:val="000000"/>
      <w:sz w:val="24"/>
      <w:szCs w:val="24"/>
    </w:rPr>
  </w:style>
  <w:style w:type="character" w:customStyle="1" w:styleId="liste2nr1">
    <w:name w:val="liste2nr1"/>
    <w:basedOn w:val="Standardskrifttypeiafsnit"/>
    <w:rsid w:val="000B6712"/>
    <w:rPr>
      <w:rFonts w:ascii="Tahoma" w:hAnsi="Tahoma" w:cs="Tahoma" w:hint="default"/>
      <w:color w:val="000000"/>
      <w:sz w:val="24"/>
      <w:szCs w:val="24"/>
    </w:rPr>
  </w:style>
  <w:style w:type="character" w:customStyle="1" w:styleId="st4">
    <w:name w:val="st4"/>
    <w:basedOn w:val="Standardskrifttypeiafsnit"/>
    <w:rsid w:val="000B6712"/>
  </w:style>
  <w:style w:type="character" w:customStyle="1" w:styleId="kortnavn2">
    <w:name w:val="kortnavn2"/>
    <w:basedOn w:val="Standardskrifttypeiafsnit"/>
    <w:rsid w:val="000B6712"/>
    <w:rPr>
      <w:rFonts w:ascii="Tahoma" w:hAnsi="Tahoma" w:cs="Tahoma" w:hint="default"/>
      <w:color w:val="000000"/>
      <w:sz w:val="24"/>
      <w:szCs w:val="24"/>
    </w:rPr>
  </w:style>
  <w:style w:type="character" w:customStyle="1" w:styleId="s1">
    <w:name w:val="s1"/>
    <w:rsid w:val="0009521C"/>
  </w:style>
  <w:style w:type="character" w:customStyle="1" w:styleId="liste1nr">
    <w:name w:val="liste1nr"/>
    <w:basedOn w:val="Standardskrifttypeiafsnit"/>
    <w:rsid w:val="0053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00948">
      <w:bodyDiv w:val="1"/>
      <w:marLeft w:val="0"/>
      <w:marRight w:val="0"/>
      <w:marTop w:val="0"/>
      <w:marBottom w:val="0"/>
      <w:divBdr>
        <w:top w:val="none" w:sz="0" w:space="0" w:color="auto"/>
        <w:left w:val="none" w:sz="0" w:space="0" w:color="auto"/>
        <w:bottom w:val="none" w:sz="0" w:space="0" w:color="auto"/>
        <w:right w:val="none" w:sz="0" w:space="0" w:color="auto"/>
      </w:divBdr>
    </w:div>
    <w:div w:id="1133209919">
      <w:bodyDiv w:val="1"/>
      <w:marLeft w:val="0"/>
      <w:marRight w:val="0"/>
      <w:marTop w:val="0"/>
      <w:marBottom w:val="0"/>
      <w:divBdr>
        <w:top w:val="none" w:sz="0" w:space="0" w:color="auto"/>
        <w:left w:val="none" w:sz="0" w:space="0" w:color="auto"/>
        <w:bottom w:val="none" w:sz="0" w:space="0" w:color="auto"/>
        <w:right w:val="none" w:sz="0" w:space="0" w:color="auto"/>
      </w:divBdr>
    </w:div>
    <w:div w:id="1352681021">
      <w:bodyDiv w:val="1"/>
      <w:marLeft w:val="0"/>
      <w:marRight w:val="0"/>
      <w:marTop w:val="0"/>
      <w:marBottom w:val="0"/>
      <w:divBdr>
        <w:top w:val="none" w:sz="0" w:space="0" w:color="auto"/>
        <w:left w:val="none" w:sz="0" w:space="0" w:color="auto"/>
        <w:bottom w:val="none" w:sz="0" w:space="0" w:color="auto"/>
        <w:right w:val="none" w:sz="0" w:space="0" w:color="auto"/>
      </w:divBdr>
    </w:div>
    <w:div w:id="1598827791">
      <w:bodyDiv w:val="1"/>
      <w:marLeft w:val="0"/>
      <w:marRight w:val="0"/>
      <w:marTop w:val="0"/>
      <w:marBottom w:val="0"/>
      <w:divBdr>
        <w:top w:val="none" w:sz="0" w:space="0" w:color="auto"/>
        <w:left w:val="none" w:sz="0" w:space="0" w:color="auto"/>
        <w:bottom w:val="none" w:sz="0" w:space="0" w:color="auto"/>
        <w:right w:val="none" w:sz="0" w:space="0" w:color="auto"/>
      </w:divBdr>
    </w:div>
    <w:div w:id="1647852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lab.d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nab@microsoft.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www2.rh.htk.dk/Byraadscenter/Design/Logo_1_primaer_4F/HTK_Logo%202007_RGB.jpg" TargetMode="External"/><Relationship Id="rId14"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0348-A31A-4BD8-AC87-424953AA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16148</Words>
  <Characters>97535</Characters>
  <Application>Microsoft Office Word</Application>
  <DocSecurity>4</DocSecurity>
  <Lines>2566</Lines>
  <Paragraphs>947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UDKAST til miljøgodkendelse, Microsoft, Bohus Boulevard 2</vt:lpstr>
      <vt:lpstr>UDKAST til miljøgodkendelse, Microsoft, Bohus Boulevard 2</vt:lpstr>
    </vt:vector>
  </TitlesOfParts>
  <Company/>
  <LinksUpToDate>false</LinksUpToDate>
  <CharactersWithSpaces>112736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til miljøgodkendelse, Microsoft, Bohus Boulevard 2</dc:title>
  <dc:subject/>
  <dc:creator>majbrittoes</dc:creator>
  <cp:keywords/>
  <dc:description/>
  <cp:lastModifiedBy>Majbritt Østersø</cp:lastModifiedBy>
  <cp:revision>2</cp:revision>
  <cp:lastPrinted>2022-11-23T07:25:00Z</cp:lastPrinted>
  <dcterms:created xsi:type="dcterms:W3CDTF">2026-03-16T08:27:00Z</dcterms:created>
  <dcterms:modified xsi:type="dcterms:W3CDTF">2026-03-16T08:27:00Z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{F23571AB-EAA6-48D1-9558-92AB72E91BFA}</vt:lpwstr>
  </property>
  <property fmtid="{D5CDD505-2E9C-101B-9397-08002B2CF9AE}" pid="3" name="MSIP_Label_43f08ec5-d6d9-4227-8387-ccbfcb3632c4_Enabled">
    <vt:lpwstr>true</vt:lpwstr>
  </property>
  <property fmtid="{D5CDD505-2E9C-101B-9397-08002B2CF9AE}" pid="4" name="MSIP_Label_43f08ec5-d6d9-4227-8387-ccbfcb3632c4_SetDate">
    <vt:lpwstr>2022-11-30T10:03:45Z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37dbceaf-90ee-404b-87f1-14b1a86a8d07</vt:lpwstr>
  </property>
  <property fmtid="{D5CDD505-2E9C-101B-9397-08002B2CF9AE}" pid="9" name="MSIP_Label_43f08ec5-d6d9-4227-8387-ccbfcb3632c4_ContentBits">
    <vt:lpwstr>0</vt:lpwstr>
  </property>
</Properties>
</file>