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46A0" w14:textId="4425FD79" w:rsidR="00B72FB8" w:rsidRPr="001E290E" w:rsidRDefault="00254849" w:rsidP="00B72FB8">
      <w:pPr>
        <w:spacing w:line="14" w:lineRule="exact"/>
      </w:pPr>
      <w:r>
        <w:t>2</w:t>
      </w: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1E290E" w14:paraId="7BD2D0D9" w14:textId="77777777" w:rsidTr="00B72FB8">
        <w:trPr>
          <w:trHeight w:val="2892"/>
        </w:trPr>
        <w:tc>
          <w:tcPr>
            <w:tcW w:w="5982" w:type="dxa"/>
            <w:tcBorders>
              <w:top w:val="nil"/>
              <w:left w:val="nil"/>
              <w:bottom w:val="nil"/>
              <w:right w:val="nil"/>
            </w:tcBorders>
          </w:tcPr>
          <w:p w14:paraId="03ADB8FE" w14:textId="77777777" w:rsidR="009A42D5" w:rsidRDefault="001E290E" w:rsidP="00DA75B6">
            <w:r>
              <w:t>Marielyst Vognmandsforretning A/S</w:t>
            </w:r>
          </w:p>
          <w:p w14:paraId="60267CF3" w14:textId="77777777" w:rsidR="001E290E" w:rsidRDefault="001E290E" w:rsidP="00DA75B6">
            <w:r>
              <w:t>Marielyst Strandvej 3 B</w:t>
            </w:r>
          </w:p>
          <w:p w14:paraId="2E6C9B22" w14:textId="77777777" w:rsidR="001E290E" w:rsidRDefault="001E290E" w:rsidP="00DA75B6">
            <w:r>
              <w:t>4873 Væggerløse</w:t>
            </w:r>
          </w:p>
          <w:p w14:paraId="5D2095AD" w14:textId="77777777" w:rsidR="001E290E" w:rsidRDefault="001E290E" w:rsidP="00DA75B6"/>
          <w:p w14:paraId="74585571" w14:textId="17BB1F54" w:rsidR="001E290E" w:rsidRPr="001E290E" w:rsidRDefault="001E290E" w:rsidP="00DA75B6">
            <w:r>
              <w:t>CVR nr. 21770000</w:t>
            </w:r>
          </w:p>
        </w:tc>
      </w:tr>
    </w:tbl>
    <w:p w14:paraId="61A31E53" w14:textId="0FB64EB1" w:rsidR="00487019" w:rsidRPr="001E290E" w:rsidRDefault="001E290E" w:rsidP="007D541E">
      <w:pPr>
        <w:pStyle w:val="Overskrift1"/>
      </w:pPr>
      <w:r>
        <w:t>Tillæg til miljøgodkendelse</w:t>
      </w:r>
    </w:p>
    <w:p w14:paraId="49CF3BFB" w14:textId="2DBDA7EF" w:rsidR="00951656" w:rsidRDefault="001E290E" w:rsidP="007D541E">
      <w:r>
        <w:t>Guldborgsund Kommune meddelte d. 31. maj 2011 miljøgodkendelse til sortering og neddeling af bygningsaffald på Marielyst Strandvej 3, 4873 Væggerløse.</w:t>
      </w:r>
    </w:p>
    <w:p w14:paraId="390751AD" w14:textId="77777777" w:rsidR="001E290E" w:rsidRDefault="001E290E" w:rsidP="007D541E"/>
    <w:p w14:paraId="55BF7D86" w14:textId="56F82095" w:rsidR="001E290E" w:rsidRDefault="001E290E" w:rsidP="007D541E">
      <w:r>
        <w:t>I ansøgningsmaterialet var der ikke søgt om oplag af nedknust asfalt, men aktiviteten har fundet sted i alle årene efter meddelelsen af miljøgodkendelsen. Det er nu aftalt, at forholdet skal lovliggøres med et tillæg til eksisterende miljøgodkendelse.</w:t>
      </w:r>
      <w:r w:rsidR="00254849">
        <w:t xml:space="preserve"> Ved samme lejlighed er der bedt om at få hævet det maksimale oplag af </w:t>
      </w:r>
      <w:r w:rsidR="00C94780">
        <w:t>b</w:t>
      </w:r>
      <w:r w:rsidR="00254849">
        <w:t>landet bygnings- og nedrivningsaffald fra 11,5 tons til 40 tons.</w:t>
      </w:r>
    </w:p>
    <w:p w14:paraId="043C5293" w14:textId="77777777" w:rsidR="001E290E" w:rsidRDefault="001E290E" w:rsidP="007D541E"/>
    <w:p w14:paraId="1BE36E21" w14:textId="3C6BE4EF" w:rsidR="001E290E" w:rsidRDefault="001E290E" w:rsidP="007D541E">
      <w:r>
        <w:t xml:space="preserve">I vilkår 5 i miljøgodkendelse til Marielyst Vognmandsforretning A/S af </w:t>
      </w:r>
      <w:r w:rsidR="00C94780">
        <w:t>31</w:t>
      </w:r>
      <w:r>
        <w:t>. maj 2011 tilføjes hermed 700 tons knust asfalt</w:t>
      </w:r>
      <w:r w:rsidR="00C94780">
        <w:t>,</w:t>
      </w:r>
      <w:r w:rsidR="00254849">
        <w:t xml:space="preserve"> og det maksimale oplag af blandet bygnings- og nedrivningsaffald øges til 40 ton</w:t>
      </w:r>
      <w:r>
        <w:t>. Dvs. vilkår 5 fremover har følgende ordlyd:</w:t>
      </w:r>
    </w:p>
    <w:p w14:paraId="6EEF7459" w14:textId="77777777" w:rsidR="001E290E" w:rsidRDefault="001E290E" w:rsidP="007D541E"/>
    <w:p w14:paraId="575CCEA4" w14:textId="4BE130A0" w:rsidR="001E290E" w:rsidRPr="00B94742" w:rsidRDefault="001E290E" w:rsidP="007D541E">
      <w:pPr>
        <w:rPr>
          <w:b/>
          <w:bCs/>
        </w:rPr>
      </w:pPr>
      <w:r w:rsidRPr="00B94742">
        <w:rPr>
          <w:b/>
          <w:bCs/>
        </w:rPr>
        <w:t>Virksomheden må kun modtage de i tabel 1 nævnte affaldsarter / -fraktioner og oplagene må ikke overskride de angivne mængder:</w:t>
      </w:r>
    </w:p>
    <w:p w14:paraId="57DA6317" w14:textId="77777777" w:rsidR="001E290E" w:rsidRPr="00B94742" w:rsidRDefault="001E290E" w:rsidP="007D541E">
      <w:pPr>
        <w:rPr>
          <w:b/>
          <w:bCs/>
        </w:rPr>
      </w:pPr>
      <w:r w:rsidRPr="00B94742">
        <w:rPr>
          <w:b/>
          <w:bCs/>
        </w:rPr>
        <w:t>Tabel 1</w:t>
      </w:r>
    </w:p>
    <w:tbl>
      <w:tblPr>
        <w:tblStyle w:val="Tabel-Gitter"/>
        <w:tblW w:w="0" w:type="auto"/>
        <w:tblLook w:val="04A0" w:firstRow="1" w:lastRow="0" w:firstColumn="1" w:lastColumn="0" w:noHBand="0" w:noVBand="1"/>
      </w:tblPr>
      <w:tblGrid>
        <w:gridCol w:w="2802"/>
        <w:gridCol w:w="3402"/>
        <w:gridCol w:w="1476"/>
      </w:tblGrid>
      <w:tr w:rsidR="001E290E" w:rsidRPr="00B94742" w14:paraId="2BD7050D" w14:textId="77777777" w:rsidTr="00B94742">
        <w:tc>
          <w:tcPr>
            <w:tcW w:w="2802" w:type="dxa"/>
          </w:tcPr>
          <w:p w14:paraId="4A81BE3B" w14:textId="04CCB917" w:rsidR="001E290E" w:rsidRPr="00B94742" w:rsidRDefault="001E290E" w:rsidP="007D541E">
            <w:pPr>
              <w:rPr>
                <w:b/>
                <w:bCs/>
              </w:rPr>
            </w:pPr>
            <w:r w:rsidRPr="00B94742">
              <w:rPr>
                <w:b/>
                <w:bCs/>
              </w:rPr>
              <w:t>Affaldsart / affaldsfraktion</w:t>
            </w:r>
          </w:p>
        </w:tc>
        <w:tc>
          <w:tcPr>
            <w:tcW w:w="3402" w:type="dxa"/>
          </w:tcPr>
          <w:p w14:paraId="6E6BB9F8" w14:textId="30D4F5B3" w:rsidR="001E290E" w:rsidRPr="00B94742" w:rsidRDefault="001E290E" w:rsidP="007D541E">
            <w:pPr>
              <w:rPr>
                <w:b/>
                <w:bCs/>
              </w:rPr>
            </w:pPr>
            <w:r w:rsidRPr="00B94742">
              <w:rPr>
                <w:b/>
                <w:bCs/>
              </w:rPr>
              <w:t>Maksimalt oplag for væsentlige affaldsarter / affaldsfraktioner</w:t>
            </w:r>
          </w:p>
        </w:tc>
        <w:tc>
          <w:tcPr>
            <w:tcW w:w="1476" w:type="dxa"/>
          </w:tcPr>
          <w:p w14:paraId="722FD28A" w14:textId="77777777" w:rsidR="001E290E" w:rsidRPr="00B94742" w:rsidRDefault="001E290E" w:rsidP="007D541E">
            <w:pPr>
              <w:rPr>
                <w:b/>
                <w:bCs/>
              </w:rPr>
            </w:pPr>
            <w:r w:rsidRPr="00B94742">
              <w:rPr>
                <w:b/>
                <w:bCs/>
              </w:rPr>
              <w:t>EAK-kode</w:t>
            </w:r>
          </w:p>
          <w:p w14:paraId="35CA4572" w14:textId="4F25A4CB" w:rsidR="001E290E" w:rsidRPr="00B94742" w:rsidRDefault="001E290E" w:rsidP="007D541E">
            <w:pPr>
              <w:rPr>
                <w:b/>
                <w:bCs/>
              </w:rPr>
            </w:pPr>
          </w:p>
        </w:tc>
      </w:tr>
      <w:tr w:rsidR="001E290E" w:rsidRPr="00B94742" w14:paraId="54CE6240" w14:textId="77777777" w:rsidTr="00B94742">
        <w:tc>
          <w:tcPr>
            <w:tcW w:w="2802" w:type="dxa"/>
          </w:tcPr>
          <w:p w14:paraId="72E98701" w14:textId="1BD9FBAB" w:rsidR="001E290E" w:rsidRPr="00B94742" w:rsidRDefault="001E290E" w:rsidP="007D541E">
            <w:pPr>
              <w:rPr>
                <w:b/>
                <w:bCs/>
              </w:rPr>
            </w:pPr>
            <w:r w:rsidRPr="00B94742">
              <w:rPr>
                <w:b/>
                <w:bCs/>
              </w:rPr>
              <w:t>Beton</w:t>
            </w:r>
          </w:p>
        </w:tc>
        <w:tc>
          <w:tcPr>
            <w:tcW w:w="3402" w:type="dxa"/>
          </w:tcPr>
          <w:p w14:paraId="03ED35EA" w14:textId="20453D1A" w:rsidR="001E290E" w:rsidRPr="00B94742" w:rsidRDefault="00B94742" w:rsidP="007D541E">
            <w:pPr>
              <w:rPr>
                <w:b/>
                <w:bCs/>
              </w:rPr>
            </w:pPr>
            <w:r w:rsidRPr="00B94742">
              <w:rPr>
                <w:b/>
                <w:bCs/>
              </w:rPr>
              <w:t>5.600 tons</w:t>
            </w:r>
          </w:p>
        </w:tc>
        <w:tc>
          <w:tcPr>
            <w:tcW w:w="1476" w:type="dxa"/>
          </w:tcPr>
          <w:p w14:paraId="3E3A11EC" w14:textId="0C5D0F51" w:rsidR="001E290E" w:rsidRPr="00B94742" w:rsidRDefault="00B94742" w:rsidP="007D541E">
            <w:pPr>
              <w:rPr>
                <w:b/>
                <w:bCs/>
              </w:rPr>
            </w:pPr>
            <w:r w:rsidRPr="00B94742">
              <w:rPr>
                <w:b/>
                <w:bCs/>
              </w:rPr>
              <w:t>17 01 01</w:t>
            </w:r>
          </w:p>
        </w:tc>
      </w:tr>
      <w:tr w:rsidR="001E290E" w:rsidRPr="00B94742" w14:paraId="3DB17B45" w14:textId="77777777" w:rsidTr="00B94742">
        <w:tc>
          <w:tcPr>
            <w:tcW w:w="2802" w:type="dxa"/>
          </w:tcPr>
          <w:p w14:paraId="0C9C1116" w14:textId="38F22B15" w:rsidR="001E290E" w:rsidRPr="00B94742" w:rsidRDefault="00B94742" w:rsidP="007D541E">
            <w:pPr>
              <w:rPr>
                <w:b/>
                <w:bCs/>
              </w:rPr>
            </w:pPr>
            <w:r w:rsidRPr="00B94742">
              <w:rPr>
                <w:b/>
                <w:bCs/>
              </w:rPr>
              <w:t>Mursten</w:t>
            </w:r>
          </w:p>
        </w:tc>
        <w:tc>
          <w:tcPr>
            <w:tcW w:w="3402" w:type="dxa"/>
          </w:tcPr>
          <w:p w14:paraId="5A4838AE" w14:textId="0A9D6D3E" w:rsidR="001E290E" w:rsidRPr="00B94742" w:rsidRDefault="00B94742" w:rsidP="007D541E">
            <w:pPr>
              <w:rPr>
                <w:b/>
                <w:bCs/>
              </w:rPr>
            </w:pPr>
            <w:r w:rsidRPr="00B94742">
              <w:rPr>
                <w:b/>
                <w:bCs/>
              </w:rPr>
              <w:t>2.800 tons</w:t>
            </w:r>
          </w:p>
        </w:tc>
        <w:tc>
          <w:tcPr>
            <w:tcW w:w="1476" w:type="dxa"/>
          </w:tcPr>
          <w:p w14:paraId="1FB35430" w14:textId="69CAA391" w:rsidR="001E290E" w:rsidRPr="00B94742" w:rsidRDefault="00B94742" w:rsidP="007D541E">
            <w:pPr>
              <w:rPr>
                <w:b/>
                <w:bCs/>
              </w:rPr>
            </w:pPr>
            <w:r w:rsidRPr="00B94742">
              <w:rPr>
                <w:b/>
                <w:bCs/>
              </w:rPr>
              <w:t>17 01 02</w:t>
            </w:r>
          </w:p>
        </w:tc>
      </w:tr>
      <w:tr w:rsidR="001E290E" w:rsidRPr="00B94742" w14:paraId="398F3924" w14:textId="77777777" w:rsidTr="00B94742">
        <w:tc>
          <w:tcPr>
            <w:tcW w:w="2802" w:type="dxa"/>
          </w:tcPr>
          <w:p w14:paraId="5CD2EAFE" w14:textId="3A56C5DF" w:rsidR="001E290E" w:rsidRPr="00B94742" w:rsidRDefault="00B94742" w:rsidP="007D541E">
            <w:pPr>
              <w:rPr>
                <w:b/>
                <w:bCs/>
              </w:rPr>
            </w:pPr>
            <w:r w:rsidRPr="00B94742">
              <w:rPr>
                <w:b/>
                <w:bCs/>
              </w:rPr>
              <w:t>Træ, nedbrydningstømmer</w:t>
            </w:r>
          </w:p>
        </w:tc>
        <w:tc>
          <w:tcPr>
            <w:tcW w:w="3402" w:type="dxa"/>
          </w:tcPr>
          <w:p w14:paraId="228E05D1" w14:textId="650398BF" w:rsidR="001E290E" w:rsidRPr="00B94742" w:rsidRDefault="00B94742" w:rsidP="007D541E">
            <w:pPr>
              <w:rPr>
                <w:b/>
                <w:bCs/>
              </w:rPr>
            </w:pPr>
            <w:r w:rsidRPr="00B94742">
              <w:rPr>
                <w:b/>
                <w:bCs/>
              </w:rPr>
              <w:t>2.000 m</w:t>
            </w:r>
            <w:r w:rsidRPr="00B94742">
              <w:rPr>
                <w:b/>
                <w:bCs/>
                <w:vertAlign w:val="superscript"/>
              </w:rPr>
              <w:t>3</w:t>
            </w:r>
          </w:p>
        </w:tc>
        <w:tc>
          <w:tcPr>
            <w:tcW w:w="1476" w:type="dxa"/>
          </w:tcPr>
          <w:p w14:paraId="3D81D9D9" w14:textId="4DCC5661" w:rsidR="001E290E" w:rsidRPr="00B94742" w:rsidRDefault="00B94742" w:rsidP="007D541E">
            <w:pPr>
              <w:rPr>
                <w:b/>
                <w:bCs/>
              </w:rPr>
            </w:pPr>
            <w:r w:rsidRPr="00B94742">
              <w:rPr>
                <w:b/>
                <w:bCs/>
              </w:rPr>
              <w:t>17 02 01</w:t>
            </w:r>
          </w:p>
        </w:tc>
      </w:tr>
      <w:tr w:rsidR="001E290E" w:rsidRPr="00B94742" w14:paraId="0B651C0F" w14:textId="77777777" w:rsidTr="00B94742">
        <w:tc>
          <w:tcPr>
            <w:tcW w:w="2802" w:type="dxa"/>
          </w:tcPr>
          <w:p w14:paraId="468FF5B7" w14:textId="5ABB60DB" w:rsidR="001E290E" w:rsidRPr="00B94742" w:rsidRDefault="00B94742" w:rsidP="007D541E">
            <w:pPr>
              <w:rPr>
                <w:b/>
                <w:bCs/>
              </w:rPr>
            </w:pPr>
            <w:r w:rsidRPr="00B94742">
              <w:rPr>
                <w:b/>
                <w:bCs/>
              </w:rPr>
              <w:t>Blandet metal</w:t>
            </w:r>
          </w:p>
        </w:tc>
        <w:tc>
          <w:tcPr>
            <w:tcW w:w="3402" w:type="dxa"/>
          </w:tcPr>
          <w:p w14:paraId="1BD24CF1" w14:textId="599BFB18" w:rsidR="001E290E" w:rsidRPr="00B94742" w:rsidRDefault="00B94742" w:rsidP="007D541E">
            <w:pPr>
              <w:rPr>
                <w:b/>
                <w:bCs/>
              </w:rPr>
            </w:pPr>
            <w:r w:rsidRPr="00B94742">
              <w:rPr>
                <w:b/>
                <w:bCs/>
              </w:rPr>
              <w:t>18 tons</w:t>
            </w:r>
          </w:p>
        </w:tc>
        <w:tc>
          <w:tcPr>
            <w:tcW w:w="1476" w:type="dxa"/>
          </w:tcPr>
          <w:p w14:paraId="6DDE7CC2" w14:textId="46FC06F0" w:rsidR="001E290E" w:rsidRPr="00B94742" w:rsidRDefault="00B94742" w:rsidP="007D541E">
            <w:pPr>
              <w:rPr>
                <w:b/>
                <w:bCs/>
              </w:rPr>
            </w:pPr>
            <w:r w:rsidRPr="00B94742">
              <w:rPr>
                <w:b/>
                <w:bCs/>
              </w:rPr>
              <w:t>17 04 05</w:t>
            </w:r>
          </w:p>
        </w:tc>
      </w:tr>
      <w:tr w:rsidR="001E290E" w:rsidRPr="00B94742" w14:paraId="31FCEAD7" w14:textId="77777777" w:rsidTr="00B94742">
        <w:tc>
          <w:tcPr>
            <w:tcW w:w="2802" w:type="dxa"/>
          </w:tcPr>
          <w:p w14:paraId="40F22F69" w14:textId="54A96F54" w:rsidR="001E290E" w:rsidRPr="00B94742" w:rsidRDefault="00B94742" w:rsidP="007D541E">
            <w:pPr>
              <w:rPr>
                <w:b/>
                <w:bCs/>
              </w:rPr>
            </w:pPr>
            <w:r w:rsidRPr="00B94742">
              <w:rPr>
                <w:b/>
                <w:bCs/>
              </w:rPr>
              <w:t>Isolationsmateriale</w:t>
            </w:r>
          </w:p>
        </w:tc>
        <w:tc>
          <w:tcPr>
            <w:tcW w:w="3402" w:type="dxa"/>
          </w:tcPr>
          <w:p w14:paraId="26119F52" w14:textId="761A68B3" w:rsidR="001E290E" w:rsidRPr="00B94742" w:rsidRDefault="00B94742" w:rsidP="007D541E">
            <w:pPr>
              <w:rPr>
                <w:b/>
                <w:bCs/>
              </w:rPr>
            </w:pPr>
            <w:r w:rsidRPr="00B94742">
              <w:rPr>
                <w:b/>
                <w:bCs/>
              </w:rPr>
              <w:t>2 tons</w:t>
            </w:r>
          </w:p>
        </w:tc>
        <w:tc>
          <w:tcPr>
            <w:tcW w:w="1476" w:type="dxa"/>
          </w:tcPr>
          <w:p w14:paraId="0D19CDE8" w14:textId="3F95C8B2" w:rsidR="001E290E" w:rsidRPr="00B94742" w:rsidRDefault="00B94742" w:rsidP="007D541E">
            <w:pPr>
              <w:rPr>
                <w:b/>
                <w:bCs/>
              </w:rPr>
            </w:pPr>
            <w:r w:rsidRPr="00B94742">
              <w:rPr>
                <w:b/>
                <w:bCs/>
              </w:rPr>
              <w:t>17 06 04</w:t>
            </w:r>
          </w:p>
        </w:tc>
      </w:tr>
      <w:tr w:rsidR="001E290E" w:rsidRPr="00B94742" w14:paraId="525074EE" w14:textId="77777777" w:rsidTr="00B94742">
        <w:tc>
          <w:tcPr>
            <w:tcW w:w="2802" w:type="dxa"/>
          </w:tcPr>
          <w:p w14:paraId="4EC9FE5D" w14:textId="0C4EDF97" w:rsidR="001E290E" w:rsidRPr="00B94742" w:rsidRDefault="00B94742" w:rsidP="007D541E">
            <w:pPr>
              <w:rPr>
                <w:b/>
                <w:bCs/>
              </w:rPr>
            </w:pPr>
            <w:r w:rsidRPr="00B94742">
              <w:rPr>
                <w:b/>
                <w:bCs/>
              </w:rPr>
              <w:t>Blandet bygnings- og nedrivningsaffald</w:t>
            </w:r>
          </w:p>
        </w:tc>
        <w:tc>
          <w:tcPr>
            <w:tcW w:w="3402" w:type="dxa"/>
          </w:tcPr>
          <w:p w14:paraId="363021D5" w14:textId="1060810B" w:rsidR="001E290E" w:rsidRPr="00B94742" w:rsidRDefault="00254849" w:rsidP="007D541E">
            <w:pPr>
              <w:rPr>
                <w:b/>
                <w:bCs/>
              </w:rPr>
            </w:pPr>
            <w:r>
              <w:rPr>
                <w:b/>
                <w:bCs/>
              </w:rPr>
              <w:t>40</w:t>
            </w:r>
            <w:r w:rsidR="00B94742" w:rsidRPr="00B94742">
              <w:rPr>
                <w:b/>
                <w:bCs/>
              </w:rPr>
              <w:t xml:space="preserve"> tons</w:t>
            </w:r>
          </w:p>
        </w:tc>
        <w:tc>
          <w:tcPr>
            <w:tcW w:w="1476" w:type="dxa"/>
          </w:tcPr>
          <w:p w14:paraId="6F8EBF5E" w14:textId="1B02C082" w:rsidR="001E290E" w:rsidRPr="00B94742" w:rsidRDefault="00B94742" w:rsidP="007D541E">
            <w:pPr>
              <w:rPr>
                <w:b/>
                <w:bCs/>
              </w:rPr>
            </w:pPr>
            <w:r w:rsidRPr="00B94742">
              <w:rPr>
                <w:b/>
                <w:bCs/>
              </w:rPr>
              <w:t>17 09 04</w:t>
            </w:r>
          </w:p>
        </w:tc>
      </w:tr>
      <w:tr w:rsidR="001E290E" w:rsidRPr="00B94742" w14:paraId="760EB424" w14:textId="77777777" w:rsidTr="00B94742">
        <w:tc>
          <w:tcPr>
            <w:tcW w:w="2802" w:type="dxa"/>
          </w:tcPr>
          <w:p w14:paraId="73A2AAFF" w14:textId="4C31BE65" w:rsidR="001E290E" w:rsidRPr="00B94742" w:rsidRDefault="00B94742" w:rsidP="007D541E">
            <w:pPr>
              <w:rPr>
                <w:b/>
                <w:bCs/>
              </w:rPr>
            </w:pPr>
            <w:r w:rsidRPr="00B94742">
              <w:rPr>
                <w:b/>
                <w:bCs/>
              </w:rPr>
              <w:t>Knust asfalt</w:t>
            </w:r>
          </w:p>
        </w:tc>
        <w:tc>
          <w:tcPr>
            <w:tcW w:w="3402" w:type="dxa"/>
          </w:tcPr>
          <w:p w14:paraId="4286DEFD" w14:textId="1A79D2EC" w:rsidR="001E290E" w:rsidRPr="00B94742" w:rsidRDefault="00B94742" w:rsidP="007D541E">
            <w:pPr>
              <w:rPr>
                <w:b/>
                <w:bCs/>
              </w:rPr>
            </w:pPr>
            <w:r w:rsidRPr="00B94742">
              <w:rPr>
                <w:b/>
                <w:bCs/>
              </w:rPr>
              <w:t>700 tons</w:t>
            </w:r>
          </w:p>
        </w:tc>
        <w:tc>
          <w:tcPr>
            <w:tcW w:w="1476" w:type="dxa"/>
          </w:tcPr>
          <w:p w14:paraId="4B256E8B" w14:textId="6F094CB0" w:rsidR="001E290E" w:rsidRPr="00B94742" w:rsidRDefault="00B94742" w:rsidP="007D541E">
            <w:pPr>
              <w:rPr>
                <w:b/>
                <w:bCs/>
              </w:rPr>
            </w:pPr>
            <w:r w:rsidRPr="00B94742">
              <w:rPr>
                <w:b/>
                <w:bCs/>
              </w:rPr>
              <w:t>17 03 01</w:t>
            </w:r>
          </w:p>
        </w:tc>
      </w:tr>
    </w:tbl>
    <w:p w14:paraId="28543D27" w14:textId="100D2273" w:rsidR="001E290E" w:rsidRPr="001E290E" w:rsidRDefault="001E290E" w:rsidP="007D541E"/>
    <w:p w14:paraId="4D01FDCC" w14:textId="64322F43" w:rsidR="00B94742" w:rsidRPr="0008101A" w:rsidRDefault="00B94742" w:rsidP="00951656">
      <w:pPr>
        <w:rPr>
          <w:b/>
          <w:bCs/>
        </w:rPr>
      </w:pPr>
      <w:r w:rsidRPr="0008101A">
        <w:rPr>
          <w:b/>
          <w:bCs/>
        </w:rPr>
        <w:t>Lovhjemmel</w:t>
      </w:r>
    </w:p>
    <w:p w14:paraId="22A9AD97" w14:textId="4388C5C9" w:rsidR="00B94742" w:rsidRDefault="0008101A" w:rsidP="00951656">
      <w:r>
        <w:t>Dette tillæg til miljøgodkendelsen meddeles i henhold til § 33 i Lov om miljøbeskyttelse</w:t>
      </w:r>
      <w:r>
        <w:rPr>
          <w:rStyle w:val="Fodnotehenvisning"/>
        </w:rPr>
        <w:footnoteReference w:id="1"/>
      </w:r>
      <w:r>
        <w:t>.</w:t>
      </w:r>
    </w:p>
    <w:p w14:paraId="7EFD3EAA" w14:textId="77777777" w:rsidR="0008101A" w:rsidRDefault="0008101A" w:rsidP="00951656"/>
    <w:p w14:paraId="545F5AC0" w14:textId="2516B820" w:rsidR="0008101A" w:rsidRDefault="0008101A" w:rsidP="00951656">
      <w:r>
        <w:lastRenderedPageBreak/>
        <w:t>Marielyst Vognmandsforretning A/</w:t>
      </w:r>
      <w:proofErr w:type="spellStart"/>
      <w:r>
        <w:t>S’s</w:t>
      </w:r>
      <w:proofErr w:type="spellEnd"/>
      <w:r>
        <w:t xml:space="preserve"> aktiviteter omkring bygnings- og nedrivningsaffald er godkendt i henhold til K212 på bilag 2 i godkendelsesbekendtgørelsen</w:t>
      </w:r>
      <w:r>
        <w:rPr>
          <w:rStyle w:val="Fodnotehenvisning"/>
        </w:rPr>
        <w:footnoteReference w:id="2"/>
      </w:r>
      <w:r>
        <w:t>. K212 virksomheder er omfattet af standard vilkår.</w:t>
      </w:r>
    </w:p>
    <w:p w14:paraId="4305B511" w14:textId="613A3A00" w:rsidR="00F15F2C" w:rsidRDefault="00F15F2C" w:rsidP="00951656"/>
    <w:p w14:paraId="2E3CE041" w14:textId="7B998EA3" w:rsidR="00951656" w:rsidRPr="0008101A" w:rsidRDefault="00B94742" w:rsidP="00951656">
      <w:pPr>
        <w:rPr>
          <w:b/>
          <w:bCs/>
        </w:rPr>
      </w:pPr>
      <w:r w:rsidRPr="0008101A">
        <w:rPr>
          <w:b/>
          <w:bCs/>
        </w:rPr>
        <w:t>Vurdering</w:t>
      </w:r>
    </w:p>
    <w:p w14:paraId="44F42091" w14:textId="3EC1535A" w:rsidR="00B94742" w:rsidRDefault="005717C2" w:rsidP="00951656">
      <w:r>
        <w:t>Asfalten modtages i knust tilstand og der er således ingen væsentlige støjgener forbundet med oplaget. Der har i de seneste 12 år ikke været klage</w:t>
      </w:r>
      <w:r w:rsidR="00C94780">
        <w:t>r</w:t>
      </w:r>
      <w:r>
        <w:t xml:space="preserve"> i forbindelse med oplaget, hvorfor det vurderes</w:t>
      </w:r>
      <w:r w:rsidR="00C94780">
        <w:t>,</w:t>
      </w:r>
      <w:r>
        <w:t xml:space="preserve"> at der ikke er støv eller lugtgener i forbindelse med oplaget. Det knuste affald afsættes til vedligeholdelse af veje og indkørsler hovedsageligt i sommerhusområdet omkring Marielyst. Der er tale om et produkt, der fuldt lovligt kan anvendes som </w:t>
      </w:r>
      <w:r w:rsidR="00F15F2C">
        <w:t>top lag</w:t>
      </w:r>
      <w:r>
        <w:t xml:space="preserve"> på grusveje, markveje, i indkørsler m.m. Udvaskningen af tjærestoffer fra den knuste asfalt er vurderet til at været uvæsentlig. Kun lige på de pladser, hvor selve knusningen foregår, er der krav om, at der skal være tætbelægning og kontrolleret afløb.</w:t>
      </w:r>
    </w:p>
    <w:p w14:paraId="5D9C38B9" w14:textId="77777777" w:rsidR="00B01BAA" w:rsidRDefault="00B01BAA" w:rsidP="00951656"/>
    <w:p w14:paraId="1C995D89" w14:textId="447AE45A" w:rsidR="00B01BAA" w:rsidRDefault="00B01BAA" w:rsidP="00951656">
      <w:r>
        <w:t xml:space="preserve">Det er Guldborgsund Kommunes vurdering, at den </w:t>
      </w:r>
      <w:r w:rsidR="00F15F2C">
        <w:t>nuværende</w:t>
      </w:r>
      <w:r>
        <w:t xml:space="preserve"> praksis med oplag af knust asfalt kan fortsætte uændret</w:t>
      </w:r>
      <w:r w:rsidR="00F15F2C">
        <w:t>,</w:t>
      </w:r>
      <w:r>
        <w:t xml:space="preserve"> uden der er risiko for forurening af </w:t>
      </w:r>
      <w:r w:rsidR="004E5849">
        <w:t xml:space="preserve">jord og </w:t>
      </w:r>
      <w:r>
        <w:t xml:space="preserve">grundvand, </w:t>
      </w:r>
      <w:r w:rsidR="004E5849">
        <w:t>eller risiko for nabogener i form af støj, støv eller lugt.</w:t>
      </w:r>
    </w:p>
    <w:p w14:paraId="664E9410" w14:textId="77777777" w:rsidR="00254849" w:rsidRDefault="00254849" w:rsidP="00951656"/>
    <w:p w14:paraId="70E0BE90" w14:textId="626FE909" w:rsidR="00254849" w:rsidRDefault="00254849" w:rsidP="00951656">
      <w:r>
        <w:t>Vedr. blandet bygnings- og nedrivningsaffald er det vurderet, at det maksimale oplag kan hæves som ansøgt. Der er ingen ekstra risiko for jord og grundvand i den forbindelse. I forhold til det samlede antal kørsler og læsninger/losninger vil den øgede oplagsmængde være minimal. Det er derfor vurderet, at der ikke vil være væsentlige påvirkninger af naboer i form af støj, støv eller lugt.</w:t>
      </w:r>
    </w:p>
    <w:p w14:paraId="024C998A" w14:textId="77777777" w:rsidR="00F15F2C" w:rsidRDefault="00F15F2C" w:rsidP="00951656"/>
    <w:p w14:paraId="48875C8E" w14:textId="05130E1A" w:rsidR="00F15F2C" w:rsidRDefault="00F15F2C" w:rsidP="00951656">
      <w:r>
        <w:t>Der henvises til Miljøgodkendelse Marielyst Vognmand</w:t>
      </w:r>
      <w:r w:rsidR="00C94780">
        <w:t>s</w:t>
      </w:r>
      <w:r>
        <w:t xml:space="preserve">forretning A/S af 31. maj 2011 </w:t>
      </w:r>
      <w:r w:rsidR="00C94780">
        <w:t>for</w:t>
      </w:r>
      <w:r>
        <w:t xml:space="preserve"> yderligere beskrivelser og vurderinger af virksomheden og dennes drift.</w:t>
      </w:r>
    </w:p>
    <w:p w14:paraId="6476B1BC" w14:textId="77777777" w:rsidR="005717C2" w:rsidRDefault="005717C2" w:rsidP="00951656"/>
    <w:p w14:paraId="59097135" w14:textId="4D2F340B" w:rsidR="00B94742" w:rsidRDefault="00B94742" w:rsidP="00951656">
      <w:r>
        <w:t>Høring</w:t>
      </w:r>
    </w:p>
    <w:p w14:paraId="0434E172" w14:textId="6CB7E03E" w:rsidR="00B94742" w:rsidRPr="00C94780" w:rsidRDefault="004E5849" w:rsidP="00951656">
      <w:r w:rsidRPr="00C94780">
        <w:t>Udkastet til tillæg har været i høring hos ansøger, som har / ikke har haft bemærkninger.</w:t>
      </w:r>
    </w:p>
    <w:p w14:paraId="4B44B8F9" w14:textId="77777777" w:rsidR="004E5849" w:rsidRDefault="004E5849" w:rsidP="00951656"/>
    <w:p w14:paraId="19208786" w14:textId="77777777" w:rsidR="00F15F2C" w:rsidRPr="0062273C" w:rsidRDefault="00F15F2C" w:rsidP="00F15F2C">
      <w:pPr>
        <w:pStyle w:val="NormalWeb"/>
        <w:spacing w:before="0" w:beforeAutospacing="0" w:after="0" w:afterAutospacing="0" w:line="240" w:lineRule="atLeast"/>
        <w:rPr>
          <w:rFonts w:ascii="Arial" w:hAnsi="Arial" w:cs="Arial"/>
          <w:b/>
          <w:sz w:val="20"/>
          <w:szCs w:val="20"/>
        </w:rPr>
      </w:pPr>
      <w:r w:rsidRPr="0062273C">
        <w:rPr>
          <w:rFonts w:ascii="Arial" w:hAnsi="Arial" w:cs="Arial"/>
          <w:b/>
          <w:sz w:val="20"/>
          <w:szCs w:val="20"/>
        </w:rPr>
        <w:t>Klagevejledning</w:t>
      </w:r>
    </w:p>
    <w:p w14:paraId="0FFBD2A2"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Afgørelsen kan påklages til Miljø- og Fødevareklagenævnet. </w:t>
      </w:r>
    </w:p>
    <w:p w14:paraId="4ACC581C"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der indgives klage over afgørelsen fra anden side, vil </w:t>
      </w:r>
      <w:r w:rsidRPr="00784227">
        <w:rPr>
          <w:rFonts w:ascii="Arial" w:hAnsi="Arial" w:cs="Arial"/>
          <w:sz w:val="20"/>
          <w:szCs w:val="20"/>
        </w:rPr>
        <w:t>du</w:t>
      </w:r>
      <w:r w:rsidRPr="0062273C">
        <w:rPr>
          <w:rFonts w:ascii="Arial" w:hAnsi="Arial" w:cs="Arial"/>
          <w:sz w:val="20"/>
          <w:szCs w:val="20"/>
        </w:rPr>
        <w:t xml:space="preserve"> og </w:t>
      </w:r>
      <w:r w:rsidRPr="00784227">
        <w:rPr>
          <w:rFonts w:ascii="Arial" w:hAnsi="Arial" w:cs="Arial"/>
          <w:sz w:val="20"/>
          <w:szCs w:val="20"/>
        </w:rPr>
        <w:t>din</w:t>
      </w:r>
      <w:r w:rsidRPr="0062273C">
        <w:rPr>
          <w:rFonts w:ascii="Arial" w:hAnsi="Arial" w:cs="Arial"/>
          <w:sz w:val="20"/>
          <w:szCs w:val="20"/>
        </w:rPr>
        <w:t xml:space="preserve"> eventuelle konsulent blive orienteret herom.</w:t>
      </w:r>
    </w:p>
    <w:p w14:paraId="1C5CFA0C"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p>
    <w:p w14:paraId="35F169F7" w14:textId="77777777" w:rsidR="00F15F2C" w:rsidRPr="0062273C" w:rsidRDefault="00F15F2C" w:rsidP="00F15F2C">
      <w:pPr>
        <w:pStyle w:val="NormalWeb"/>
        <w:spacing w:before="0" w:beforeAutospacing="0" w:after="0" w:afterAutospacing="0" w:line="240" w:lineRule="atLeast"/>
        <w:rPr>
          <w:rFonts w:ascii="Arial" w:hAnsi="Arial" w:cs="Arial"/>
          <w:sz w:val="20"/>
          <w:szCs w:val="20"/>
          <w:u w:val="single"/>
        </w:rPr>
      </w:pPr>
      <w:r w:rsidRPr="0062273C">
        <w:rPr>
          <w:rFonts w:ascii="Arial" w:hAnsi="Arial" w:cs="Arial"/>
          <w:sz w:val="20"/>
          <w:szCs w:val="20"/>
          <w:u w:val="single"/>
        </w:rPr>
        <w:t>Klagefrist</w:t>
      </w:r>
    </w:p>
    <w:p w14:paraId="097AE6C6"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Klagefristen er 4 uger fra den dag, afgørelsen er meddelt ansøger og offentliggjort på DMA (Digital </w:t>
      </w:r>
      <w:proofErr w:type="spellStart"/>
      <w:r w:rsidRPr="0062273C">
        <w:rPr>
          <w:rFonts w:ascii="Arial" w:hAnsi="Arial" w:cs="Arial"/>
          <w:sz w:val="20"/>
          <w:szCs w:val="20"/>
        </w:rPr>
        <w:t>MiljøAdministration</w:t>
      </w:r>
      <w:proofErr w:type="spellEnd"/>
      <w:r w:rsidRPr="0062273C">
        <w:rPr>
          <w:rFonts w:ascii="Arial" w:hAnsi="Arial" w:cs="Arial"/>
          <w:sz w:val="20"/>
          <w:szCs w:val="20"/>
        </w:rPr>
        <w:t xml:space="preserve">) link: </w:t>
      </w:r>
      <w:hyperlink r:id="rId7" w:history="1">
        <w:r w:rsidRPr="0062273C">
          <w:rPr>
            <w:rStyle w:val="Hyperlink"/>
            <w:rFonts w:eastAsiaTheme="majorEastAsia" w:cs="Arial"/>
            <w:sz w:val="20"/>
            <w:szCs w:val="20"/>
          </w:rPr>
          <w:t>https://dma.mst.dk/</w:t>
        </w:r>
      </w:hyperlink>
      <w:r w:rsidRPr="0062273C">
        <w:rPr>
          <w:rFonts w:ascii="Arial" w:hAnsi="Arial" w:cs="Arial"/>
          <w:sz w:val="20"/>
          <w:szCs w:val="20"/>
        </w:rPr>
        <w:t>. Ved offentlig bekendtgørelse regnes fristen altid fra bekendtgørelsen.</w:t>
      </w:r>
    </w:p>
    <w:p w14:paraId="4AF3FCB1" w14:textId="6F3ECF63" w:rsidR="00F15F2C" w:rsidRPr="0062273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En eventuel klage skal være korrekt indgivet via Klageportalen og tilgængelig for Guldborgsund kommune i Klageportalen senest den </w:t>
      </w:r>
      <w:r w:rsidR="00C94780">
        <w:rPr>
          <w:rFonts w:ascii="Arial" w:hAnsi="Arial" w:cs="Arial"/>
          <w:sz w:val="20"/>
          <w:szCs w:val="20"/>
        </w:rPr>
        <w:t>1</w:t>
      </w:r>
      <w:r w:rsidRPr="00784227">
        <w:rPr>
          <w:rFonts w:ascii="Arial" w:hAnsi="Arial" w:cs="Arial"/>
          <w:sz w:val="20"/>
          <w:szCs w:val="20"/>
        </w:rPr>
        <w:t>. j</w:t>
      </w:r>
      <w:r w:rsidR="00C94780">
        <w:rPr>
          <w:rFonts w:ascii="Arial" w:hAnsi="Arial" w:cs="Arial"/>
          <w:sz w:val="20"/>
          <w:szCs w:val="20"/>
        </w:rPr>
        <w:t>uni</w:t>
      </w:r>
      <w:r w:rsidRPr="00784227">
        <w:rPr>
          <w:rFonts w:ascii="Arial" w:hAnsi="Arial" w:cs="Arial"/>
          <w:sz w:val="20"/>
          <w:szCs w:val="20"/>
        </w:rPr>
        <w:t xml:space="preserve"> 2023</w:t>
      </w:r>
      <w:r w:rsidRPr="0062273C">
        <w:rPr>
          <w:rFonts w:ascii="Arial" w:hAnsi="Arial" w:cs="Arial"/>
          <w:sz w:val="20"/>
          <w:szCs w:val="20"/>
        </w:rPr>
        <w:t xml:space="preserve">. </w:t>
      </w:r>
    </w:p>
    <w:p w14:paraId="0D31E613" w14:textId="77777777" w:rsidR="00F15F2C" w:rsidRDefault="00F15F2C" w:rsidP="00F15F2C">
      <w:pPr>
        <w:pStyle w:val="NormalWeb"/>
        <w:spacing w:before="0" w:beforeAutospacing="0" w:after="0" w:afterAutospacing="0" w:line="240" w:lineRule="atLeast"/>
        <w:rPr>
          <w:rFonts w:ascii="Arial" w:hAnsi="Arial" w:cs="Arial"/>
          <w:sz w:val="20"/>
          <w:szCs w:val="20"/>
        </w:rPr>
      </w:pPr>
    </w:p>
    <w:p w14:paraId="4E541D3A" w14:textId="77777777" w:rsidR="00F15F2C" w:rsidRPr="00786AC8" w:rsidRDefault="00F15F2C" w:rsidP="00F15F2C">
      <w:pPr>
        <w:pStyle w:val="NormalWeb"/>
        <w:spacing w:before="0" w:beforeAutospacing="0" w:after="0" w:afterAutospacing="0" w:line="240" w:lineRule="atLeast"/>
        <w:rPr>
          <w:rFonts w:ascii="Arial" w:hAnsi="Arial" w:cs="Arial"/>
          <w:sz w:val="20"/>
          <w:szCs w:val="20"/>
          <w:u w:val="single"/>
        </w:rPr>
      </w:pPr>
      <w:r w:rsidRPr="00786AC8">
        <w:rPr>
          <w:rFonts w:ascii="Arial" w:hAnsi="Arial" w:cs="Arial"/>
          <w:sz w:val="20"/>
          <w:szCs w:val="20"/>
          <w:u w:val="single"/>
        </w:rPr>
        <w:t>Hvem kan klage</w:t>
      </w:r>
    </w:p>
    <w:p w14:paraId="0BF20800" w14:textId="77777777" w:rsidR="00F15F2C" w:rsidRDefault="00F15F2C" w:rsidP="00F15F2C">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w:t>
      </w:r>
      <w:r w:rsidRPr="0062273C">
        <w:rPr>
          <w:rFonts w:ascii="Arial" w:hAnsi="Arial" w:cs="Arial"/>
          <w:sz w:val="20"/>
          <w:szCs w:val="20"/>
        </w:rPr>
        <w:t xml:space="preserve">. </w:t>
      </w:r>
      <w:r w:rsidRPr="00784227">
        <w:rPr>
          <w:rFonts w:ascii="Arial" w:hAnsi="Arial" w:cs="Arial"/>
          <w:sz w:val="20"/>
          <w:szCs w:val="20"/>
        </w:rPr>
        <w:t>Miljøbeskyttelseslovens §§ 98-100</w:t>
      </w:r>
      <w:r w:rsidRPr="0062273C">
        <w:rPr>
          <w:rFonts w:ascii="Arial" w:hAnsi="Arial" w:cs="Arial"/>
          <w:sz w:val="20"/>
          <w:szCs w:val="20"/>
        </w:rPr>
        <w:t>.</w:t>
      </w:r>
    </w:p>
    <w:p w14:paraId="5F2997E1" w14:textId="77777777" w:rsidR="00F15F2C" w:rsidRDefault="00F15F2C" w:rsidP="00F15F2C">
      <w:pPr>
        <w:pStyle w:val="NormalWeb"/>
        <w:spacing w:before="0" w:beforeAutospacing="0" w:after="0" w:afterAutospacing="0" w:line="240" w:lineRule="atLeast"/>
        <w:rPr>
          <w:rFonts w:cs="Arial"/>
          <w:szCs w:val="20"/>
        </w:rPr>
      </w:pPr>
    </w:p>
    <w:p w14:paraId="4354C1FA" w14:textId="77777777" w:rsidR="00C94780" w:rsidRPr="0062273C" w:rsidRDefault="00C94780" w:rsidP="00F15F2C">
      <w:pPr>
        <w:pStyle w:val="NormalWeb"/>
        <w:spacing w:before="0" w:beforeAutospacing="0" w:after="0" w:afterAutospacing="0" w:line="240" w:lineRule="atLeast"/>
        <w:rPr>
          <w:rFonts w:cs="Arial"/>
          <w:szCs w:val="20"/>
        </w:rPr>
      </w:pPr>
    </w:p>
    <w:p w14:paraId="59B46F33" w14:textId="77777777" w:rsidR="00F15F2C" w:rsidRPr="0062273C" w:rsidRDefault="00F15F2C" w:rsidP="00F15F2C">
      <w:pPr>
        <w:pStyle w:val="NormalWeb"/>
        <w:spacing w:before="0" w:beforeAutospacing="0" w:after="0" w:afterAutospacing="0" w:line="240" w:lineRule="atLeast"/>
        <w:rPr>
          <w:rFonts w:ascii="Arial" w:hAnsi="Arial" w:cs="Arial"/>
          <w:sz w:val="20"/>
          <w:szCs w:val="20"/>
          <w:u w:val="single"/>
        </w:rPr>
      </w:pPr>
      <w:r w:rsidRPr="0062273C">
        <w:rPr>
          <w:rFonts w:ascii="Arial" w:hAnsi="Arial" w:cs="Arial"/>
          <w:sz w:val="20"/>
          <w:szCs w:val="20"/>
          <w:u w:val="single"/>
        </w:rPr>
        <w:lastRenderedPageBreak/>
        <w:t>Hvordan klager man</w:t>
      </w:r>
    </w:p>
    <w:p w14:paraId="7A1AD6E8"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Klage skal ske ved brug af digital selvbetjening til Miljø- og Fødevareklagenævnet via Klageportalen på ét af</w:t>
      </w:r>
      <w:r w:rsidRPr="0062273C">
        <w:rPr>
          <w:sz w:val="20"/>
          <w:szCs w:val="20"/>
        </w:rPr>
        <w:t xml:space="preserve"> </w:t>
      </w:r>
      <w:r w:rsidRPr="0062273C">
        <w:rPr>
          <w:rFonts w:ascii="Arial" w:hAnsi="Arial" w:cs="Arial"/>
          <w:sz w:val="20"/>
          <w:szCs w:val="20"/>
        </w:rPr>
        <w:t xml:space="preserve">følgende links </w:t>
      </w:r>
      <w:hyperlink r:id="rId8" w:history="1">
        <w:r w:rsidRPr="0062273C">
          <w:rPr>
            <w:rStyle w:val="Hyperlink"/>
            <w:rFonts w:eastAsiaTheme="majorEastAsia" w:cs="Arial"/>
            <w:sz w:val="20"/>
            <w:szCs w:val="20"/>
          </w:rPr>
          <w:t>https://naevneneshus.dk/start-din-klage/miljoe-og-foedevareklagenaevnet</w:t>
        </w:r>
      </w:hyperlink>
      <w:r w:rsidRPr="0062273C">
        <w:rPr>
          <w:rFonts w:ascii="Arial" w:hAnsi="Arial" w:cs="Arial"/>
          <w:sz w:val="20"/>
          <w:szCs w:val="20"/>
        </w:rPr>
        <w:t xml:space="preserve">, </w:t>
      </w:r>
      <w:hyperlink r:id="rId9" w:history="1">
        <w:r w:rsidRPr="0062273C">
          <w:rPr>
            <w:rStyle w:val="Hyperlink"/>
            <w:rFonts w:eastAsiaTheme="majorEastAsia" w:cs="Arial"/>
            <w:sz w:val="20"/>
            <w:szCs w:val="20"/>
          </w:rPr>
          <w:t>https://www.borger.dk/</w:t>
        </w:r>
      </w:hyperlink>
      <w:r w:rsidRPr="0062273C">
        <w:rPr>
          <w:rFonts w:ascii="Arial" w:hAnsi="Arial" w:cs="Arial"/>
          <w:sz w:val="20"/>
          <w:szCs w:val="20"/>
        </w:rPr>
        <w:t xml:space="preserve"> eller </w:t>
      </w:r>
      <w:hyperlink r:id="rId10" w:history="1">
        <w:r w:rsidRPr="0062273C">
          <w:rPr>
            <w:rStyle w:val="Hyperlink"/>
            <w:rFonts w:eastAsiaTheme="majorEastAsia" w:cs="Arial"/>
            <w:sz w:val="20"/>
            <w:szCs w:val="20"/>
          </w:rPr>
          <w:t>https://indberet.virk.dk/</w:t>
        </w:r>
      </w:hyperlink>
      <w:r w:rsidRPr="0062273C">
        <w:rPr>
          <w:rFonts w:ascii="Arial" w:hAnsi="Arial" w:cs="Arial"/>
          <w:sz w:val="20"/>
          <w:szCs w:val="20"/>
        </w:rPr>
        <w:t xml:space="preserve">. Søg efter ”Klageportal” ved brug af de to sidstnævnte links. </w:t>
      </w:r>
      <w:proofErr w:type="gramStart"/>
      <w:r w:rsidRPr="0062273C">
        <w:rPr>
          <w:rFonts w:ascii="Arial" w:hAnsi="Arial" w:cs="Arial"/>
          <w:sz w:val="20"/>
          <w:szCs w:val="20"/>
        </w:rPr>
        <w:t>Endvidere</w:t>
      </w:r>
      <w:proofErr w:type="gramEnd"/>
      <w:r w:rsidRPr="0062273C">
        <w:rPr>
          <w:rFonts w:ascii="Arial" w:hAnsi="Arial" w:cs="Arial"/>
          <w:sz w:val="20"/>
          <w:szCs w:val="20"/>
        </w:rPr>
        <w:t xml:space="preserve"> skal efterfølgende kommunikation om klagesagen ske via Klageportalen.  </w:t>
      </w:r>
    </w:p>
    <w:p w14:paraId="72B38B3F" w14:textId="77777777" w:rsidR="00F15F2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Klagen sendes gennem Klageportalen automatisk til den myndighed, der har truffet afgørelsen. </w:t>
      </w:r>
    </w:p>
    <w:p w14:paraId="6CF1F196"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p>
    <w:p w14:paraId="18CDF185" w14:textId="77777777" w:rsidR="00F15F2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2FB72FB1" w14:textId="77777777" w:rsidR="00F15F2C" w:rsidRDefault="00F15F2C" w:rsidP="00F15F2C">
      <w:pPr>
        <w:pStyle w:val="NormalWeb"/>
        <w:spacing w:before="0" w:beforeAutospacing="0" w:after="0" w:afterAutospacing="0" w:line="240" w:lineRule="atLeast"/>
        <w:rPr>
          <w:rFonts w:ascii="Arial" w:hAnsi="Arial" w:cs="Arial"/>
          <w:sz w:val="20"/>
          <w:szCs w:val="20"/>
        </w:rPr>
      </w:pPr>
    </w:p>
    <w:p w14:paraId="1E348000" w14:textId="4730D817" w:rsidR="00F15F2C" w:rsidRPr="0062273C" w:rsidRDefault="00F15F2C" w:rsidP="00F15F2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w:t>
      </w:r>
      <w:r w:rsidRPr="00784227">
        <w:rPr>
          <w:rFonts w:ascii="Arial" w:hAnsi="Arial" w:cs="Arial"/>
          <w:sz w:val="20"/>
          <w:szCs w:val="20"/>
        </w:rPr>
        <w:t>du</w:t>
      </w:r>
      <w:r w:rsidRPr="0062273C">
        <w:rPr>
          <w:rFonts w:ascii="Arial" w:hAnsi="Arial" w:cs="Arial"/>
          <w:sz w:val="20"/>
          <w:szCs w:val="20"/>
        </w:rPr>
        <w:t xml:space="preserve"> ønsker at blive fritaget for at bruge Klageportalen, skal </w:t>
      </w:r>
      <w:r w:rsidRPr="00784227">
        <w:rPr>
          <w:rFonts w:ascii="Arial" w:hAnsi="Arial" w:cs="Arial"/>
          <w:sz w:val="20"/>
          <w:szCs w:val="20"/>
        </w:rPr>
        <w:t>du</w:t>
      </w:r>
      <w:r w:rsidRPr="0062273C">
        <w:rPr>
          <w:rFonts w:ascii="Arial" w:hAnsi="Arial" w:cs="Arial"/>
          <w:sz w:val="20"/>
          <w:szCs w:val="20"/>
        </w:rPr>
        <w:t xml:space="preserve"> sende en begrundet anmodning til Guldborgsund Kommune, på mail: teknik@guldborgsund.dk, telefon 5473 1000 eller ved at sende et brev til Guldborgsund Kommune, Center for teknik og Miljø, Parkvej 37, 4800 Nykøbing F.</w:t>
      </w:r>
      <w:r w:rsidR="00C94780">
        <w:rPr>
          <w:rFonts w:ascii="Arial" w:hAnsi="Arial" w:cs="Arial"/>
          <w:sz w:val="20"/>
          <w:szCs w:val="20"/>
        </w:rPr>
        <w:t xml:space="preserve"> </w:t>
      </w:r>
      <w:r w:rsidRPr="0062273C">
        <w:rPr>
          <w:rFonts w:ascii="Arial" w:hAnsi="Arial" w:cs="Arial"/>
          <w:sz w:val="20"/>
          <w:szCs w:val="20"/>
        </w:rPr>
        <w:t>Kommunen videresender herefter anmodningen til Miljø- og Fødevareklagenævnet, som træffer afgørelse om, hvorvidt din anmodning kan imødekommes.</w:t>
      </w:r>
      <w:r w:rsidR="00C94780">
        <w:rPr>
          <w:rFonts w:ascii="Arial" w:hAnsi="Arial" w:cs="Arial"/>
          <w:sz w:val="20"/>
          <w:szCs w:val="20"/>
        </w:rPr>
        <w:t xml:space="preserve"> </w:t>
      </w:r>
      <w:r w:rsidRPr="0062273C">
        <w:rPr>
          <w:rFonts w:ascii="Arial" w:hAnsi="Arial" w:cs="Arial"/>
          <w:sz w:val="20"/>
          <w:szCs w:val="20"/>
        </w:rPr>
        <w:t>Husk at søge i meget god tid, så ansøgningen kan nå at blive behandlet inden klagefristen udløber.</w:t>
      </w:r>
    </w:p>
    <w:p w14:paraId="5F1F47DB" w14:textId="77777777" w:rsidR="00F15F2C" w:rsidRPr="0062273C" w:rsidRDefault="00F15F2C" w:rsidP="00F15F2C">
      <w:pPr>
        <w:pStyle w:val="NormalWeb"/>
        <w:spacing w:before="0" w:beforeAutospacing="0" w:after="0" w:afterAutospacing="0" w:line="240" w:lineRule="atLeast"/>
        <w:rPr>
          <w:rFonts w:ascii="Arial" w:hAnsi="Arial" w:cs="Arial"/>
          <w:sz w:val="20"/>
          <w:szCs w:val="20"/>
        </w:rPr>
      </w:pPr>
    </w:p>
    <w:p w14:paraId="4E147DD1" w14:textId="77777777" w:rsidR="00F15F2C" w:rsidRPr="00477504" w:rsidRDefault="00F15F2C" w:rsidP="00F15F2C">
      <w:pPr>
        <w:pStyle w:val="NormalWeb"/>
        <w:spacing w:before="0" w:beforeAutospacing="0" w:after="0" w:afterAutospacing="0" w:line="240" w:lineRule="atLeast"/>
        <w:rPr>
          <w:rFonts w:ascii="Arial" w:hAnsi="Arial" w:cs="Arial"/>
          <w:sz w:val="20"/>
          <w:szCs w:val="20"/>
          <w:u w:val="single"/>
        </w:rPr>
      </w:pPr>
      <w:r w:rsidRPr="00477504">
        <w:rPr>
          <w:rFonts w:ascii="Arial" w:hAnsi="Arial" w:cs="Arial"/>
          <w:sz w:val="20"/>
          <w:szCs w:val="20"/>
          <w:u w:val="single"/>
        </w:rPr>
        <w:t>Klagegebyr</w:t>
      </w:r>
    </w:p>
    <w:p w14:paraId="032B8BED" w14:textId="037A8854" w:rsidR="00F15F2C" w:rsidRPr="009A239E" w:rsidRDefault="00F15F2C" w:rsidP="00F15F2C">
      <w:pPr>
        <w:pStyle w:val="NormalWeb"/>
        <w:spacing w:before="0" w:beforeAutospacing="0" w:after="0" w:afterAutospacing="0" w:line="240" w:lineRule="atLeast"/>
        <w:rPr>
          <w:rStyle w:val="Hyperlink"/>
          <w:rFonts w:eastAsiaTheme="majorEastAsia" w:cs="Arial"/>
          <w:sz w:val="20"/>
          <w:szCs w:val="20"/>
        </w:rPr>
      </w:pPr>
      <w:r w:rsidRPr="00477504">
        <w:rPr>
          <w:rFonts w:ascii="Arial" w:hAnsi="Arial" w:cs="Arial"/>
          <w:sz w:val="20"/>
          <w:szCs w:val="20"/>
        </w:rPr>
        <w:t xml:space="preserve">Når </w:t>
      </w:r>
      <w:r w:rsidRPr="00784227">
        <w:rPr>
          <w:rFonts w:ascii="Arial" w:hAnsi="Arial" w:cs="Arial"/>
          <w:sz w:val="20"/>
          <w:szCs w:val="20"/>
        </w:rPr>
        <w:t>du</w:t>
      </w:r>
      <w:r w:rsidRPr="00477504">
        <w:rPr>
          <w:rFonts w:ascii="Arial" w:hAnsi="Arial" w:cs="Arial"/>
          <w:sz w:val="20"/>
          <w:szCs w:val="20"/>
        </w:rPr>
        <w:t xml:space="preserve"> klager</w:t>
      </w:r>
      <w:r w:rsidR="00E32C17">
        <w:rPr>
          <w:rFonts w:ascii="Arial" w:hAnsi="Arial" w:cs="Arial"/>
          <w:sz w:val="20"/>
          <w:szCs w:val="20"/>
        </w:rPr>
        <w:t>,</w:t>
      </w:r>
      <w:r w:rsidRPr="00477504">
        <w:rPr>
          <w:rFonts w:ascii="Arial" w:hAnsi="Arial" w:cs="Arial"/>
          <w:sz w:val="20"/>
          <w:szCs w:val="20"/>
        </w:rPr>
        <w:t xml:space="preserve"> skal </w:t>
      </w:r>
      <w:r w:rsidRPr="00784227">
        <w:rPr>
          <w:rFonts w:ascii="Arial" w:hAnsi="Arial" w:cs="Arial"/>
          <w:sz w:val="20"/>
          <w:szCs w:val="20"/>
        </w:rPr>
        <w:t>du</w:t>
      </w:r>
      <w:r w:rsidRPr="00477504">
        <w:rPr>
          <w:rFonts w:ascii="Arial" w:hAnsi="Arial" w:cs="Arial"/>
          <w:sz w:val="20"/>
          <w:szCs w:val="20"/>
        </w:rPr>
        <w:t xml:space="preserve"> betale et klagegebyr, før klagen betragtes som korrekt indgivet. Gebyret er på 900 kr. for privatpersoner og 1.800 kr. for virksomheder, organisationer og offentlige myndigheder. </w:t>
      </w:r>
      <w:r w:rsidRPr="00784227">
        <w:rPr>
          <w:rFonts w:ascii="Arial" w:hAnsi="Arial" w:cs="Arial"/>
          <w:sz w:val="20"/>
          <w:szCs w:val="20"/>
        </w:rPr>
        <w:t>Du</w:t>
      </w:r>
      <w:r w:rsidRPr="00477504">
        <w:rPr>
          <w:rFonts w:ascii="Arial" w:hAnsi="Arial" w:cs="Arial"/>
          <w:sz w:val="20"/>
          <w:szCs w:val="20"/>
        </w:rPr>
        <w:t xml:space="preserve"> betaler gebyret med betalingskort i Klageportalen i forbindelse med oprettelse af klagen. </w:t>
      </w:r>
      <w:r w:rsidRPr="00784227">
        <w:rPr>
          <w:rFonts w:ascii="Arial" w:hAnsi="Arial" w:cs="Arial"/>
          <w:sz w:val="20"/>
          <w:szCs w:val="20"/>
        </w:rPr>
        <w:t>Du</w:t>
      </w:r>
      <w:r w:rsidRPr="00477504">
        <w:rPr>
          <w:rFonts w:ascii="Arial" w:hAnsi="Arial" w:cs="Arial"/>
          <w:sz w:val="20"/>
          <w:szCs w:val="20"/>
        </w:rPr>
        <w:t xml:space="preserve"> kan finde yderligere vejledning om gebyrordningen på Klageportalen på følgende link:</w:t>
      </w:r>
      <w:r w:rsidRPr="0062273C">
        <w:rPr>
          <w:sz w:val="20"/>
          <w:szCs w:val="20"/>
        </w:rPr>
        <w:t xml:space="preserve"> </w:t>
      </w:r>
      <w:hyperlink r:id="rId11" w:history="1">
        <w:r w:rsidRPr="009A239E">
          <w:rPr>
            <w:rStyle w:val="Hyperlink"/>
            <w:rFonts w:eastAsiaTheme="majorEastAsia" w:cs="Arial"/>
            <w:sz w:val="20"/>
            <w:szCs w:val="20"/>
          </w:rPr>
          <w:t>https://naevneneshus.dk/start-din-klage/miljoe-og-foedevareklagenaevnet</w:t>
        </w:r>
      </w:hyperlink>
      <w:r w:rsidRPr="009A239E">
        <w:rPr>
          <w:rStyle w:val="Hyperlink"/>
          <w:rFonts w:eastAsiaTheme="majorEastAsia" w:cs="Arial"/>
          <w:sz w:val="20"/>
          <w:szCs w:val="20"/>
        </w:rPr>
        <w:t>.</w:t>
      </w:r>
    </w:p>
    <w:p w14:paraId="38A3C423" w14:textId="77777777" w:rsidR="00F15F2C" w:rsidRPr="00C100A7" w:rsidRDefault="00F15F2C" w:rsidP="00F15F2C">
      <w:pPr>
        <w:pStyle w:val="NormalWeb"/>
        <w:spacing w:before="0" w:beforeAutospacing="0" w:after="0" w:afterAutospacing="0" w:line="240" w:lineRule="atLeast"/>
        <w:rPr>
          <w:rFonts w:ascii="Arial" w:hAnsi="Arial" w:cs="Arial"/>
          <w:sz w:val="20"/>
          <w:szCs w:val="20"/>
        </w:rPr>
      </w:pPr>
    </w:p>
    <w:p w14:paraId="7DA83FAA" w14:textId="77777777" w:rsidR="00F15F2C" w:rsidRPr="00C100A7" w:rsidRDefault="00F15F2C" w:rsidP="00F15F2C">
      <w:pPr>
        <w:pStyle w:val="NormalWeb"/>
        <w:spacing w:before="0" w:beforeAutospacing="0" w:after="0" w:afterAutospacing="0" w:line="240" w:lineRule="atLeast"/>
        <w:rPr>
          <w:rFonts w:ascii="Arial" w:hAnsi="Arial" w:cs="Arial"/>
          <w:sz w:val="20"/>
          <w:szCs w:val="20"/>
          <w:u w:val="single"/>
        </w:rPr>
      </w:pPr>
      <w:r w:rsidRPr="00C100A7">
        <w:rPr>
          <w:rFonts w:ascii="Arial" w:hAnsi="Arial" w:cs="Arial"/>
          <w:sz w:val="20"/>
          <w:szCs w:val="20"/>
          <w:u w:val="single"/>
        </w:rPr>
        <w:t>Virkning af at der klages</w:t>
      </w:r>
    </w:p>
    <w:p w14:paraId="3A9F6281" w14:textId="245E00D5" w:rsidR="00F15F2C" w:rsidRDefault="00F15F2C" w:rsidP="00F15F2C">
      <w:pPr>
        <w:autoSpaceDE w:val="0"/>
        <w:autoSpaceDN w:val="0"/>
        <w:adjustRightInd w:val="0"/>
        <w:spacing w:line="240" w:lineRule="atLeast"/>
        <w:rPr>
          <w:rFonts w:cs="Arial"/>
        </w:rPr>
      </w:pPr>
      <w:r w:rsidRPr="00784227">
        <w:rPr>
          <w:rFonts w:cs="Arial"/>
        </w:rPr>
        <w:t xml:space="preserve">Klage over afgørelsen har ikke opsættende virkning, </w:t>
      </w:r>
      <w:r w:rsidR="00E32C17" w:rsidRPr="00784227">
        <w:rPr>
          <w:rFonts w:cs="Arial"/>
        </w:rPr>
        <w:t>medmindre</w:t>
      </w:r>
      <w:r w:rsidRPr="00784227">
        <w:rPr>
          <w:rFonts w:cs="Arial"/>
        </w:rPr>
        <w:t xml:space="preserve"> klagemyndigheden (Miljø- og Fødevareklagenævnet) bestemmer andet. Dette betyder, at afgørelsen kan udnyttes, og ikke behøver at afvente en afgørelsen i klagenævnet. Udnyttelse af påklaget afgørelse er for ejers egen regning og risiko.</w:t>
      </w:r>
    </w:p>
    <w:p w14:paraId="14EA79CE" w14:textId="77777777" w:rsidR="00E32C17" w:rsidRPr="00C100A7" w:rsidRDefault="00E32C17" w:rsidP="00F15F2C">
      <w:pPr>
        <w:autoSpaceDE w:val="0"/>
        <w:autoSpaceDN w:val="0"/>
        <w:adjustRightInd w:val="0"/>
        <w:spacing w:line="240" w:lineRule="atLeast"/>
        <w:rPr>
          <w:rFonts w:cs="Arial"/>
          <w:szCs w:val="20"/>
        </w:rPr>
      </w:pPr>
    </w:p>
    <w:p w14:paraId="0F92D18C" w14:textId="77777777" w:rsidR="00F15F2C" w:rsidRPr="0062273C" w:rsidRDefault="00F15F2C" w:rsidP="00F15F2C">
      <w:pPr>
        <w:pStyle w:val="Hilsen"/>
        <w:spacing w:line="240" w:lineRule="atLeast"/>
        <w:rPr>
          <w:rFonts w:ascii="Arial" w:hAnsi="Arial"/>
          <w:iCs/>
          <w:sz w:val="20"/>
          <w:u w:val="single"/>
        </w:rPr>
      </w:pPr>
      <w:r w:rsidRPr="0062273C">
        <w:rPr>
          <w:rFonts w:ascii="Arial" w:hAnsi="Arial"/>
          <w:iCs/>
          <w:sz w:val="20"/>
          <w:u w:val="single"/>
        </w:rPr>
        <w:t>Eventuel domstolsprøvelse</w:t>
      </w:r>
    </w:p>
    <w:p w14:paraId="0E7DA3CE" w14:textId="77777777" w:rsidR="00F15F2C" w:rsidRDefault="00F15F2C" w:rsidP="00F15F2C">
      <w:pPr>
        <w:pStyle w:val="Hilsen"/>
        <w:spacing w:line="240" w:lineRule="atLeast"/>
        <w:rPr>
          <w:rFonts w:ascii="Arial" w:hAnsi="Arial"/>
          <w:sz w:val="20"/>
          <w:shd w:val="clear" w:color="auto" w:fill="FFFFFF"/>
        </w:rPr>
      </w:pPr>
      <w:r w:rsidRPr="0062273C">
        <w:rPr>
          <w:rFonts w:ascii="Arial" w:hAnsi="Arial"/>
          <w:iCs/>
          <w:sz w:val="20"/>
        </w:rPr>
        <w:t>Fristen for et eventuelt søgsmål ved domstolene er</w:t>
      </w:r>
      <w:r w:rsidRPr="0062273C">
        <w:rPr>
          <w:rFonts w:ascii="Arial" w:hAnsi="Arial"/>
          <w:sz w:val="20"/>
        </w:rPr>
        <w:t xml:space="preserve"> 6 måneder efter at afgørelsen er meddelt. Er afgørelsen offentligt bekendtgjort, regnes fristen fra bekendtgørelsen</w:t>
      </w:r>
      <w:r w:rsidRPr="0062273C">
        <w:rPr>
          <w:rFonts w:ascii="Arial" w:hAnsi="Arial"/>
          <w:sz w:val="20"/>
          <w:shd w:val="clear" w:color="auto" w:fill="FFFFFF"/>
        </w:rPr>
        <w:t>.</w:t>
      </w:r>
      <w:r>
        <w:rPr>
          <w:rFonts w:ascii="Arial" w:hAnsi="Arial"/>
          <w:sz w:val="20"/>
          <w:shd w:val="clear" w:color="auto" w:fill="FFFFFF"/>
        </w:rPr>
        <w:t xml:space="preserve"> </w:t>
      </w:r>
    </w:p>
    <w:p w14:paraId="0501D54E" w14:textId="77777777" w:rsidR="00F15F2C" w:rsidRPr="009A239E" w:rsidRDefault="00F15F2C" w:rsidP="00F15F2C">
      <w:pPr>
        <w:pStyle w:val="Hilsen"/>
        <w:spacing w:line="240" w:lineRule="atLeast"/>
        <w:rPr>
          <w:rFonts w:ascii="Arial" w:hAnsi="Arial"/>
          <w:sz w:val="20"/>
          <w:shd w:val="clear" w:color="auto" w:fill="FFFFFF"/>
        </w:rPr>
      </w:pPr>
    </w:p>
    <w:p w14:paraId="0217187D" w14:textId="77777777" w:rsidR="00B94742" w:rsidRPr="001E290E" w:rsidRDefault="00B94742"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1E290E" w14:paraId="2AC3BC01" w14:textId="77777777" w:rsidTr="00CE217D">
        <w:trPr>
          <w:trHeight w:hRule="exact" w:val="57"/>
        </w:trPr>
        <w:tc>
          <w:tcPr>
            <w:tcW w:w="7680" w:type="dxa"/>
            <w:tcMar>
              <w:top w:w="150" w:type="dxa"/>
            </w:tcMar>
          </w:tcPr>
          <w:p w14:paraId="7073EFCF" w14:textId="77777777" w:rsidR="00CE217D" w:rsidRPr="001E290E" w:rsidRDefault="00CE217D" w:rsidP="00CE217D">
            <w:bookmarkStart w:id="0" w:name="KMDSagDataTable" w:colFirst="0" w:colLast="0"/>
            <w:r w:rsidRPr="001E290E">
              <w:t>EDH_Afdeling;</w:t>
            </w:r>
            <w:fldSimple w:instr=" MERGEFIELD EDH_Afdeling ">
              <w:r w:rsidR="001E290E">
                <w:rPr>
                  <w:noProof/>
                </w:rPr>
                <w:t>«EDH_Afdeling»</w:t>
              </w:r>
            </w:fldSimple>
            <w:r w:rsidRPr="001E290E">
              <w:t>|EDH_AnsvarligAf;</w:t>
            </w:r>
            <w:fldSimple w:instr=" MERGEFIELD EDH_AnsvarligAf ">
              <w:r w:rsidR="001E290E">
                <w:rPr>
                  <w:noProof/>
                </w:rPr>
                <w:t>«EDH_AnsvarligAf»</w:t>
              </w:r>
            </w:fldSimple>
            <w:r w:rsidRPr="001E290E">
              <w:t>|EDH_AnsvarligAfBrugerID;</w:t>
            </w:r>
            <w:fldSimple w:instr=" MERGEFIELD EDH_AnsvarligAfBrugerID ">
              <w:r w:rsidR="001E290E">
                <w:rPr>
                  <w:noProof/>
                </w:rPr>
                <w:t>«EDH_AnsvarligAfBrugerID»</w:t>
              </w:r>
            </w:fldSimple>
            <w:r w:rsidRPr="001E290E">
              <w:t>|EDH_AnsvarligAfInitialer;</w:t>
            </w:r>
            <w:fldSimple w:instr=" MERGEFIELD EDH_AnsvarligAfInitialer ">
              <w:r w:rsidR="001E290E">
                <w:rPr>
                  <w:noProof/>
                </w:rPr>
                <w:t>«EDH_AnsvarligAfInitialer»</w:t>
              </w:r>
            </w:fldSimple>
            <w:r w:rsidRPr="001E290E">
              <w:t>|EDH_Beskrivelse;</w:t>
            </w:r>
            <w:fldSimple w:instr=" MERGEFIELD EDH_Beskrivelse ">
              <w:r w:rsidR="001E290E">
                <w:rPr>
                  <w:noProof/>
                </w:rPr>
                <w:t>«EDH_Beskrivelse»</w:t>
              </w:r>
            </w:fldSimple>
            <w:r w:rsidRPr="001E290E">
              <w:t>|EDH_DokumentId;</w:t>
            </w:r>
            <w:fldSimple w:instr=" MERGEFIELD EDH_DokumentId ">
              <w:r w:rsidR="001E290E">
                <w:rPr>
                  <w:noProof/>
                </w:rPr>
                <w:t>«EDH_DokumentId»</w:t>
              </w:r>
            </w:fldSimple>
            <w:r w:rsidRPr="001E290E">
              <w:t>|EDH_DokumentStatus;</w:t>
            </w:r>
            <w:fldSimple w:instr=" MERGEFIELD EDH_DokumentStatus ">
              <w:r w:rsidR="001E290E">
                <w:rPr>
                  <w:noProof/>
                </w:rPr>
                <w:t>«EDH_DokumentStatus»</w:t>
              </w:r>
            </w:fldSimple>
            <w:r w:rsidRPr="001E290E">
              <w:t>|EDH_DokumentType;</w:t>
            </w:r>
            <w:fldSimple w:instr=" MERGEFIELD EDH_DokumentType ">
              <w:r w:rsidR="001E290E">
                <w:rPr>
                  <w:noProof/>
                </w:rPr>
                <w:t>«EDH_DokumentType»</w:t>
              </w:r>
            </w:fldSimple>
            <w:r w:rsidRPr="001E290E">
              <w:t>|EDH_EjendomsEjerNavn;</w:t>
            </w:r>
            <w:fldSimple w:instr=" MERGEFIELD EDH_EjendomsEjerNavn ">
              <w:r w:rsidR="001E290E">
                <w:rPr>
                  <w:noProof/>
                </w:rPr>
                <w:t>«EDH_EjendomsEjerNavn»</w:t>
              </w:r>
            </w:fldSimple>
            <w:r w:rsidRPr="001E290E">
              <w:t>|EDH_EjendomsEjerAdresseLinie2;</w:t>
            </w:r>
            <w:fldSimple w:instr=" MERGEFIELD EDH_EjendomsEjerAdresseLinie2 ">
              <w:r w:rsidR="001E290E">
                <w:rPr>
                  <w:noProof/>
                </w:rPr>
                <w:t>«EDH_EjendomsEjerAdresseLinie2»</w:t>
              </w:r>
            </w:fldSimple>
            <w:r w:rsidRPr="001E290E">
              <w:t>|EDH_EjendomsEjerAdresseLinie3;</w:t>
            </w:r>
            <w:fldSimple w:instr=" MERGEFIELD EDH_EjendomsEjerAdresseLinie3 ">
              <w:r w:rsidR="001E290E">
                <w:rPr>
                  <w:noProof/>
                </w:rPr>
                <w:t>«EDH_EjendomsEjerAdresseLinie3»</w:t>
              </w:r>
            </w:fldSimple>
            <w:r w:rsidRPr="001E290E">
              <w:t>|EDH_EjendomsEjerAdresseLinie4;</w:t>
            </w:r>
            <w:fldSimple w:instr=" MERGEFIELD EDH_EjendomsEjerAdresseLinie4 ">
              <w:r w:rsidR="001E290E">
                <w:rPr>
                  <w:noProof/>
                </w:rPr>
                <w:t>«EDH_EjendomsEjerAdresseLinie4»</w:t>
              </w:r>
            </w:fldSimple>
            <w:r w:rsidRPr="001E290E">
              <w:t>|EDH_EjendomsEjerAdresseLinie5;</w:t>
            </w:r>
            <w:fldSimple w:instr=" MERGEFIELD EDH_EjendomsEjerAdresseLinie5 ">
              <w:r w:rsidR="001E290E">
                <w:rPr>
                  <w:noProof/>
                </w:rPr>
                <w:t>«EDH_EjendomsEjerAdresseLinie5»</w:t>
              </w:r>
            </w:fldSimple>
            <w:r w:rsidRPr="001E290E">
              <w:t>|EDH_Fristdato;</w:t>
            </w:r>
            <w:fldSimple w:instr=" MERGEFIELD EDH_Fristdato ">
              <w:r w:rsidR="001E290E">
                <w:rPr>
                  <w:noProof/>
                </w:rPr>
                <w:t>«EDH_Fristdato»</w:t>
              </w:r>
            </w:fldSimple>
            <w:r w:rsidRPr="001E290E">
              <w:t>|EDH_FristdatoLang;</w:t>
            </w:r>
            <w:fldSimple w:instr=" MERGEFIELD EDH_FristdatoLang ">
              <w:r w:rsidR="001E290E">
                <w:rPr>
                  <w:noProof/>
                </w:rPr>
                <w:t>«EDH_FristdatoLang»</w:t>
              </w:r>
            </w:fldSimple>
            <w:r w:rsidRPr="001E290E">
              <w:t>|EDH_Kategori;</w:t>
            </w:r>
            <w:fldSimple w:instr=" MERGEFIELD EDH_Kategori ">
              <w:r w:rsidR="001E290E">
                <w:rPr>
                  <w:noProof/>
                </w:rPr>
                <w:t>«EDH_Kategori»</w:t>
              </w:r>
            </w:fldSimple>
            <w:r w:rsidRPr="001E290E">
              <w:t>|EDH_Klassifikation;</w:t>
            </w:r>
            <w:fldSimple w:instr=" MERGEFIELD EDH_Klassifikation ">
              <w:r w:rsidR="001E290E">
                <w:rPr>
                  <w:noProof/>
                </w:rPr>
                <w:t>«EDH_Klassifikation»</w:t>
              </w:r>
            </w:fldSimple>
            <w:r w:rsidRPr="001E290E">
              <w:t>|EDH_MedieKanal;</w:t>
            </w:r>
            <w:fldSimple w:instr=" MERGEFIELD EDH_MedieKanal ">
              <w:r w:rsidR="001E290E">
                <w:rPr>
                  <w:noProof/>
                </w:rPr>
                <w:t>«EDH_MedieKanal»</w:t>
              </w:r>
            </w:fldSimple>
            <w:r w:rsidRPr="001E290E">
              <w:t>|EDH_Navn;</w:t>
            </w:r>
            <w:fldSimple w:instr=" MERGEFIELD EDH_Navn ">
              <w:r w:rsidR="001E290E">
                <w:rPr>
                  <w:noProof/>
                </w:rPr>
                <w:t>«EDH_Navn»</w:t>
              </w:r>
            </w:fldSimple>
            <w:r w:rsidRPr="001E290E">
              <w:t>|EDH_AdresseLinie2;</w:t>
            </w:r>
            <w:fldSimple w:instr=" MERGEFIELD EDH_AdresseLinie2 ">
              <w:r w:rsidR="001E290E">
                <w:rPr>
                  <w:noProof/>
                </w:rPr>
                <w:t>«EDH_AdresseLinie2»</w:t>
              </w:r>
            </w:fldSimple>
            <w:r w:rsidRPr="001E290E">
              <w:t>|EDH_AdresseLinie3;</w:t>
            </w:r>
            <w:fldSimple w:instr=" MERGEFIELD EDH_AdresseLinie3 ">
              <w:r w:rsidR="001E290E">
                <w:rPr>
                  <w:noProof/>
                </w:rPr>
                <w:t>«EDH_AdresseLinie3»</w:t>
              </w:r>
            </w:fldSimple>
            <w:r w:rsidRPr="001E290E">
              <w:t>|EDH_AdresseLinie4;</w:t>
            </w:r>
            <w:fldSimple w:instr=" MERGEFIELD EDH_AdresseLinie4 ">
              <w:r w:rsidR="001E290E">
                <w:rPr>
                  <w:noProof/>
                </w:rPr>
                <w:t>«EDH_AdresseLinie4»</w:t>
              </w:r>
            </w:fldSimple>
            <w:r w:rsidRPr="001E290E">
              <w:t>|EDH_AdresseLinie5;</w:t>
            </w:r>
            <w:fldSimple w:instr=" MERGEFIELD EDH_AdresseLinie5 ">
              <w:r w:rsidR="001E290E">
                <w:rPr>
                  <w:noProof/>
                </w:rPr>
                <w:t>«EDH_AdresseLinie5»</w:t>
              </w:r>
            </w:fldSimple>
            <w:r w:rsidRPr="001E290E">
              <w:t>|EDH_OprettetAf;</w:t>
            </w:r>
            <w:fldSimple w:instr=" MERGEFIELD EDH_OprettetAf ">
              <w:r w:rsidR="001E290E">
                <w:rPr>
                  <w:noProof/>
                </w:rPr>
                <w:t>«EDH_OprettetAf»</w:t>
              </w:r>
            </w:fldSimple>
            <w:r w:rsidRPr="001E290E">
              <w:t>|EDH_OprettetAfBrugerID;</w:t>
            </w:r>
            <w:fldSimple w:instr=" MERGEFIELD EDH_OprettetAfBrugerID ">
              <w:r w:rsidR="001E290E">
                <w:rPr>
                  <w:noProof/>
                </w:rPr>
                <w:t>«EDH_OprettetAfBrugerID»</w:t>
              </w:r>
            </w:fldSimple>
            <w:r w:rsidRPr="001E290E">
              <w:t>|EDH_OprettetAfInitialer;</w:t>
            </w:r>
            <w:fldSimple w:instr=" MERGEFIELD EDH_OprettetAfInitialer ">
              <w:r w:rsidR="001E290E">
                <w:rPr>
                  <w:noProof/>
                </w:rPr>
                <w:t>«EDH_OprettetAfInitialer»</w:t>
              </w:r>
            </w:fldSimple>
            <w:r w:rsidRPr="001E290E">
              <w:t>|EDH_OprettetDato;</w:t>
            </w:r>
            <w:fldSimple w:instr=" MERGEFIELD EDH_OprettetDato ">
              <w:r w:rsidR="001E290E">
                <w:rPr>
                  <w:noProof/>
                </w:rPr>
                <w:t>«EDH_OprettetDato»</w:t>
              </w:r>
            </w:fldSimple>
            <w:r w:rsidRPr="001E290E">
              <w:t>|EDH_OprettetDatoLang;</w:t>
            </w:r>
            <w:fldSimple w:instr=" MERGEFIELD EDH_OprettetDatoLang ">
              <w:r w:rsidR="001E290E">
                <w:rPr>
                  <w:noProof/>
                </w:rPr>
                <w:t>«EDH_OprettetDatoLang»</w:t>
              </w:r>
            </w:fldSimple>
            <w:r w:rsidRPr="001E290E">
              <w:t>|EDH_PartId;</w:t>
            </w:r>
            <w:fldSimple w:instr=" MERGEFIELD EDH_PartId ">
              <w:r w:rsidR="001E290E">
                <w:rPr>
                  <w:noProof/>
                </w:rPr>
                <w:t>«EDH_PartId»</w:t>
              </w:r>
            </w:fldSimple>
            <w:r w:rsidRPr="001E290E">
              <w:t>|EDH_PartType;</w:t>
            </w:r>
            <w:fldSimple w:instr=" MERGEFIELD EDH_PartType ">
              <w:r w:rsidR="001E290E">
                <w:rPr>
                  <w:noProof/>
                </w:rPr>
                <w:t>«EDH_PartType»</w:t>
              </w:r>
            </w:fldSimple>
            <w:r w:rsidRPr="001E290E">
              <w:t>|EDH_Titel;</w:t>
            </w:r>
            <w:fldSimple w:instr=" MERGEFIELD EDH_Titel ">
              <w:r w:rsidR="001E290E">
                <w:rPr>
                  <w:noProof/>
                </w:rPr>
                <w:t>«EDH_Titel»</w:t>
              </w:r>
            </w:fldSimple>
            <w:r w:rsidRPr="001E290E">
              <w:t>|KONTAKT_Afdeling1Adresse;</w:t>
            </w:r>
            <w:fldSimple w:instr=" MERGEFIELD KONTAKT_Afdeling1Adresse ">
              <w:r w:rsidR="001E290E">
                <w:rPr>
                  <w:noProof/>
                </w:rPr>
                <w:t>«KONTAKT_Afdeling1Adresse»</w:t>
              </w:r>
            </w:fldSimple>
            <w:r w:rsidRPr="001E290E">
              <w:t>|KONTAKT_Afdeling1KortNavn;</w:t>
            </w:r>
            <w:fldSimple w:instr=" MERGEFIELD KONTAKT_Afdeling1KortNavn ">
              <w:r w:rsidR="001E290E">
                <w:rPr>
                  <w:noProof/>
                </w:rPr>
                <w:t>«KONTAKT_Afdeling1KortNavn»</w:t>
              </w:r>
            </w:fldSimple>
            <w:r w:rsidRPr="001E290E">
              <w:t>|KONTAKT_Afdeling1Navn;</w:t>
            </w:r>
            <w:fldSimple w:instr=" MERGEFIELD KONTAKT_Afdeling1Navn ">
              <w:r w:rsidR="001E290E">
                <w:rPr>
                  <w:noProof/>
                </w:rPr>
                <w:t>«KONTAKT_Afdeling1Navn»</w:t>
              </w:r>
            </w:fldSimple>
            <w:r w:rsidRPr="001E290E">
              <w:t>|KONTAKT_Afdeling1Postnr;</w:t>
            </w:r>
            <w:fldSimple w:instr=" MERGEFIELD KONTAKT_Afdeling1Postnr ">
              <w:r w:rsidR="001E290E">
                <w:rPr>
                  <w:noProof/>
                </w:rPr>
                <w:t>«KONTAKT_Afdeling1Postnr»</w:t>
              </w:r>
            </w:fldSimple>
            <w:r w:rsidRPr="001E290E">
              <w:t>|KONTAKT_Afdeling2Adresse;</w:t>
            </w:r>
            <w:fldSimple w:instr=" MERGEFIELD KONTAKT_Afdeling2Adresse ">
              <w:r w:rsidR="001E290E">
                <w:rPr>
                  <w:noProof/>
                </w:rPr>
                <w:t>«KONTAKT_Afdeling2Adresse»</w:t>
              </w:r>
            </w:fldSimple>
            <w:r w:rsidRPr="001E290E">
              <w:t>|KONTAKT_Afdeling2KortNavn;</w:t>
            </w:r>
            <w:fldSimple w:instr=" MERGEFIELD KONTAKT_Afdeling2KortNavn ">
              <w:r w:rsidR="001E290E">
                <w:rPr>
                  <w:noProof/>
                </w:rPr>
                <w:t>«KONTAKT_Afdeling2KortNavn»</w:t>
              </w:r>
            </w:fldSimple>
            <w:r w:rsidRPr="001E290E">
              <w:t>|KONTAKT_Afdeling2Navn;</w:t>
            </w:r>
            <w:fldSimple w:instr=" MERGEFIELD KONTAKT_Afdeling2Navn ">
              <w:r w:rsidR="001E290E">
                <w:rPr>
                  <w:noProof/>
                </w:rPr>
                <w:t>«KONTAKT_Afdeling2Navn»</w:t>
              </w:r>
            </w:fldSimple>
            <w:r w:rsidRPr="001E290E">
              <w:t>|KONTAKT_Afdeling2Postnr;</w:t>
            </w:r>
            <w:fldSimple w:instr=" MERGEFIELD KONTAKT_Afdeling2Postnr ">
              <w:r w:rsidR="001E290E">
                <w:rPr>
                  <w:noProof/>
                </w:rPr>
                <w:t>«KONTAKT_Afdeling2Postnr»</w:t>
              </w:r>
            </w:fldSimple>
            <w:r w:rsidRPr="001E290E">
              <w:t>|KONTAKT_BrugerID;</w:t>
            </w:r>
            <w:fldSimple w:instr=" MERGEFIELD KONTAKT_BrugerID ">
              <w:r w:rsidR="001E290E">
                <w:rPr>
                  <w:noProof/>
                </w:rPr>
                <w:t>«KONTAKT_BrugerID»</w:t>
              </w:r>
            </w:fldSimple>
            <w:r w:rsidRPr="001E290E">
              <w:t>|KONTAKT_CentralAdresse;</w:t>
            </w:r>
            <w:fldSimple w:instr=" MERGEFIELD KONTAKT_CentralAdresse ">
              <w:r w:rsidR="001E290E">
                <w:rPr>
                  <w:noProof/>
                </w:rPr>
                <w:t>«KONTAKT_CentralAdresse»</w:t>
              </w:r>
            </w:fldSimple>
            <w:r w:rsidRPr="001E290E">
              <w:t>|KONTAKT_CentralPostnr;</w:t>
            </w:r>
            <w:fldSimple w:instr=" MERGEFIELD KONTAKT_CentralPostnr ">
              <w:r w:rsidR="001E290E">
                <w:rPr>
                  <w:noProof/>
                </w:rPr>
                <w:t>«KONTAKT_CentralPostnr»</w:t>
              </w:r>
            </w:fldSimple>
            <w:r w:rsidRPr="001E290E">
              <w:t>|KONTAKT_Initialer;</w:t>
            </w:r>
            <w:fldSimple w:instr=" MERGEFIELD KONTAKT_Initialer ">
              <w:r w:rsidR="001E290E">
                <w:rPr>
                  <w:noProof/>
                </w:rPr>
                <w:t>«KONTAKT_Initialer»</w:t>
              </w:r>
            </w:fldSimple>
            <w:r w:rsidRPr="001E290E">
              <w:t>|KONTAKT_KontorLokale;</w:t>
            </w:r>
            <w:fldSimple w:instr=" MERGEFIELD KONTAKT_KontorLokale ">
              <w:r w:rsidR="001E290E">
                <w:rPr>
                  <w:noProof/>
                </w:rPr>
                <w:t>«KONTAKT_KontorLokale»</w:t>
              </w:r>
            </w:fldSimple>
            <w:r w:rsidRPr="001E290E">
              <w:t>|KONTAKT_Navn;</w:t>
            </w:r>
            <w:fldSimple w:instr=" MERGEFIELD KONTAKT_Navn ">
              <w:r w:rsidR="001E290E">
                <w:rPr>
                  <w:noProof/>
                </w:rPr>
                <w:t>«KONTAKT_Navn»</w:t>
              </w:r>
            </w:fldSimple>
            <w:r w:rsidRPr="001E290E">
              <w:t>|KONTAKT_NavnUnderskrift;</w:t>
            </w:r>
            <w:fldSimple w:instr=" MERGEFIELD KONTAKT_NavnUnderskrift ">
              <w:r w:rsidR="001E290E">
                <w:rPr>
                  <w:noProof/>
                </w:rPr>
                <w:t>«KONTAKT_NavnUnderskrift»</w:t>
              </w:r>
            </w:fldSimple>
            <w:r w:rsidRPr="001E290E">
              <w:t>|KONTAKT_StedfortraedBrugerID;</w:t>
            </w:r>
            <w:fldSimple w:instr=" MERGEFIELD KONTAKT_StedfortraedBrugerID ">
              <w:r w:rsidR="001E290E">
                <w:rPr>
                  <w:noProof/>
                </w:rPr>
                <w:t>«KONTAKT_StedfortraedBrugerID»</w:t>
              </w:r>
            </w:fldSimple>
            <w:r w:rsidRPr="001E290E">
              <w:t>|KONTAKT_StedfortraedInitialer;</w:t>
            </w:r>
            <w:fldSimple w:instr=" MERGEFIELD KONTAKT_StedfortraedInitialer ">
              <w:r w:rsidR="001E290E">
                <w:rPr>
                  <w:noProof/>
                </w:rPr>
                <w:t>«KONTAKT_StedfortraedInitialer»</w:t>
              </w:r>
            </w:fldSimple>
            <w:r w:rsidRPr="001E290E">
              <w:t>|KONTAKT_StedfortraedNavn;</w:t>
            </w:r>
            <w:fldSimple w:instr=" MERGEFIELD KONTAKT_StedfortraedNavn ">
              <w:r w:rsidR="001E290E">
                <w:rPr>
                  <w:noProof/>
                </w:rPr>
                <w:t>«KONTAKT_StedfortraedNavn»</w:t>
              </w:r>
            </w:fldSimple>
            <w:r w:rsidRPr="001E290E">
              <w:t>|KONTAKT_StedfortraedStilling;</w:t>
            </w:r>
            <w:fldSimple w:instr=" MERGEFIELD KONTAKT_StedfortraedStilling ">
              <w:r w:rsidR="001E290E">
                <w:rPr>
                  <w:noProof/>
                </w:rPr>
                <w:t>«KONTAKT_StedfortraedStilling»</w:t>
              </w:r>
            </w:fldSimple>
            <w:r w:rsidRPr="001E290E">
              <w:t>|KONTAKT_StedfortraedUnderskrift;</w:t>
            </w:r>
            <w:fldSimple w:instr=" MERGEFIELD KONTAKT_StedfortraedUnderskrift ">
              <w:r w:rsidR="001E290E">
                <w:rPr>
                  <w:noProof/>
                </w:rPr>
                <w:t>«KONTAKT_StedfortraedUnderskrift»</w:t>
              </w:r>
            </w:fldSimple>
            <w:r w:rsidRPr="001E290E">
              <w:t>|KONTAKT_Stilling;</w:t>
            </w:r>
            <w:fldSimple w:instr=" MERGEFIELD KONTAKT_Stilling ">
              <w:r w:rsidR="001E290E">
                <w:rPr>
                  <w:noProof/>
                </w:rPr>
                <w:t>«KONTAKT_Stilling»</w:t>
              </w:r>
            </w:fldSimple>
            <w:r w:rsidRPr="001E290E">
              <w:t>|KONTAKT_Traeffetid;</w:t>
            </w:r>
            <w:fldSimple w:instr=" MERGEFIELD KONTAKT_Traeffetid ">
              <w:r w:rsidR="001E290E">
                <w:rPr>
                  <w:noProof/>
                </w:rPr>
                <w:t>«KONTAKT_Traeffetid»</w:t>
              </w:r>
            </w:fldSimple>
            <w:r w:rsidRPr="001E290E">
              <w:t>|KONTAKT_Frit1;</w:t>
            </w:r>
            <w:fldSimple w:instr=" MERGEFIELD KONTAKT_Frit1 ">
              <w:r w:rsidR="001E290E">
                <w:rPr>
                  <w:noProof/>
                </w:rPr>
                <w:t>«KONTAKT_Frit1»</w:t>
              </w:r>
            </w:fldSimple>
            <w:r w:rsidRPr="001E290E">
              <w:t>|KONTAKT_Frit2;</w:t>
            </w:r>
            <w:fldSimple w:instr=" MERGEFIELD KONTAKT_Frit2 ">
              <w:r w:rsidR="001E290E">
                <w:rPr>
                  <w:noProof/>
                </w:rPr>
                <w:t>«KONTAKT_Frit2»</w:t>
              </w:r>
            </w:fldSimple>
            <w:r w:rsidRPr="001E290E">
              <w:t>|KONTAKT_Frit3;</w:t>
            </w:r>
            <w:fldSimple w:instr=" MERGEFIELD KONTAKT_Frit3 ">
              <w:r w:rsidR="001E290E">
                <w:rPr>
                  <w:noProof/>
                </w:rPr>
                <w:t>«KONTAKT_Frit3»</w:t>
              </w:r>
            </w:fldSimple>
            <w:r w:rsidRPr="001E290E">
              <w:t>|KONTAKT_Frit4;</w:t>
            </w:r>
            <w:fldSimple w:instr=" MERGEFIELD KONTAKT_Frit4 ">
              <w:r w:rsidR="001E290E">
                <w:rPr>
                  <w:noProof/>
                </w:rPr>
                <w:t>«KONTAKT_Frit4»</w:t>
              </w:r>
            </w:fldSimple>
            <w:r w:rsidRPr="001E290E">
              <w:t>|KONTAKT_Frit5;</w:t>
            </w:r>
            <w:fldSimple w:instr=" MERGEFIELD KONTAKT_Frit5 ">
              <w:r w:rsidR="001E290E">
                <w:rPr>
                  <w:noProof/>
                </w:rPr>
                <w:t>«KONTAKT_Frit5»</w:t>
              </w:r>
            </w:fldSimple>
            <w:r w:rsidRPr="001E290E">
              <w:t>|SAG_ajourfortDato;</w:t>
            </w:r>
            <w:fldSimple w:instr=" MERGEFIELD SAG_ajourfortDato ">
              <w:r w:rsidR="001E290E">
                <w:rPr>
                  <w:noProof/>
                </w:rPr>
                <w:t>«SAG_ajourfortDato»</w:t>
              </w:r>
            </w:fldSimple>
            <w:r w:rsidRPr="001E290E">
              <w:t>|SAG_ajourfortDatoLang;</w:t>
            </w:r>
            <w:fldSimple w:instr=" MERGEFIELD SAG_ajourfortDatoLang ">
              <w:r w:rsidR="001E290E">
                <w:rPr>
                  <w:noProof/>
                </w:rPr>
                <w:t>«SAG_ajourfortDatoLang»</w:t>
              </w:r>
            </w:fldSimple>
            <w:r w:rsidRPr="001E290E">
              <w:t>|SAG_beskrivelse;</w:t>
            </w:r>
            <w:fldSimple w:instr=" MERGEFIELD SAG_beskrivelse ">
              <w:r w:rsidR="001E290E">
                <w:rPr>
                  <w:noProof/>
                </w:rPr>
                <w:t>«SAG_beskrivelse»</w:t>
              </w:r>
            </w:fldSimple>
            <w:r w:rsidRPr="001E290E">
              <w:t>|SAG_funktionsFacet;</w:t>
            </w:r>
            <w:fldSimple w:instr=" MERGEFIELD SAG_funktionsFacet ">
              <w:r w:rsidR="001E290E">
                <w:rPr>
                  <w:noProof/>
                </w:rPr>
                <w:t>«SAG_funktionsFacet»</w:t>
              </w:r>
            </w:fldSimple>
            <w:r w:rsidRPr="001E290E">
              <w:t>|SAG_gemtAfInitialer;</w:t>
            </w:r>
            <w:fldSimple w:instr=" MERGEFIELD SAG_gemtAfInitialer ">
              <w:r w:rsidR="001E290E">
                <w:rPr>
                  <w:noProof/>
                </w:rPr>
                <w:t>«SAG_gemtAfInitialer»</w:t>
              </w:r>
            </w:fldSimple>
            <w:r w:rsidRPr="001E290E">
              <w:t>|SAG_kassation;</w:t>
            </w:r>
            <w:fldSimple w:instr=" MERGEFIELD SAG_kassation ">
              <w:r w:rsidR="001E290E">
                <w:rPr>
                  <w:noProof/>
                </w:rPr>
                <w:t>«SAG_kassation»</w:t>
              </w:r>
            </w:fldSimple>
            <w:r w:rsidRPr="001E290E">
              <w:t>|SAG_oprettetAf;</w:t>
            </w:r>
            <w:fldSimple w:instr=" MERGEFIELD SAG_oprettetAf ">
              <w:r w:rsidR="001E290E">
                <w:rPr>
                  <w:noProof/>
                </w:rPr>
                <w:t>«SAG_oprettetAf»</w:t>
              </w:r>
            </w:fldSimple>
            <w:r w:rsidRPr="001E290E">
              <w:t>|SAG_oprettetDato;</w:t>
            </w:r>
            <w:fldSimple w:instr=" MERGEFIELD SAG_oprettetDato ">
              <w:r w:rsidR="001E290E">
                <w:rPr>
                  <w:noProof/>
                </w:rPr>
                <w:t>«SAG_oprettetDato»</w:t>
              </w:r>
            </w:fldSimple>
            <w:r w:rsidRPr="001E290E">
              <w:t>|SAG_oprettetDatoLang;</w:t>
            </w:r>
            <w:fldSimple w:instr=" MERGEFIELD SAG_oprettetDatoLang ">
              <w:r w:rsidR="001E290E">
                <w:rPr>
                  <w:noProof/>
                </w:rPr>
                <w:t>«SAG_oprettetDatoLang»</w:t>
              </w:r>
            </w:fldSimple>
            <w:r w:rsidRPr="001E290E">
              <w:t>|SAG_overskrift;</w:t>
            </w:r>
            <w:fldSimple w:instr=" MERGEFIELD SAG_overskrift ">
              <w:r w:rsidR="001E290E">
                <w:rPr>
                  <w:noProof/>
                </w:rPr>
                <w:t>«SAG_overskrift»</w:t>
              </w:r>
            </w:fldSimple>
            <w:r w:rsidRPr="001E290E">
              <w:t>|SAG_primaerPartNavn;</w:t>
            </w:r>
            <w:fldSimple w:instr=" MERGEFIELD SAG_primaerPartNavn ">
              <w:r w:rsidR="001E290E">
                <w:rPr>
                  <w:noProof/>
                </w:rPr>
                <w:t>«SAG_primaerPartNavn»</w:t>
              </w:r>
            </w:fldSimple>
            <w:r w:rsidRPr="001E290E">
              <w:t>|SAG_primaerAdresseLinie2;</w:t>
            </w:r>
            <w:fldSimple w:instr=" MERGEFIELD SAG_primaerAdresseLinie2 ">
              <w:r w:rsidR="001E290E">
                <w:rPr>
                  <w:noProof/>
                </w:rPr>
                <w:t>«SAG_primaerAdresseLinie2»</w:t>
              </w:r>
            </w:fldSimple>
            <w:r w:rsidRPr="001E290E">
              <w:t>|SAG_primaerAdresseLinie3;</w:t>
            </w:r>
            <w:fldSimple w:instr=" MERGEFIELD SAG_primaerAdresseLinie3 ">
              <w:r w:rsidR="001E290E">
                <w:rPr>
                  <w:noProof/>
                </w:rPr>
                <w:t>«SAG_primaerAdresseLinie3»</w:t>
              </w:r>
            </w:fldSimple>
            <w:r w:rsidRPr="001E290E">
              <w:t>|SAG_primaerAdresseLinie4;</w:t>
            </w:r>
            <w:fldSimple w:instr=" MERGEFIELD SAG_primaerAdresseLinie4 ">
              <w:r w:rsidR="001E290E">
                <w:rPr>
                  <w:noProof/>
                </w:rPr>
                <w:t>«SAG_primaerAdresseLinie4»</w:t>
              </w:r>
            </w:fldSimple>
            <w:r w:rsidRPr="001E290E">
              <w:t>|SAG_primaerAdresseLinie5;</w:t>
            </w:r>
            <w:fldSimple w:instr=" MERGEFIELD SAG_primaerAdresseLinie5 ">
              <w:r w:rsidR="001E290E">
                <w:rPr>
                  <w:noProof/>
                </w:rPr>
                <w:t>«SAG_primaerAdresseLinie5»</w:t>
              </w:r>
            </w:fldSimple>
            <w:r w:rsidRPr="001E290E">
              <w:t>|SAG_primaerPartId;</w:t>
            </w:r>
            <w:fldSimple w:instr=" MERGEFIELD SAG_primaerPartId ">
              <w:r w:rsidR="001E290E">
                <w:rPr>
                  <w:noProof/>
                </w:rPr>
                <w:t>«SAG_primaerPartId»</w:t>
              </w:r>
            </w:fldSimple>
            <w:r w:rsidRPr="001E290E">
              <w:t>|SAG_primaerPartType;</w:t>
            </w:r>
            <w:fldSimple w:instr=" MERGEFIELD SAG_primaerPartType ">
              <w:r w:rsidR="001E290E">
                <w:rPr>
                  <w:noProof/>
                </w:rPr>
                <w:t>«SAG_primaerPartType»</w:t>
              </w:r>
            </w:fldSimple>
            <w:r w:rsidRPr="001E290E">
              <w:t>|SAG_sagsbehandler;</w:t>
            </w:r>
            <w:fldSimple w:instr=" MERGEFIELD SAG_sagsbehandler ">
              <w:r w:rsidR="001E290E">
                <w:rPr>
                  <w:noProof/>
                </w:rPr>
                <w:t>«SAG_sagsbehandler»</w:t>
              </w:r>
            </w:fldSimple>
            <w:r w:rsidRPr="001E290E">
              <w:t>|SAG_sagsDato;</w:t>
            </w:r>
            <w:fldSimple w:instr=" MERGEFIELD SAG_sagsDato ">
              <w:r w:rsidR="001E290E">
                <w:rPr>
                  <w:noProof/>
                </w:rPr>
                <w:t>«SAG_sagsDato»</w:t>
              </w:r>
            </w:fldSimple>
            <w:r w:rsidRPr="001E290E">
              <w:t>|SAG_sagsDatoLang;</w:t>
            </w:r>
            <w:fldSimple w:instr=" MERGEFIELD SAG_sagsDatoLang ">
              <w:r w:rsidR="001E290E">
                <w:rPr>
                  <w:noProof/>
                </w:rPr>
                <w:t>«SAG_sagsDatoLang»</w:t>
              </w:r>
            </w:fldSimple>
            <w:r w:rsidRPr="001E290E">
              <w:t>|SAG_sagsId;</w:t>
            </w:r>
            <w:fldSimple w:instr=" MERGEFIELD SAG_sagsId ">
              <w:r w:rsidR="001E290E">
                <w:rPr>
                  <w:noProof/>
                </w:rPr>
                <w:t>«SAG_sagsId»</w:t>
              </w:r>
            </w:fldSimple>
            <w:r w:rsidRPr="001E290E">
              <w:t>|SAG_sagsStatusDatoDato;</w:t>
            </w:r>
            <w:fldSimple w:instr=" MERGEFIELD SAG_sagsStatusDatoDato ">
              <w:r w:rsidR="001E290E">
                <w:rPr>
                  <w:noProof/>
                </w:rPr>
                <w:t>«SAG_sagsStatusDatoDato»</w:t>
              </w:r>
            </w:fldSimple>
            <w:r w:rsidRPr="001E290E">
              <w:t>|SAG_sagsStatusDatoDatoLang;</w:t>
            </w:r>
            <w:fldSimple w:instr=" MERGEFIELD SAG_sagsStatusDatoDatoLang ">
              <w:r w:rsidR="001E290E">
                <w:rPr>
                  <w:noProof/>
                </w:rPr>
                <w:t>«SAG_sagsStatusDatoDatoLang»</w:t>
              </w:r>
            </w:fldSimple>
            <w:r w:rsidRPr="001E290E">
              <w:t>|SAG_sagsTypenavn;</w:t>
            </w:r>
            <w:fldSimple w:instr=" MERGEFIELD SAG_sagsTypenavn ">
              <w:r w:rsidR="001E290E">
                <w:rPr>
                  <w:noProof/>
                </w:rPr>
                <w:t>«SAG_sagsTypenavn»</w:t>
              </w:r>
            </w:fldSimple>
            <w:r w:rsidRPr="001E290E">
              <w:t>|SAG_sagsTypenr;</w:t>
            </w:r>
            <w:fldSimple w:instr=" MERGEFIELD SAG_sagsTypenr ">
              <w:r w:rsidR="001E290E">
                <w:rPr>
                  <w:noProof/>
                </w:rPr>
                <w:t>«SAG_sagsTypenr»</w:t>
              </w:r>
            </w:fldSimple>
          </w:p>
        </w:tc>
      </w:tr>
      <w:bookmarkEnd w:id="0"/>
    </w:tbl>
    <w:p w14:paraId="32104A1B" w14:textId="77777777" w:rsidR="00134359" w:rsidRPr="001E290E"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1E290E" w14:paraId="42915FD7" w14:textId="77777777" w:rsidTr="005E2129">
        <w:trPr>
          <w:trHeight w:val="521"/>
        </w:trPr>
        <w:tc>
          <w:tcPr>
            <w:tcW w:w="3771" w:type="dxa"/>
          </w:tcPr>
          <w:p w14:paraId="35F7BC2F" w14:textId="77777777" w:rsidR="00951656" w:rsidRPr="001E290E" w:rsidRDefault="00951656" w:rsidP="005E2129">
            <w:r w:rsidRPr="001E290E">
              <w:t>Med venlig hilsen</w:t>
            </w:r>
          </w:p>
          <w:p w14:paraId="7BFB30C3" w14:textId="77777777" w:rsidR="00951656" w:rsidRPr="001E290E" w:rsidRDefault="00951656" w:rsidP="005E2129"/>
          <w:p w14:paraId="6E8A92F0" w14:textId="77777777" w:rsidR="005E2129" w:rsidRPr="001E290E" w:rsidRDefault="005E2129" w:rsidP="005E2129"/>
        </w:tc>
        <w:tc>
          <w:tcPr>
            <w:tcW w:w="3771" w:type="dxa"/>
            <w:vAlign w:val="bottom"/>
          </w:tcPr>
          <w:p w14:paraId="5533E2D1" w14:textId="77777777" w:rsidR="00951656" w:rsidRPr="001E290E" w:rsidRDefault="00951656" w:rsidP="005E2129"/>
        </w:tc>
      </w:tr>
      <w:tr w:rsidR="005E2129" w:rsidRPr="001E290E" w14:paraId="6924E41F" w14:textId="77777777" w:rsidTr="005E2129">
        <w:trPr>
          <w:trHeight w:val="447"/>
        </w:trPr>
        <w:tc>
          <w:tcPr>
            <w:tcW w:w="3771" w:type="dxa"/>
            <w:vAlign w:val="bottom"/>
          </w:tcPr>
          <w:p w14:paraId="5E1694DE" w14:textId="77777777" w:rsidR="001E290E" w:rsidRPr="001E290E" w:rsidRDefault="001E290E" w:rsidP="001E290E">
            <w:pPr>
              <w:rPr>
                <w:rFonts w:cs="Arial"/>
              </w:rPr>
            </w:pPr>
            <w:r w:rsidRPr="001E290E">
              <w:rPr>
                <w:rFonts w:cs="Arial"/>
              </w:rPr>
              <w:t>Mette Wolthers</w:t>
            </w:r>
          </w:p>
          <w:p w14:paraId="2359F9B8" w14:textId="77777777" w:rsidR="005E2129" w:rsidRPr="001E290E" w:rsidRDefault="001E290E" w:rsidP="001E290E">
            <w:r w:rsidRPr="001E290E">
              <w:rPr>
                <w:rFonts w:cs="Arial"/>
              </w:rPr>
              <w:t>Teknikumingeniør</w:t>
            </w:r>
          </w:p>
        </w:tc>
        <w:tc>
          <w:tcPr>
            <w:tcW w:w="3771" w:type="dxa"/>
            <w:vAlign w:val="bottom"/>
          </w:tcPr>
          <w:p w14:paraId="4DCDBEFE" w14:textId="77777777" w:rsidR="005E2129" w:rsidRPr="001E290E" w:rsidRDefault="005E2129" w:rsidP="005E2129"/>
        </w:tc>
      </w:tr>
    </w:tbl>
    <w:p w14:paraId="47506EE6" w14:textId="77777777" w:rsidR="00C15782" w:rsidRDefault="00C15782" w:rsidP="00536988">
      <w:pPr>
        <w:spacing w:after="200" w:line="276" w:lineRule="auto"/>
      </w:pPr>
    </w:p>
    <w:p w14:paraId="48524A08" w14:textId="77777777" w:rsidR="006A7631" w:rsidRDefault="006A7631" w:rsidP="00536988">
      <w:pPr>
        <w:spacing w:after="200" w:line="276" w:lineRule="auto"/>
      </w:pPr>
    </w:p>
    <w:p w14:paraId="16790E94" w14:textId="77777777" w:rsidR="006C7B39" w:rsidRDefault="006C7B39" w:rsidP="006C7B39">
      <w:pPr>
        <w:pStyle w:val="Hilsen"/>
        <w:spacing w:line="240" w:lineRule="atLeast"/>
        <w:rPr>
          <w:rFonts w:ascii="Arial" w:hAnsi="Arial"/>
          <w:iCs/>
          <w:sz w:val="20"/>
        </w:rPr>
      </w:pPr>
      <w:r w:rsidRPr="009A239E">
        <w:rPr>
          <w:rFonts w:ascii="Arial" w:hAnsi="Arial"/>
          <w:iCs/>
          <w:sz w:val="20"/>
        </w:rPr>
        <w:t>Kopi af afgørelsen er sendt til:</w:t>
      </w:r>
      <w:r>
        <w:rPr>
          <w:rFonts w:ascii="Arial" w:hAnsi="Arial"/>
          <w:iCs/>
          <w:sz w:val="20"/>
        </w:rPr>
        <w:t xml:space="preserve"> </w:t>
      </w:r>
    </w:p>
    <w:p w14:paraId="2770507F" w14:textId="18506BE2" w:rsidR="006A7631" w:rsidRPr="006A7631" w:rsidRDefault="006A7631" w:rsidP="006A7631">
      <w:pPr>
        <w:pStyle w:val="Hilsen"/>
        <w:spacing w:line="240" w:lineRule="atLeast"/>
        <w:rPr>
          <w:rFonts w:ascii="Arial" w:hAnsi="Arial"/>
          <w:iCs/>
          <w:sz w:val="20"/>
        </w:rPr>
      </w:pPr>
      <w:r>
        <w:rPr>
          <w:rFonts w:ascii="Arial" w:hAnsi="Arial"/>
          <w:iCs/>
          <w:sz w:val="20"/>
        </w:rPr>
        <w:t xml:space="preserve">- </w:t>
      </w:r>
      <w:r w:rsidRPr="006A7631">
        <w:rPr>
          <w:rFonts w:ascii="Arial" w:hAnsi="Arial"/>
          <w:iCs/>
          <w:sz w:val="20"/>
        </w:rPr>
        <w:t>Danmarks Naturfredningsforening, E-mail dnguldborgsund-sager@dn.dk</w:t>
      </w:r>
    </w:p>
    <w:p w14:paraId="2EF9F563" w14:textId="1ACCE34B" w:rsidR="006C7B39" w:rsidRDefault="006A7631" w:rsidP="006A7631">
      <w:pPr>
        <w:pStyle w:val="Hilsen"/>
        <w:spacing w:line="240" w:lineRule="atLeast"/>
        <w:rPr>
          <w:rFonts w:ascii="Arial" w:hAnsi="Arial"/>
          <w:iCs/>
          <w:sz w:val="20"/>
        </w:rPr>
      </w:pPr>
      <w:r w:rsidRPr="006A7631">
        <w:rPr>
          <w:rFonts w:ascii="Arial" w:hAnsi="Arial"/>
          <w:iCs/>
          <w:sz w:val="20"/>
        </w:rPr>
        <w:t>- Friluftsrådet, E-mail fr@friluftsraadet.dk</w:t>
      </w:r>
    </w:p>
    <w:p w14:paraId="3D30F06C" w14:textId="2E019A8F" w:rsidR="006C7B39" w:rsidRDefault="006A7631" w:rsidP="006C7B39">
      <w:pPr>
        <w:pStyle w:val="Hilsen"/>
        <w:spacing w:line="240" w:lineRule="atLeast"/>
        <w:rPr>
          <w:rFonts w:ascii="Arial" w:hAnsi="Arial"/>
          <w:iCs/>
          <w:sz w:val="20"/>
        </w:rPr>
      </w:pPr>
      <w:r>
        <w:rPr>
          <w:rFonts w:ascii="Arial" w:hAnsi="Arial"/>
          <w:iCs/>
          <w:sz w:val="20"/>
        </w:rPr>
        <w:t xml:space="preserve">- </w:t>
      </w:r>
      <w:r w:rsidR="006C7B39">
        <w:rPr>
          <w:rFonts w:ascii="Arial" w:hAnsi="Arial"/>
          <w:iCs/>
          <w:sz w:val="20"/>
        </w:rPr>
        <w:t>finn@marielystvognmand.dk</w:t>
      </w:r>
    </w:p>
    <w:sectPr w:rsidR="006C7B39"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D4AD" w14:textId="77777777" w:rsidR="00943DB4" w:rsidRPr="001E290E" w:rsidRDefault="00943DB4" w:rsidP="00FA2EFE">
      <w:pPr>
        <w:spacing w:line="240" w:lineRule="auto"/>
      </w:pPr>
      <w:r w:rsidRPr="001E290E">
        <w:separator/>
      </w:r>
    </w:p>
  </w:endnote>
  <w:endnote w:type="continuationSeparator" w:id="0">
    <w:p w14:paraId="1752D5F1" w14:textId="77777777" w:rsidR="00943DB4" w:rsidRPr="001E290E" w:rsidRDefault="00943DB4" w:rsidP="00FA2EFE">
      <w:pPr>
        <w:spacing w:line="240" w:lineRule="auto"/>
      </w:pPr>
      <w:r w:rsidRPr="001E2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36D7" w14:textId="77777777" w:rsidR="00256FC9" w:rsidRPr="001E290E" w:rsidRDefault="00256FC9" w:rsidP="00C15782">
    <w:pPr>
      <w:pStyle w:val="Sidefod"/>
    </w:pPr>
  </w:p>
  <w:p w14:paraId="462FA335" w14:textId="77777777" w:rsidR="00256FC9" w:rsidRPr="001E290E"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53D5" w14:textId="77777777" w:rsidR="00943DB4" w:rsidRPr="001E290E" w:rsidRDefault="00943DB4" w:rsidP="00FA2EFE">
      <w:pPr>
        <w:spacing w:line="240" w:lineRule="auto"/>
      </w:pPr>
      <w:r w:rsidRPr="001E290E">
        <w:separator/>
      </w:r>
    </w:p>
  </w:footnote>
  <w:footnote w:type="continuationSeparator" w:id="0">
    <w:p w14:paraId="1702A02C" w14:textId="77777777" w:rsidR="00943DB4" w:rsidRPr="001E290E" w:rsidRDefault="00943DB4" w:rsidP="00FA2EFE">
      <w:pPr>
        <w:spacing w:line="240" w:lineRule="auto"/>
      </w:pPr>
      <w:r w:rsidRPr="001E290E">
        <w:continuationSeparator/>
      </w:r>
    </w:p>
  </w:footnote>
  <w:footnote w:id="1">
    <w:p w14:paraId="25E97B92" w14:textId="1E6FD69B" w:rsidR="0008101A" w:rsidRDefault="0008101A">
      <w:pPr>
        <w:pStyle w:val="Fodnotetekst"/>
      </w:pPr>
      <w:r>
        <w:rPr>
          <w:rStyle w:val="Fodnotehenvisning"/>
        </w:rPr>
        <w:footnoteRef/>
      </w:r>
      <w:r>
        <w:t xml:space="preserve"> Lov om miljøbeskyttelse jf. Lovbekendtgørelse nr. </w:t>
      </w:r>
      <w:r>
        <w:rPr>
          <w:rFonts w:ascii="Source Sans Pro" w:hAnsi="Source Sans Pro"/>
          <w:sz w:val="21"/>
          <w:szCs w:val="21"/>
          <w:shd w:val="clear" w:color="auto" w:fill="FFFFFF"/>
        </w:rPr>
        <w:t>5 af 3/1/2023</w:t>
      </w:r>
    </w:p>
  </w:footnote>
  <w:footnote w:id="2">
    <w:p w14:paraId="1493252F" w14:textId="67E2FBC0" w:rsidR="0008101A" w:rsidRDefault="0008101A">
      <w:pPr>
        <w:pStyle w:val="Fodnotetekst"/>
      </w:pPr>
      <w:r>
        <w:rPr>
          <w:rStyle w:val="Fodnotehenvisning"/>
        </w:rPr>
        <w:footnoteRef/>
      </w:r>
      <w:r>
        <w:t xml:space="preserve"> </w:t>
      </w:r>
      <w:r w:rsidRPr="0008101A">
        <w:t>Bekendtgørelse om godkendelse af listevirksomhed</w:t>
      </w:r>
      <w:r>
        <w:t xml:space="preserve"> nr. 2080 af 15/11/2021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71D" w14:textId="77777777" w:rsidR="00256FC9" w:rsidRPr="001E290E"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1E290E" w14:paraId="5E240FF7" w14:textId="77777777" w:rsidTr="00C15782">
      <w:tc>
        <w:tcPr>
          <w:tcW w:w="2268" w:type="dxa"/>
          <w:tcBorders>
            <w:top w:val="nil"/>
            <w:left w:val="nil"/>
            <w:bottom w:val="nil"/>
            <w:right w:val="nil"/>
          </w:tcBorders>
        </w:tcPr>
        <w:p w14:paraId="0664A53F" w14:textId="7CCDFFA7" w:rsidR="00256FC9" w:rsidRPr="001E290E" w:rsidRDefault="00256FC9" w:rsidP="00C15782">
          <w:pPr>
            <w:pStyle w:val="Kolofon"/>
          </w:pPr>
          <w:r w:rsidRPr="001E290E">
            <w:t xml:space="preserve">Side </w:t>
          </w:r>
          <w:r w:rsidRPr="001E290E">
            <w:fldChar w:fldCharType="begin"/>
          </w:r>
          <w:r w:rsidRPr="001E290E">
            <w:instrText xml:space="preserve"> PAGE </w:instrText>
          </w:r>
          <w:r w:rsidRPr="001E290E">
            <w:fldChar w:fldCharType="separate"/>
          </w:r>
          <w:r w:rsidRPr="001E290E">
            <w:rPr>
              <w:noProof/>
            </w:rPr>
            <w:t>2</w:t>
          </w:r>
          <w:r w:rsidRPr="001E290E">
            <w:rPr>
              <w:noProof/>
            </w:rPr>
            <w:fldChar w:fldCharType="end"/>
          </w:r>
          <w:r w:rsidRPr="001E290E">
            <w:fldChar w:fldCharType="begin"/>
          </w:r>
          <w:r w:rsidRPr="001E290E">
            <w:instrText xml:space="preserve"> IF </w:instrText>
          </w:r>
          <w:fldSimple w:instr=" NUMPAGES ">
            <w:r w:rsidR="006417C8">
              <w:rPr>
                <w:noProof/>
              </w:rPr>
              <w:instrText>3</w:instrText>
            </w:r>
          </w:fldSimple>
          <w:r w:rsidRPr="001E290E">
            <w:instrText xml:space="preserve"> &gt; 2 "/</w:instrText>
          </w:r>
          <w:fldSimple w:instr=" NUMPAGES ">
            <w:r w:rsidR="006417C8">
              <w:rPr>
                <w:noProof/>
              </w:rPr>
              <w:instrText>3</w:instrText>
            </w:r>
          </w:fldSimple>
          <w:r w:rsidRPr="001E290E">
            <w:instrText xml:space="preserve">" </w:instrText>
          </w:r>
          <w:r w:rsidRPr="001E290E">
            <w:fldChar w:fldCharType="separate"/>
          </w:r>
          <w:r w:rsidR="006417C8" w:rsidRPr="001E290E">
            <w:rPr>
              <w:noProof/>
            </w:rPr>
            <w:t>/</w:t>
          </w:r>
          <w:r w:rsidR="006417C8">
            <w:rPr>
              <w:noProof/>
            </w:rPr>
            <w:t>3</w:t>
          </w:r>
          <w:r w:rsidRPr="001E290E">
            <w:fldChar w:fldCharType="end"/>
          </w:r>
        </w:p>
      </w:tc>
    </w:tr>
  </w:tbl>
  <w:p w14:paraId="28856BC5" w14:textId="77777777" w:rsidR="00256FC9" w:rsidRPr="001E290E"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1E290E" w14:paraId="43BEE7BD" w14:textId="77777777" w:rsidTr="001E290E">
      <w:trPr>
        <w:trHeight w:hRule="exact" w:val="9070"/>
      </w:trPr>
      <w:tc>
        <w:tcPr>
          <w:tcW w:w="2268" w:type="dxa"/>
          <w:tcBorders>
            <w:top w:val="nil"/>
            <w:left w:val="nil"/>
            <w:bottom w:val="nil"/>
            <w:right w:val="nil"/>
          </w:tcBorders>
          <w:vAlign w:val="bottom"/>
        </w:tcPr>
        <w:p w14:paraId="6AF70A77" w14:textId="77777777" w:rsidR="00256FC9" w:rsidRPr="001E290E" w:rsidRDefault="00256FC9" w:rsidP="001E290E">
          <w:pPr>
            <w:pStyle w:val="Kolofon"/>
          </w:pPr>
          <w:r w:rsidRPr="001E290E">
            <w:t>Guldborgsund Kommune</w:t>
          </w:r>
        </w:p>
        <w:p w14:paraId="225978DC" w14:textId="77777777" w:rsidR="001E290E" w:rsidRPr="001E290E" w:rsidRDefault="001E290E" w:rsidP="001E290E">
          <w:pPr>
            <w:pStyle w:val="Kolofon"/>
            <w:rPr>
              <w:rFonts w:cs="Arial"/>
            </w:rPr>
          </w:pPr>
        </w:p>
        <w:p w14:paraId="5D7E4CB0" w14:textId="77777777" w:rsidR="001E290E" w:rsidRPr="001E290E" w:rsidRDefault="001E290E" w:rsidP="001E290E">
          <w:pPr>
            <w:pStyle w:val="Kolofon"/>
            <w:rPr>
              <w:rFonts w:cs="Arial"/>
            </w:rPr>
          </w:pPr>
          <w:r w:rsidRPr="001E290E">
            <w:rPr>
              <w:rFonts w:cs="Arial"/>
            </w:rPr>
            <w:t>Center for Teknik &amp; Miljø</w:t>
          </w:r>
        </w:p>
        <w:p w14:paraId="5150E1B0" w14:textId="77777777" w:rsidR="001E290E" w:rsidRPr="001E290E" w:rsidRDefault="001E290E" w:rsidP="001E290E">
          <w:pPr>
            <w:pStyle w:val="Kolofon"/>
            <w:rPr>
              <w:rFonts w:cs="Arial"/>
            </w:rPr>
          </w:pPr>
          <w:r w:rsidRPr="001E290E">
            <w:rPr>
              <w:rFonts w:cs="Arial"/>
            </w:rPr>
            <w:t>Natur &amp; Miljø</w:t>
          </w:r>
        </w:p>
        <w:p w14:paraId="26EF1067" w14:textId="77777777" w:rsidR="001E290E" w:rsidRPr="001E290E" w:rsidRDefault="001E290E" w:rsidP="001E290E">
          <w:pPr>
            <w:pStyle w:val="Kolofon"/>
            <w:rPr>
              <w:rFonts w:cs="Arial"/>
            </w:rPr>
          </w:pPr>
          <w:r w:rsidRPr="001E290E">
            <w:rPr>
              <w:rFonts w:cs="Arial"/>
            </w:rPr>
            <w:t>Parkvej 37</w:t>
          </w:r>
        </w:p>
        <w:p w14:paraId="3C5515BC" w14:textId="77777777" w:rsidR="001E290E" w:rsidRPr="001E290E" w:rsidRDefault="001E290E" w:rsidP="001E290E">
          <w:pPr>
            <w:pStyle w:val="Kolofon"/>
            <w:rPr>
              <w:rFonts w:cs="Arial"/>
            </w:rPr>
          </w:pPr>
          <w:r w:rsidRPr="001E290E">
            <w:rPr>
              <w:rFonts w:cs="Arial"/>
            </w:rPr>
            <w:t>4800 Nykøbing F.</w:t>
          </w:r>
        </w:p>
        <w:p w14:paraId="272FB0BB" w14:textId="77777777" w:rsidR="001E290E" w:rsidRPr="001E290E" w:rsidRDefault="001E290E" w:rsidP="001E290E">
          <w:pPr>
            <w:pStyle w:val="Kolofon"/>
            <w:rPr>
              <w:rFonts w:cs="Arial"/>
            </w:rPr>
          </w:pPr>
          <w:r w:rsidRPr="001E290E">
            <w:rPr>
              <w:rFonts w:cs="Arial"/>
            </w:rPr>
            <w:t>Tlf +45 25180696</w:t>
          </w:r>
        </w:p>
        <w:p w14:paraId="6B9BAAD5" w14:textId="77777777" w:rsidR="001E290E" w:rsidRPr="001E290E" w:rsidRDefault="001E290E" w:rsidP="001E290E">
          <w:pPr>
            <w:pStyle w:val="Kolofon"/>
            <w:rPr>
              <w:rFonts w:cs="Arial"/>
            </w:rPr>
          </w:pPr>
          <w:r w:rsidRPr="001E290E">
            <w:rPr>
              <w:rFonts w:cs="Arial"/>
            </w:rPr>
            <w:t>www.guldborgsund.dk</w:t>
          </w:r>
        </w:p>
        <w:p w14:paraId="4DF5905C" w14:textId="77777777" w:rsidR="001E290E" w:rsidRPr="001E290E" w:rsidRDefault="001E290E" w:rsidP="001E290E">
          <w:pPr>
            <w:pStyle w:val="Kolofon"/>
            <w:rPr>
              <w:rFonts w:cs="Arial"/>
            </w:rPr>
          </w:pPr>
        </w:p>
        <w:p w14:paraId="60AFF150" w14:textId="77777777" w:rsidR="001E290E" w:rsidRPr="001E290E" w:rsidRDefault="001E290E" w:rsidP="001E290E">
          <w:pPr>
            <w:pStyle w:val="Kolofon"/>
            <w:rPr>
              <w:rFonts w:cs="Arial"/>
            </w:rPr>
          </w:pPr>
          <w:r w:rsidRPr="001E290E">
            <w:rPr>
              <w:rFonts w:cs="Arial"/>
            </w:rPr>
            <w:t>Sagsbehandler:</w:t>
          </w:r>
        </w:p>
        <w:p w14:paraId="58C9665F" w14:textId="77777777" w:rsidR="001E290E" w:rsidRPr="001E290E" w:rsidRDefault="001E290E" w:rsidP="001E290E">
          <w:pPr>
            <w:pStyle w:val="Kolofon"/>
            <w:rPr>
              <w:rFonts w:cs="Arial"/>
            </w:rPr>
          </w:pPr>
          <w:r w:rsidRPr="001E290E">
            <w:rPr>
              <w:rFonts w:cs="Arial"/>
            </w:rPr>
            <w:t>Mette Wolthers</w:t>
          </w:r>
        </w:p>
        <w:p w14:paraId="41694253" w14:textId="77777777" w:rsidR="001E290E" w:rsidRPr="001E290E" w:rsidRDefault="001E290E" w:rsidP="001E290E">
          <w:pPr>
            <w:pStyle w:val="Kolofon"/>
            <w:rPr>
              <w:rFonts w:cs="Arial"/>
            </w:rPr>
          </w:pPr>
          <w:r w:rsidRPr="001E290E">
            <w:rPr>
              <w:rFonts w:cs="Arial"/>
            </w:rPr>
            <w:t>Mob +45 25180696</w:t>
          </w:r>
        </w:p>
        <w:p w14:paraId="7E222EA2" w14:textId="77777777" w:rsidR="001E290E" w:rsidRPr="001E290E" w:rsidRDefault="001E290E" w:rsidP="001E290E">
          <w:pPr>
            <w:pStyle w:val="Kolofon"/>
            <w:rPr>
              <w:rFonts w:cs="Arial"/>
            </w:rPr>
          </w:pPr>
          <w:r w:rsidRPr="001E290E">
            <w:rPr>
              <w:rFonts w:cs="Arial"/>
            </w:rPr>
            <w:t>mewol@guldborgsund.dk</w:t>
          </w:r>
        </w:p>
        <w:p w14:paraId="0063FDCF" w14:textId="77777777" w:rsidR="001E290E" w:rsidRPr="001E290E" w:rsidRDefault="001E290E" w:rsidP="001E290E">
          <w:pPr>
            <w:pStyle w:val="Kolofon"/>
            <w:rPr>
              <w:rFonts w:cs="Arial"/>
            </w:rPr>
          </w:pPr>
        </w:p>
        <w:p w14:paraId="170C928B" w14:textId="77777777" w:rsidR="001E290E" w:rsidRPr="001E290E" w:rsidRDefault="001E290E" w:rsidP="001E290E">
          <w:pPr>
            <w:pStyle w:val="Kolofon"/>
            <w:rPr>
              <w:rFonts w:cs="Arial"/>
            </w:rPr>
          </w:pPr>
          <w:r w:rsidRPr="001E290E">
            <w:rPr>
              <w:rFonts w:cs="Arial"/>
            </w:rPr>
            <w:t>Cvr nr. 29 18 85 99</w:t>
          </w:r>
          <w:r w:rsidR="00256FC9" w:rsidRPr="001E290E">
            <w:t xml:space="preserve"> </w:t>
          </w:r>
        </w:p>
        <w:p w14:paraId="585E95A5" w14:textId="77777777" w:rsidR="001E290E" w:rsidRPr="001E290E" w:rsidRDefault="001E290E" w:rsidP="001E290E">
          <w:pPr>
            <w:pStyle w:val="Kolofon"/>
            <w:rPr>
              <w:rFonts w:cs="Arial"/>
            </w:rPr>
          </w:pPr>
        </w:p>
        <w:p w14:paraId="3F9FB729" w14:textId="77777777" w:rsidR="001E290E" w:rsidRDefault="001E290E" w:rsidP="001E290E">
          <w:pPr>
            <w:pStyle w:val="Kolofon"/>
          </w:pPr>
          <w:r>
            <w:t>TELEFONTIDER</w:t>
          </w:r>
        </w:p>
        <w:p w14:paraId="6D42723D" w14:textId="77777777" w:rsidR="001E290E" w:rsidRDefault="001E290E" w:rsidP="001E290E">
          <w:pPr>
            <w:pStyle w:val="Kolofon"/>
          </w:pPr>
          <w:r>
            <w:t>MAN – ONS KL. 9.00 – 15.00</w:t>
          </w:r>
        </w:p>
        <w:p w14:paraId="29257FE7" w14:textId="77777777" w:rsidR="001E290E" w:rsidRDefault="001E290E" w:rsidP="001E290E">
          <w:pPr>
            <w:pStyle w:val="Kolofon"/>
          </w:pPr>
          <w:r>
            <w:t>TORS KL. 9.00 – 17.00</w:t>
          </w:r>
        </w:p>
        <w:p w14:paraId="1EA89092" w14:textId="77777777" w:rsidR="00256FC9" w:rsidRPr="001E290E" w:rsidRDefault="001E290E" w:rsidP="001E290E">
          <w:pPr>
            <w:pStyle w:val="Kolofon"/>
          </w:pPr>
          <w:r>
            <w:t>FRE KL. 9.00 – 12.00</w:t>
          </w:r>
        </w:p>
      </w:tc>
    </w:tr>
  </w:tbl>
  <w:p w14:paraId="0DCD0811" w14:textId="77777777" w:rsidR="00256FC9" w:rsidRPr="001E290E" w:rsidRDefault="001E290E" w:rsidP="00134359">
    <w:pPr>
      <w:pStyle w:val="Sidehoved"/>
      <w:ind w:left="-2438"/>
    </w:pPr>
    <w:r>
      <w:rPr>
        <w:noProof/>
      </w:rPr>
      <w:drawing>
        <wp:anchor distT="0" distB="0" distL="114300" distR="114300" simplePos="0" relativeHeight="251658240" behindDoc="1" locked="0" layoutInCell="1" allowOverlap="1" wp14:anchorId="389C8171" wp14:editId="671EAE21">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1E290E" w14:paraId="620C4AE5" w14:textId="77777777" w:rsidTr="004326B8">
      <w:tc>
        <w:tcPr>
          <w:tcW w:w="2268" w:type="dxa"/>
          <w:tcBorders>
            <w:top w:val="nil"/>
            <w:left w:val="nil"/>
            <w:bottom w:val="nil"/>
            <w:right w:val="nil"/>
          </w:tcBorders>
        </w:tcPr>
        <w:p w14:paraId="0DBB35D1" w14:textId="231ED564" w:rsidR="00256FC9" w:rsidRPr="00C94780" w:rsidRDefault="00BF4AF7" w:rsidP="001E290E">
          <w:pPr>
            <w:pStyle w:val="Kolofon"/>
          </w:pPr>
          <w:r w:rsidRPr="00C94780">
            <w:rPr>
              <w:rFonts w:cs="Arial"/>
            </w:rPr>
            <w:t>4</w:t>
          </w:r>
          <w:r w:rsidR="001E290E" w:rsidRPr="00C94780">
            <w:rPr>
              <w:rFonts w:cs="Arial"/>
            </w:rPr>
            <w:t xml:space="preserve">. </w:t>
          </w:r>
          <w:r w:rsidRPr="00C94780">
            <w:rPr>
              <w:rFonts w:cs="Arial"/>
            </w:rPr>
            <w:t>maj</w:t>
          </w:r>
          <w:r w:rsidR="001E290E" w:rsidRPr="00C94780">
            <w:rPr>
              <w:rFonts w:cs="Arial"/>
            </w:rPr>
            <w:t xml:space="preserve"> 2023</w:t>
          </w:r>
        </w:p>
      </w:tc>
    </w:tr>
  </w:tbl>
  <w:p w14:paraId="0CA22755" w14:textId="77777777" w:rsidR="00256FC9" w:rsidRPr="001E290E"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JdeluqpAvKJNiF696/xhqGuCFtM+9YN0ssh4guZqQ+np0ZgzOppKstqyTQL3/W7w"/>
    <w:docVar w:name="Encrypted_DocHeader" w:val="BeJBmJ7Z3/BF9WFlIWWGGw=="/>
    <w:docVar w:name="Encrypted_DocumentChangeThisVar" w:val="Go1BF8BBsJqqGsR1izlsvQ=="/>
    <w:docVar w:name="IntegrationType" w:val="StandAlone"/>
  </w:docVars>
  <w:rsids>
    <w:rsidRoot w:val="001E290E"/>
    <w:rsid w:val="0000272B"/>
    <w:rsid w:val="00010839"/>
    <w:rsid w:val="00016D3E"/>
    <w:rsid w:val="00016F8A"/>
    <w:rsid w:val="000239A6"/>
    <w:rsid w:val="00031907"/>
    <w:rsid w:val="00033839"/>
    <w:rsid w:val="0003426E"/>
    <w:rsid w:val="000345AD"/>
    <w:rsid w:val="000501BC"/>
    <w:rsid w:val="00061AC1"/>
    <w:rsid w:val="0007570B"/>
    <w:rsid w:val="00076122"/>
    <w:rsid w:val="0008101A"/>
    <w:rsid w:val="00081852"/>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E290E"/>
    <w:rsid w:val="001E6FAE"/>
    <w:rsid w:val="001F7E07"/>
    <w:rsid w:val="002114C3"/>
    <w:rsid w:val="00252AA2"/>
    <w:rsid w:val="00254849"/>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B7D88"/>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E5849"/>
    <w:rsid w:val="004F33E2"/>
    <w:rsid w:val="0053512D"/>
    <w:rsid w:val="00536076"/>
    <w:rsid w:val="00536988"/>
    <w:rsid w:val="00542252"/>
    <w:rsid w:val="00545BCB"/>
    <w:rsid w:val="00555833"/>
    <w:rsid w:val="005717C2"/>
    <w:rsid w:val="00575491"/>
    <w:rsid w:val="00595D19"/>
    <w:rsid w:val="00597032"/>
    <w:rsid w:val="005A466E"/>
    <w:rsid w:val="005E2129"/>
    <w:rsid w:val="005E3B77"/>
    <w:rsid w:val="00616578"/>
    <w:rsid w:val="00625FDD"/>
    <w:rsid w:val="006417C8"/>
    <w:rsid w:val="00651180"/>
    <w:rsid w:val="00663850"/>
    <w:rsid w:val="00665160"/>
    <w:rsid w:val="006A3A6C"/>
    <w:rsid w:val="006A7631"/>
    <w:rsid w:val="006B241D"/>
    <w:rsid w:val="006C3E17"/>
    <w:rsid w:val="006C4458"/>
    <w:rsid w:val="006C7B39"/>
    <w:rsid w:val="006D4E1C"/>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43DB4"/>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619E6"/>
    <w:rsid w:val="00AB60DA"/>
    <w:rsid w:val="00AC1F38"/>
    <w:rsid w:val="00AC1FBC"/>
    <w:rsid w:val="00AD35E4"/>
    <w:rsid w:val="00AE0319"/>
    <w:rsid w:val="00AE7831"/>
    <w:rsid w:val="00AF68C8"/>
    <w:rsid w:val="00B01BAA"/>
    <w:rsid w:val="00B02E0F"/>
    <w:rsid w:val="00B126B4"/>
    <w:rsid w:val="00B35ABD"/>
    <w:rsid w:val="00B51F59"/>
    <w:rsid w:val="00B5270D"/>
    <w:rsid w:val="00B72F89"/>
    <w:rsid w:val="00B72FB8"/>
    <w:rsid w:val="00B8395A"/>
    <w:rsid w:val="00B84C93"/>
    <w:rsid w:val="00B9185F"/>
    <w:rsid w:val="00B94742"/>
    <w:rsid w:val="00BA5026"/>
    <w:rsid w:val="00BD2E52"/>
    <w:rsid w:val="00BD3FEF"/>
    <w:rsid w:val="00BD683F"/>
    <w:rsid w:val="00BF115B"/>
    <w:rsid w:val="00BF179E"/>
    <w:rsid w:val="00BF4AF7"/>
    <w:rsid w:val="00C15782"/>
    <w:rsid w:val="00C15E2F"/>
    <w:rsid w:val="00C51F69"/>
    <w:rsid w:val="00C55E7C"/>
    <w:rsid w:val="00C737F0"/>
    <w:rsid w:val="00C9369D"/>
    <w:rsid w:val="00C94780"/>
    <w:rsid w:val="00C97D83"/>
    <w:rsid w:val="00CA5AB6"/>
    <w:rsid w:val="00CE217D"/>
    <w:rsid w:val="00CE5365"/>
    <w:rsid w:val="00D01AD4"/>
    <w:rsid w:val="00D0489F"/>
    <w:rsid w:val="00D21E7F"/>
    <w:rsid w:val="00D277CF"/>
    <w:rsid w:val="00D27C60"/>
    <w:rsid w:val="00D82D53"/>
    <w:rsid w:val="00DA063D"/>
    <w:rsid w:val="00DA75B6"/>
    <w:rsid w:val="00DE7EDC"/>
    <w:rsid w:val="00DF3654"/>
    <w:rsid w:val="00E036A4"/>
    <w:rsid w:val="00E157A5"/>
    <w:rsid w:val="00E20DFB"/>
    <w:rsid w:val="00E32775"/>
    <w:rsid w:val="00E32C17"/>
    <w:rsid w:val="00E53082"/>
    <w:rsid w:val="00E66A55"/>
    <w:rsid w:val="00E7224A"/>
    <w:rsid w:val="00EA146D"/>
    <w:rsid w:val="00EB70FB"/>
    <w:rsid w:val="00EC0139"/>
    <w:rsid w:val="00EC1731"/>
    <w:rsid w:val="00EC7A28"/>
    <w:rsid w:val="00EE0281"/>
    <w:rsid w:val="00EF3A13"/>
    <w:rsid w:val="00EF7E2D"/>
    <w:rsid w:val="00F05301"/>
    <w:rsid w:val="00F15F2C"/>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A0DE"/>
  <w15:docId w15:val="{70E9DD6C-6BD9-4D0E-9E2D-9D298156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08101A"/>
    <w:pPr>
      <w:spacing w:line="240" w:lineRule="auto"/>
    </w:pPr>
    <w:rPr>
      <w:szCs w:val="20"/>
    </w:rPr>
  </w:style>
  <w:style w:type="character" w:customStyle="1" w:styleId="FodnotetekstTegn">
    <w:name w:val="Fodnotetekst Tegn"/>
    <w:basedOn w:val="Standardskrifttypeiafsnit"/>
    <w:link w:val="Fodnotetekst"/>
    <w:uiPriority w:val="99"/>
    <w:semiHidden/>
    <w:rsid w:val="0008101A"/>
    <w:rPr>
      <w:rFonts w:ascii="Arial" w:hAnsi="Arial"/>
      <w:sz w:val="20"/>
      <w:szCs w:val="20"/>
    </w:rPr>
  </w:style>
  <w:style w:type="character" w:styleId="Fodnotehenvisning">
    <w:name w:val="footnote reference"/>
    <w:basedOn w:val="Standardskrifttypeiafsnit"/>
    <w:uiPriority w:val="99"/>
    <w:semiHidden/>
    <w:unhideWhenUsed/>
    <w:rsid w:val="0008101A"/>
    <w:rPr>
      <w:vertAlign w:val="superscript"/>
    </w:rPr>
  </w:style>
  <w:style w:type="character" w:styleId="Hyperlink">
    <w:name w:val="Hyperlink"/>
    <w:basedOn w:val="Standardskrifttypeiafsnit"/>
    <w:unhideWhenUsed/>
    <w:rsid w:val="00F15F2C"/>
    <w:rPr>
      <w:color w:val="0000FF" w:themeColor="hyperlink"/>
      <w:u w:val="single"/>
    </w:rPr>
  </w:style>
  <w:style w:type="paragraph" w:styleId="NormalWeb">
    <w:name w:val="Normal (Web)"/>
    <w:basedOn w:val="Normal"/>
    <w:uiPriority w:val="99"/>
    <w:unhideWhenUsed/>
    <w:rsid w:val="00F15F2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F15F2C"/>
    <w:pPr>
      <w:snapToGrid w:val="0"/>
      <w:spacing w:line="240" w:lineRule="auto"/>
    </w:pPr>
    <w:rPr>
      <w:rFonts w:ascii="Verdana" w:eastAsia="Times New Roman" w:hAnsi="Verdana" w:cs="Arial"/>
      <w:sz w:val="18"/>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ma.mst.d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aevneneshus.dk/start-din-klage/miljoe-og-foedevareklagenaev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dberet.virk.dk/" TargetMode="External"/><Relationship Id="rId4" Type="http://schemas.openxmlformats.org/officeDocument/2006/relationships/webSettings" Target="webSettings.xml"/><Relationship Id="rId9" Type="http://schemas.openxmlformats.org/officeDocument/2006/relationships/hyperlink" Target="https://www.borger.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1390</Words>
  <Characters>11858</Characters>
  <Application>Microsoft Office Word</Application>
  <DocSecurity>0</DocSecurity>
  <Lines>296</Lines>
  <Paragraphs>123</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2023-05-04T09:02:00Z</dcterms:created>
  <dcterms:modified xsi:type="dcterms:W3CDTF">2023-05-04T09:02:00Z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