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DA55BA" w:rsidRDefault="00525A69" w:rsidP="00910B79">
      <w:pPr>
        <w:spacing w:line="264" w:lineRule="auto"/>
        <w:ind w:left="851" w:hanging="851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:rsidR="00525A69" w:rsidRPr="00DA55BA" w:rsidRDefault="00525A69" w:rsidP="00EE6AAF">
      <w:pPr>
        <w:spacing w:line="264" w:lineRule="auto"/>
        <w:ind w:left="0"/>
        <w:rPr>
          <w:rFonts w:ascii="Arial" w:hAnsi="Arial" w:cs="Arial"/>
          <w:sz w:val="22"/>
          <w:szCs w:val="22"/>
        </w:rPr>
      </w:pPr>
    </w:p>
    <w:p w:rsidR="00EF553B" w:rsidRPr="00DA55BA" w:rsidRDefault="00EF553B" w:rsidP="00EF553B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A55BA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A55BA">
        <w:rPr>
          <w:rFonts w:ascii="Arial" w:hAnsi="Arial" w:cs="Arial"/>
          <w:color w:val="000000"/>
          <w:sz w:val="20"/>
        </w:rPr>
        <w:t>.</w:t>
      </w:r>
    </w:p>
    <w:p w:rsidR="00E95D99" w:rsidRPr="00DA55BA" w:rsidRDefault="00E95D99" w:rsidP="00D031FF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>Vi vil gerne tydeliggøre overfor dig, hvilke oplysninger, der er tale om. Oplysningerne fremgår af nedenstående tabel.</w:t>
      </w:r>
    </w:p>
    <w:p w:rsidR="00367912" w:rsidRPr="00DA55BA" w:rsidRDefault="00367912" w:rsidP="00D3485D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2"/>
        <w:gridCol w:w="5212"/>
      </w:tblGrid>
      <w:tr w:rsidR="00E95D99" w:rsidRPr="00DA55BA" w:rsidTr="006A058A">
        <w:trPr>
          <w:trHeight w:val="120"/>
        </w:trPr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6A058A" w:rsidP="004E6F00">
            <w:pPr>
              <w:spacing w:before="120" w:after="12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>Valdemar Bogh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6A058A" w:rsidP="004E6F00">
            <w:pPr>
              <w:spacing w:before="120" w:after="12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Binderup Søndergade 11, Bjert</w:t>
            </w:r>
            <w:r w:rsidR="007F027D" w:rsidRPr="00DA55BA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6102ED" w:rsidRPr="00DA55BA" w:rsidTr="006A058A">
        <w:tc>
          <w:tcPr>
            <w:tcW w:w="3828" w:type="dxa"/>
            <w:shd w:val="clear" w:color="auto" w:fill="DAEEF3"/>
            <w:vAlign w:val="center"/>
          </w:tcPr>
          <w:p w:rsidR="006102ED" w:rsidRPr="00DA55BA" w:rsidRDefault="006102ED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Lejers navn, adresse og CVR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6102ED" w:rsidRDefault="006102ED" w:rsidP="004E6F00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Overgård I/S, Højvejen 54, 6094 Hejls</w:t>
            </w:r>
          </w:p>
          <w:p w:rsidR="006102ED" w:rsidRPr="006A058A" w:rsidRDefault="006102ED" w:rsidP="004E6F00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CVR-nr. 31838835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6A058A" w:rsidP="004E6F00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 w:rsidRPr="006A058A">
              <w:rPr>
                <w:rFonts w:ascii="Arial" w:eastAsia="Calibri" w:hAnsi="Arial" w:cs="Arial"/>
                <w:sz w:val="20"/>
              </w:rPr>
              <w:t>62251212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2A3C93" w:rsidP="004E6F00">
            <w:pPr>
              <w:spacing w:before="120" w:after="120"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13-12-2021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4E6F00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4E6F00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4E6F00" w:rsidRDefault="006A058A" w:rsidP="006A058A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Prioriteret tilsyn på Binderup Søndergade 11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B4183" w:rsidRPr="00DA55BA" w:rsidRDefault="00D01710" w:rsidP="006A058A">
            <w:pPr>
              <w:spacing w:before="120" w:after="12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Svineproduktion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E95D99" w:rsidP="00007225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4E6F00">
              <w:rPr>
                <w:rFonts w:ascii="Arial" w:eastAsia="Calibri" w:hAnsi="Arial" w:cs="Arial"/>
                <w:sz w:val="20"/>
              </w:rPr>
              <w:t xml:space="preserve">Om ejendommen overholder gældende </w:t>
            </w:r>
            <w:r w:rsidR="006A058A">
              <w:rPr>
                <w:rFonts w:ascii="Arial" w:eastAsia="Calibri" w:hAnsi="Arial" w:cs="Arial"/>
                <w:sz w:val="20"/>
              </w:rPr>
              <w:t>miljø</w:t>
            </w:r>
            <w:r w:rsidRPr="004E6F00">
              <w:rPr>
                <w:rFonts w:ascii="Arial" w:eastAsia="Calibri" w:hAnsi="Arial" w:cs="Arial"/>
                <w:sz w:val="20"/>
              </w:rPr>
              <w:t>lovgivning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4E6F00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4E6F00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4E6F00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4E6F00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4E6F00" w:rsidRDefault="006E0926" w:rsidP="004E6F00">
            <w:pPr>
              <w:spacing w:before="120" w:after="120"/>
              <w:ind w:left="0"/>
              <w:rPr>
                <w:rFonts w:ascii="Arial" w:eastAsia="Calibri" w:hAnsi="Arial" w:cs="Arial"/>
                <w:sz w:val="20"/>
              </w:rPr>
            </w:pPr>
            <w:r w:rsidRPr="004E6F0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D01710" w:rsidP="004E6F00">
            <w:pPr>
              <w:spacing w:before="120" w:after="12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:rsidR="00E95D99" w:rsidRPr="00DA55BA" w:rsidRDefault="00E95D99" w:rsidP="004E6F00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:rsidTr="006A058A">
        <w:tc>
          <w:tcPr>
            <w:tcW w:w="3828" w:type="dxa"/>
            <w:shd w:val="clear" w:color="auto" w:fill="DAEEF3"/>
            <w:vAlign w:val="center"/>
          </w:tcPr>
          <w:p w:rsidR="00E95D99" w:rsidRPr="00DA55BA" w:rsidRDefault="00E95D99" w:rsidP="004E6F00">
            <w:pPr>
              <w:spacing w:before="120" w:after="120"/>
              <w:ind w:left="284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E95D99" w:rsidRPr="00DA55BA" w:rsidRDefault="00D01710" w:rsidP="004E6F00">
            <w:pPr>
              <w:spacing w:before="120" w:after="12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Ingen bemærkninger</w:t>
            </w:r>
          </w:p>
          <w:p w:rsidR="00E95D99" w:rsidRPr="00DA55BA" w:rsidRDefault="00E95D99" w:rsidP="004E6F00">
            <w:pPr>
              <w:spacing w:before="120" w:after="120"/>
              <w:rPr>
                <w:rFonts w:ascii="Arial" w:eastAsia="Calibri" w:hAnsi="Arial" w:cs="Arial"/>
                <w:sz w:val="20"/>
              </w:rPr>
            </w:pPr>
          </w:p>
        </w:tc>
      </w:tr>
    </w:tbl>
    <w:p w:rsidR="00E95D99" w:rsidRPr="00DA55BA" w:rsidRDefault="00E95D99" w:rsidP="00E95D99">
      <w:pPr>
        <w:rPr>
          <w:rFonts w:ascii="Arial" w:hAnsi="Arial" w:cs="Arial"/>
        </w:rPr>
      </w:pPr>
    </w:p>
    <w:p w:rsidR="002A3C93" w:rsidRDefault="002A3C93" w:rsidP="002A3C93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:rsidR="002A3C93" w:rsidRPr="007008A3" w:rsidRDefault="002A3C93" w:rsidP="002A3C93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:rsidR="002A3C93" w:rsidRPr="00DA55BA" w:rsidRDefault="002A3C93" w:rsidP="002A3C93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1F4003" w:rsidRPr="00DA55BA" w:rsidRDefault="001F4003" w:rsidP="00D3485D">
      <w:pPr>
        <w:ind w:left="0"/>
        <w:jc w:val="left"/>
        <w:rPr>
          <w:rFonts w:ascii="Arial" w:hAnsi="Arial" w:cs="Arial"/>
          <w:color w:val="000000"/>
          <w:sz w:val="18"/>
          <w:szCs w:val="18"/>
        </w:rPr>
      </w:pPr>
      <w:bookmarkStart w:id="4" w:name="_GoBack"/>
      <w:bookmarkEnd w:id="4"/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2A3C93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2A3C93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02" w:rsidRDefault="002A3C93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AAF" w:rsidRPr="00183FA0" w:rsidRDefault="002A3C93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07225"/>
    <w:rsid w:val="00012B0F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B7753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35476"/>
    <w:rsid w:val="00255EE8"/>
    <w:rsid w:val="00266A74"/>
    <w:rsid w:val="002725CA"/>
    <w:rsid w:val="00281823"/>
    <w:rsid w:val="00283DB6"/>
    <w:rsid w:val="00295C26"/>
    <w:rsid w:val="00297A3A"/>
    <w:rsid w:val="002A3C93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E567E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E6F00"/>
    <w:rsid w:val="004F1798"/>
    <w:rsid w:val="004F610A"/>
    <w:rsid w:val="004F76B4"/>
    <w:rsid w:val="004F780F"/>
    <w:rsid w:val="00516377"/>
    <w:rsid w:val="00520220"/>
    <w:rsid w:val="00525A69"/>
    <w:rsid w:val="00545765"/>
    <w:rsid w:val="00553062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5E3"/>
    <w:rsid w:val="005F1647"/>
    <w:rsid w:val="005F3CD1"/>
    <w:rsid w:val="005F69D3"/>
    <w:rsid w:val="006102ED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58A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33BA5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6611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4598C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D6390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8627C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1710"/>
    <w:rsid w:val="00D031FF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C6BB9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0CD2B5FA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163C-2925-4891-89E5-3BA2E875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7</TotalTime>
  <Pages>1</Pages>
  <Words>149</Words>
  <Characters>1122</Characters>
  <Application>Microsoft Office Word</Application>
  <DocSecurity>0</DocSecurity>
  <Lines>51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1235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2017-10-10T11:36:00Z</cp:lastPrinted>
  <dcterms:created xsi:type="dcterms:W3CDTF">2021-12-14T07:52:00Z</dcterms:created>
  <dcterms:modified xsi:type="dcterms:W3CDTF">2021-12-14T07:59:00Z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{19F29488-8063-4117-BFE8-C584904A5A55}</vt:lpwstr>
  </property>
</Properties>
</file>