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1F3" w:rsidRPr="009851F3" w:rsidRDefault="009851F3" w:rsidP="009851F3">
      <w:pPr>
        <w:spacing w:line="360" w:lineRule="auto"/>
        <w:jc w:val="center"/>
        <w:rPr>
          <w:sz w:val="40"/>
          <w:szCs w:val="40"/>
        </w:rPr>
      </w:pPr>
      <w:bookmarkStart w:id="0" w:name="_GoBack"/>
      <w:bookmarkEnd w:id="0"/>
      <w:r w:rsidRPr="009851F3">
        <w:rPr>
          <w:sz w:val="40"/>
          <w:szCs w:val="40"/>
        </w:rPr>
        <w:t>Tillæg til miljøgodkendelse</w:t>
      </w:r>
    </w:p>
    <w:p w:rsidR="009851F3" w:rsidRPr="009851F3" w:rsidRDefault="009851F3" w:rsidP="009851F3">
      <w:pPr>
        <w:spacing w:line="360" w:lineRule="auto"/>
        <w:jc w:val="center"/>
        <w:rPr>
          <w:sz w:val="40"/>
          <w:szCs w:val="40"/>
        </w:rPr>
      </w:pPr>
      <w:r w:rsidRPr="009851F3">
        <w:rPr>
          <w:sz w:val="40"/>
          <w:szCs w:val="40"/>
        </w:rPr>
        <w:t>Skælskør Haveaffaldsplads</w:t>
      </w:r>
    </w:p>
    <w:p w:rsidR="009851F3" w:rsidRPr="009851F3" w:rsidRDefault="009851F3" w:rsidP="009851F3">
      <w:pPr>
        <w:spacing w:line="360" w:lineRule="auto"/>
        <w:jc w:val="center"/>
        <w:rPr>
          <w:sz w:val="40"/>
          <w:szCs w:val="40"/>
        </w:rPr>
      </w:pPr>
      <w:r w:rsidRPr="009851F3">
        <w:rPr>
          <w:sz w:val="40"/>
          <w:szCs w:val="40"/>
        </w:rPr>
        <w:t>Industrivej 55, 4230 Skælskør</w:t>
      </w:r>
    </w:p>
    <w:p w:rsidR="009851F3" w:rsidRPr="009851F3" w:rsidRDefault="009851F3" w:rsidP="009851F3">
      <w:pPr>
        <w:spacing w:line="360" w:lineRule="auto"/>
        <w:jc w:val="center"/>
        <w:rPr>
          <w:b/>
          <w:sz w:val="40"/>
          <w:szCs w:val="40"/>
        </w:rPr>
      </w:pPr>
      <w:r>
        <w:rPr>
          <w:b/>
          <w:noProof/>
          <w:sz w:val="40"/>
          <w:szCs w:val="40"/>
          <w:lang w:eastAsia="da-DK"/>
        </w:rPr>
        <w:drawing>
          <wp:inline distT="0" distB="0" distL="0" distR="0">
            <wp:extent cx="3429479" cy="4010585"/>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klip.PNG"/>
                    <pic:cNvPicPr/>
                  </pic:nvPicPr>
                  <pic:blipFill>
                    <a:blip r:embed="rId8">
                      <a:extLst>
                        <a:ext uri="{28A0092B-C50C-407E-A947-70E740481C1C}">
                          <a14:useLocalDpi xmlns:a14="http://schemas.microsoft.com/office/drawing/2010/main" val="0"/>
                        </a:ext>
                      </a:extLst>
                    </a:blip>
                    <a:stretch>
                      <a:fillRect/>
                    </a:stretch>
                  </pic:blipFill>
                  <pic:spPr>
                    <a:xfrm>
                      <a:off x="0" y="0"/>
                      <a:ext cx="3429479" cy="4010585"/>
                    </a:xfrm>
                    <a:prstGeom prst="rect">
                      <a:avLst/>
                    </a:prstGeom>
                  </pic:spPr>
                </pic:pic>
              </a:graphicData>
            </a:graphic>
          </wp:inline>
        </w:drawing>
      </w:r>
    </w:p>
    <w:p w:rsidR="009851F3" w:rsidRDefault="009851F3">
      <w:pPr>
        <w:spacing w:line="240" w:lineRule="auto"/>
        <w:rPr>
          <w:b/>
        </w:rPr>
      </w:pPr>
      <w:r>
        <w:rPr>
          <w:b/>
        </w:rPr>
        <w:br w:type="page"/>
      </w:r>
    </w:p>
    <w:p w:rsidR="008D0D53" w:rsidRPr="008D0D53" w:rsidRDefault="008D0D53" w:rsidP="008D0D53">
      <w:pPr>
        <w:spacing w:line="360" w:lineRule="auto"/>
        <w:rPr>
          <w:b/>
        </w:rPr>
      </w:pPr>
      <w:r>
        <w:rPr>
          <w:b/>
        </w:rPr>
        <w:lastRenderedPageBreak/>
        <w:t>Tillægsgodkendelse til opbevaring af husdyrgødning</w:t>
      </w:r>
    </w:p>
    <w:p w:rsidR="008D0D53" w:rsidRDefault="008D0D53" w:rsidP="008D0D53">
      <w:pPr>
        <w:spacing w:line="360" w:lineRule="auto"/>
      </w:pPr>
      <w:r>
        <w:t>Slagelse Kommune meddeler hermed tillægsgodkendelse til opbevaring af husdyrgødning på Skælskør haveaffaldsplads, Industriv</w:t>
      </w:r>
      <w:r w:rsidR="001B69FA">
        <w:t>ej 55, 4230 Skælskør</w:t>
      </w:r>
      <w:r w:rsidR="005228BB">
        <w:t xml:space="preserve"> jf. § 33 i miljøbeskyttelsesloven</w:t>
      </w:r>
      <w:r w:rsidR="005228BB">
        <w:rPr>
          <w:vertAlign w:val="superscript"/>
        </w:rPr>
        <w:t>3</w:t>
      </w:r>
      <w:r w:rsidR="001B69FA">
        <w:t xml:space="preserve">. </w:t>
      </w:r>
      <w:r w:rsidR="005228BB">
        <w:br/>
      </w:r>
      <w:r w:rsidR="001B69FA">
        <w:t>Dette</w:t>
      </w:r>
      <w:r>
        <w:t xml:space="preserve"> dokument er et tillæg til haveaffaldspladsens eksisterende miljøgodkendelse af 30. oktober 2015, som ikke omfatter modtagelse og opbevaring af husdyrgødning. </w:t>
      </w:r>
    </w:p>
    <w:p w:rsidR="008D26B8" w:rsidRDefault="008D26B8" w:rsidP="008D0D53">
      <w:pPr>
        <w:spacing w:line="360" w:lineRule="auto"/>
      </w:pPr>
    </w:p>
    <w:p w:rsidR="008D26B8" w:rsidRDefault="008D26B8" w:rsidP="008D26B8">
      <w:pPr>
        <w:spacing w:line="360" w:lineRule="auto"/>
        <w:rPr>
          <w:b/>
        </w:rPr>
      </w:pPr>
      <w:r>
        <w:rPr>
          <w:b/>
        </w:rPr>
        <w:t>Baggrund</w:t>
      </w:r>
    </w:p>
    <w:p w:rsidR="008D26B8" w:rsidRDefault="008D26B8" w:rsidP="008D26B8">
      <w:pPr>
        <w:spacing w:line="360" w:lineRule="auto"/>
      </w:pPr>
      <w:r w:rsidRPr="009E22A8">
        <w:t xml:space="preserve">I forbindelse med lukningen af Skælskør Biobrændsel, det tidligere Skælskør Kompostering, flyttede Affaldplus en container til husdyrgødning ind på Skælskør Haveaffaldsplads, som ligger ved siden af komposteringspladsen på Industrivej 55, 4230 Skælskør. Herefter blev virksomheden opmærksom på, at haveaffaldspladsens miljøgodkendelse ikke omfatter husdyrgødning, hvorfor </w:t>
      </w:r>
      <w:r w:rsidR="001B69FA">
        <w:t>dette</w:t>
      </w:r>
      <w:r w:rsidRPr="009E22A8">
        <w:t xml:space="preserve"> tillæg er udarbejdet.</w:t>
      </w:r>
    </w:p>
    <w:p w:rsidR="00FD20C2" w:rsidRDefault="00FD20C2" w:rsidP="008D0D53">
      <w:pPr>
        <w:spacing w:line="360" w:lineRule="auto"/>
        <w:rPr>
          <w:b/>
        </w:rPr>
      </w:pPr>
    </w:p>
    <w:p w:rsidR="008D0D53" w:rsidRDefault="00FD20C2" w:rsidP="008D0D53">
      <w:pPr>
        <w:spacing w:line="360" w:lineRule="auto"/>
        <w:rPr>
          <w:b/>
        </w:rPr>
      </w:pPr>
      <w:r>
        <w:rPr>
          <w:b/>
        </w:rPr>
        <w:t>Vilkår</w:t>
      </w:r>
    </w:p>
    <w:p w:rsidR="009E22A8" w:rsidRDefault="009E22A8" w:rsidP="0046252C">
      <w:pPr>
        <w:pStyle w:val="Listeafsnit"/>
        <w:numPr>
          <w:ilvl w:val="0"/>
          <w:numId w:val="3"/>
        </w:numPr>
        <w:spacing w:line="360" w:lineRule="auto"/>
      </w:pPr>
      <w:r>
        <w:t>Skælskør Haveaffaldsplads må modtage</w:t>
      </w:r>
      <w:r w:rsidR="0046252C">
        <w:t xml:space="preserve"> og opbevare</w:t>
      </w:r>
      <w:r w:rsidR="004433E9">
        <w:t xml:space="preserve"> affaldsfraktion og –mængde</w:t>
      </w:r>
      <w:r w:rsidR="0046252C">
        <w:t xml:space="preserve"> som beskrevet i skemaet herunder.</w:t>
      </w:r>
    </w:p>
    <w:tbl>
      <w:tblPr>
        <w:tblStyle w:val="Tabel-Gitter"/>
        <w:tblW w:w="0" w:type="auto"/>
        <w:tblInd w:w="0" w:type="dxa"/>
        <w:tblLook w:val="04A0" w:firstRow="1" w:lastRow="0" w:firstColumn="1" w:lastColumn="0" w:noHBand="0" w:noVBand="1"/>
      </w:tblPr>
      <w:tblGrid>
        <w:gridCol w:w="3595"/>
        <w:gridCol w:w="3214"/>
        <w:gridCol w:w="2819"/>
      </w:tblGrid>
      <w:tr w:rsidR="004433E9" w:rsidTr="004433E9">
        <w:tc>
          <w:tcPr>
            <w:tcW w:w="3595" w:type="dxa"/>
          </w:tcPr>
          <w:p w:rsidR="004433E9" w:rsidRDefault="004433E9" w:rsidP="005F47F0">
            <w:pPr>
              <w:spacing w:line="360" w:lineRule="auto"/>
              <w:jc w:val="center"/>
            </w:pPr>
            <w:r>
              <w:t>EAK kode</w:t>
            </w:r>
          </w:p>
        </w:tc>
        <w:tc>
          <w:tcPr>
            <w:tcW w:w="3214" w:type="dxa"/>
          </w:tcPr>
          <w:p w:rsidR="004433E9" w:rsidRDefault="004433E9" w:rsidP="005F47F0">
            <w:pPr>
              <w:spacing w:line="360" w:lineRule="auto"/>
              <w:jc w:val="center"/>
            </w:pPr>
            <w:r>
              <w:t>Forventet årlig mængde</w:t>
            </w:r>
          </w:p>
        </w:tc>
        <w:tc>
          <w:tcPr>
            <w:tcW w:w="2819" w:type="dxa"/>
          </w:tcPr>
          <w:p w:rsidR="004433E9" w:rsidRDefault="004433E9" w:rsidP="005F47F0">
            <w:pPr>
              <w:spacing w:line="360" w:lineRule="auto"/>
              <w:jc w:val="center"/>
            </w:pPr>
            <w:r>
              <w:t>Opbevaring</w:t>
            </w:r>
          </w:p>
        </w:tc>
      </w:tr>
      <w:tr w:rsidR="004433E9" w:rsidTr="004433E9">
        <w:tc>
          <w:tcPr>
            <w:tcW w:w="3595" w:type="dxa"/>
          </w:tcPr>
          <w:p w:rsidR="004433E9" w:rsidRDefault="004433E9" w:rsidP="008D0D53">
            <w:pPr>
              <w:spacing w:line="360" w:lineRule="auto"/>
            </w:pPr>
            <w:r>
              <w:t xml:space="preserve">02 01 06 </w:t>
            </w:r>
          </w:p>
          <w:p w:rsidR="004433E9" w:rsidRDefault="004433E9" w:rsidP="008D0D53">
            <w:pPr>
              <w:spacing w:line="360" w:lineRule="auto"/>
            </w:pPr>
            <w:r>
              <w:t xml:space="preserve">Animalsk fæces, urin og gødning (herunder tilsmudset halm), flydende affald opsamlet separat og behandlet uden for produktionsstedet. </w:t>
            </w:r>
          </w:p>
        </w:tc>
        <w:tc>
          <w:tcPr>
            <w:tcW w:w="3214" w:type="dxa"/>
          </w:tcPr>
          <w:p w:rsidR="004433E9" w:rsidRDefault="004433E9" w:rsidP="004433E9">
            <w:pPr>
              <w:spacing w:line="360" w:lineRule="auto"/>
              <w:jc w:val="center"/>
            </w:pPr>
            <w:r>
              <w:t>280 tons</w:t>
            </w:r>
          </w:p>
        </w:tc>
        <w:tc>
          <w:tcPr>
            <w:tcW w:w="2819" w:type="dxa"/>
          </w:tcPr>
          <w:p w:rsidR="004433E9" w:rsidRDefault="004433E9" w:rsidP="008D0D53">
            <w:pPr>
              <w:spacing w:line="360" w:lineRule="auto"/>
            </w:pPr>
            <w:r>
              <w:t>I container med tæt bund, placeret på befæstet areal.</w:t>
            </w:r>
          </w:p>
        </w:tc>
      </w:tr>
    </w:tbl>
    <w:p w:rsidR="0046252C" w:rsidRDefault="0046252C" w:rsidP="008D0D53">
      <w:pPr>
        <w:spacing w:line="360" w:lineRule="auto"/>
        <w:rPr>
          <w:b/>
        </w:rPr>
      </w:pPr>
    </w:p>
    <w:p w:rsidR="00404ADD" w:rsidRDefault="005A3B46" w:rsidP="00283D57">
      <w:pPr>
        <w:pStyle w:val="Listeafsnit"/>
        <w:numPr>
          <w:ilvl w:val="0"/>
          <w:numId w:val="3"/>
        </w:numPr>
        <w:spacing w:line="360" w:lineRule="auto"/>
        <w:ind w:left="714" w:hanging="357"/>
      </w:pPr>
      <w:r>
        <w:t>Husdyrgødningen skal opbeva</w:t>
      </w:r>
      <w:r w:rsidR="00F27D59">
        <w:t>res i en container med tæt bund, som er placeret på</w:t>
      </w:r>
      <w:r w:rsidR="00BD6D04">
        <w:t xml:space="preserve"> befæstet areal, </w:t>
      </w:r>
      <w:r w:rsidR="00A12FAC">
        <w:t>hvorfra overfladevand ledes</w:t>
      </w:r>
      <w:r w:rsidR="00BD6D04">
        <w:t xml:space="preserve"> til forsinkelsesbassin, inden </w:t>
      </w:r>
      <w:r w:rsidR="00A12FAC">
        <w:t>det</w:t>
      </w:r>
      <w:r w:rsidR="00BD6D04">
        <w:t xml:space="preserve"> ledes til offentlig spildevandsledning.</w:t>
      </w:r>
      <w:r w:rsidR="00A05D3F">
        <w:br/>
      </w:r>
    </w:p>
    <w:p w:rsidR="00027921" w:rsidRDefault="00404ADD" w:rsidP="00A05D3F">
      <w:pPr>
        <w:pStyle w:val="Listeafsnit"/>
        <w:numPr>
          <w:ilvl w:val="0"/>
          <w:numId w:val="3"/>
        </w:numPr>
        <w:spacing w:line="360" w:lineRule="auto"/>
        <w:ind w:left="714" w:hanging="357"/>
      </w:pPr>
      <w:r>
        <w:t>Husdyrgødningen må ikke give anledning til lugtgener, der af til</w:t>
      </w:r>
      <w:r w:rsidR="008D26B8">
        <w:t>synsmyndigheden vurderes som</w:t>
      </w:r>
      <w:r>
        <w:t xml:space="preserve"> væsentlige. </w:t>
      </w:r>
      <w:r w:rsidR="00A05D3F">
        <w:t>Hvis</w:t>
      </w:r>
      <w:r w:rsidR="004C3A15">
        <w:t xml:space="preserve"> Slagelse Kommune</w:t>
      </w:r>
      <w:r w:rsidR="00A05D3F">
        <w:t xml:space="preserve"> konstaterer væsentlige lugtgener, kan denne</w:t>
      </w:r>
      <w:r>
        <w:t xml:space="preserve"> kræve</w:t>
      </w:r>
      <w:r w:rsidR="008D26B8">
        <w:t>,</w:t>
      </w:r>
      <w:r>
        <w:t xml:space="preserve"> at gødnings</w:t>
      </w:r>
      <w:r w:rsidR="001B69FA">
        <w:t>oplaget fjernes, overdækkes, eller at virksomheden på anden vis sørger for at mindske lugtgenerne</w:t>
      </w:r>
      <w:r>
        <w:t>.</w:t>
      </w:r>
      <w:r w:rsidR="00A05D3F">
        <w:br/>
      </w:r>
    </w:p>
    <w:p w:rsidR="006D6B35" w:rsidRDefault="006D6B35" w:rsidP="00B257DF">
      <w:pPr>
        <w:pStyle w:val="Listeafsnit"/>
        <w:numPr>
          <w:ilvl w:val="0"/>
          <w:numId w:val="3"/>
        </w:numPr>
        <w:spacing w:line="360" w:lineRule="auto"/>
        <w:ind w:left="714" w:hanging="357"/>
      </w:pPr>
      <w:r>
        <w:t>Husdyrgødningen</w:t>
      </w:r>
      <w:r w:rsidR="00027921" w:rsidRPr="00470E60">
        <w:t xml:space="preserve"> må ikke</w:t>
      </w:r>
      <w:r>
        <w:t xml:space="preserve"> give anledning til </w:t>
      </w:r>
      <w:r w:rsidR="00027921" w:rsidRPr="00470E60">
        <w:t>støvgener</w:t>
      </w:r>
      <w:r>
        <w:t>, der af tilsynsmyndigheden</w:t>
      </w:r>
      <w:r w:rsidR="00A05D3F">
        <w:t xml:space="preserve"> vurderes som væsentlige. Hvis</w:t>
      </w:r>
      <w:r w:rsidR="004C3A15">
        <w:t xml:space="preserve"> Slagelse Kommune</w:t>
      </w:r>
      <w:r w:rsidR="00A05D3F">
        <w:t xml:space="preserve"> konstaterer væsentlige støvgener, kan denne</w:t>
      </w:r>
      <w:r w:rsidR="001B69FA">
        <w:t xml:space="preserve"> kræve, at virksomheden igangsætter støvdæmpende foranstaltninger</w:t>
      </w:r>
      <w:r>
        <w:t>.</w:t>
      </w:r>
    </w:p>
    <w:p w:rsidR="00283D57" w:rsidRDefault="00283D57" w:rsidP="008D0D53">
      <w:pPr>
        <w:spacing w:line="360" w:lineRule="auto"/>
        <w:rPr>
          <w:b/>
        </w:rPr>
      </w:pPr>
    </w:p>
    <w:p w:rsidR="00283D57" w:rsidRDefault="00283D57" w:rsidP="008D0D53">
      <w:pPr>
        <w:spacing w:line="360" w:lineRule="auto"/>
        <w:rPr>
          <w:b/>
        </w:rPr>
      </w:pPr>
    </w:p>
    <w:p w:rsidR="00283D57" w:rsidRDefault="00283D57" w:rsidP="008D0D53">
      <w:pPr>
        <w:spacing w:line="360" w:lineRule="auto"/>
        <w:rPr>
          <w:b/>
        </w:rPr>
      </w:pPr>
    </w:p>
    <w:p w:rsidR="008D0D53" w:rsidRDefault="008D0D53" w:rsidP="008D0D53">
      <w:pPr>
        <w:spacing w:line="360" w:lineRule="auto"/>
        <w:rPr>
          <w:b/>
        </w:rPr>
      </w:pPr>
      <w:r>
        <w:rPr>
          <w:b/>
        </w:rPr>
        <w:lastRenderedPageBreak/>
        <w:t>Slagelse kommunes begrundelse og vurdering</w:t>
      </w:r>
    </w:p>
    <w:p w:rsidR="00404ADD" w:rsidRDefault="00404ADD" w:rsidP="008D0D53">
      <w:pPr>
        <w:spacing w:line="360" w:lineRule="auto"/>
        <w:rPr>
          <w:b/>
        </w:rPr>
      </w:pPr>
    </w:p>
    <w:p w:rsidR="008D0D53" w:rsidRDefault="008D0D53" w:rsidP="008D0D53">
      <w:pPr>
        <w:spacing w:line="360" w:lineRule="auto"/>
        <w:rPr>
          <w:b/>
        </w:rPr>
      </w:pPr>
      <w:r>
        <w:rPr>
          <w:b/>
        </w:rPr>
        <w:t>Planforhold</w:t>
      </w:r>
    </w:p>
    <w:p w:rsidR="00404ADD" w:rsidRPr="00470E60" w:rsidRDefault="00404ADD" w:rsidP="003D7FE5">
      <w:pPr>
        <w:spacing w:line="360" w:lineRule="auto"/>
      </w:pPr>
      <w:r w:rsidRPr="00404ADD">
        <w:t>Haveaffaldspladsen er</w:t>
      </w:r>
      <w:r w:rsidR="00814B71">
        <w:t xml:space="preserve"> omfattet af lokalplan nr. 71 fra 1994, som omhandler Skælskør Industriområde.</w:t>
      </w:r>
    </w:p>
    <w:p w:rsidR="00404ADD" w:rsidRPr="00470E60" w:rsidRDefault="00404ADD" w:rsidP="003D7FE5">
      <w:pPr>
        <w:spacing w:line="360" w:lineRule="auto"/>
      </w:pPr>
      <w:r w:rsidRPr="00470E60">
        <w:t xml:space="preserve">Nærmeste </w:t>
      </w:r>
      <w:r w:rsidR="00B257DF">
        <w:t xml:space="preserve">boligområde </w:t>
      </w:r>
      <w:r w:rsidRPr="00470E60">
        <w:t>er beliggende i en afstand af ca. 400 meter fra pladsen.</w:t>
      </w:r>
    </w:p>
    <w:p w:rsidR="00404ADD" w:rsidRPr="00404ADD" w:rsidRDefault="00404ADD" w:rsidP="008D0D53">
      <w:pPr>
        <w:spacing w:line="360" w:lineRule="auto"/>
      </w:pPr>
    </w:p>
    <w:p w:rsidR="008D0D53" w:rsidRDefault="008D0D53" w:rsidP="008D0D53">
      <w:pPr>
        <w:spacing w:line="360" w:lineRule="auto"/>
        <w:rPr>
          <w:b/>
        </w:rPr>
      </w:pPr>
      <w:r>
        <w:rPr>
          <w:b/>
        </w:rPr>
        <w:t>Forhold vedr. VVM</w:t>
      </w:r>
    </w:p>
    <w:p w:rsidR="003D7FE5" w:rsidRPr="003D7FE5" w:rsidRDefault="00971D81" w:rsidP="003D7FE5">
      <w:pPr>
        <w:spacing w:line="360" w:lineRule="auto"/>
      </w:pPr>
      <w:r w:rsidRPr="00971D81">
        <w:t xml:space="preserve">Virksomheden er omfattet af </w:t>
      </w:r>
      <w:r>
        <w:t>VVM bekendtgørelsens</w:t>
      </w:r>
      <w:r>
        <w:rPr>
          <w:rStyle w:val="Fodnotehenvisning"/>
        </w:rPr>
        <w:footnoteReference w:id="1"/>
      </w:r>
      <w:r>
        <w:t xml:space="preserve"> bilag 2. Dette betyder, at Slagelse Kommune skal vurdere, om virksomhedens aktiviteter</w:t>
      </w:r>
      <w:r w:rsidR="0079056F">
        <w:t xml:space="preserve"> er omfattet af krav om miljøvurdering.</w:t>
      </w:r>
      <w:r>
        <w:t xml:space="preserve"> </w:t>
      </w:r>
      <w:r w:rsidR="003D7FE5">
        <w:br/>
      </w:r>
      <w:r w:rsidR="003D7FE5">
        <w:br/>
      </w:r>
      <w:r w:rsidR="00A12FAC">
        <w:t xml:space="preserve">I forbindelse med udarbejdelsen af haveaffaldspladsens miljøgodkendelse i 2015 blev </w:t>
      </w:r>
      <w:r w:rsidR="0035107C">
        <w:t>der lavet en VVM screening, hvori det blev vurderet</w:t>
      </w:r>
      <w:r w:rsidR="004D5921">
        <w:t>,</w:t>
      </w:r>
      <w:r w:rsidR="0035107C">
        <w:t xml:space="preserve"> </w:t>
      </w:r>
      <w:r w:rsidR="0035107C" w:rsidRPr="00B26A5D">
        <w:rPr>
          <w:rFonts w:cs="Times-Roman"/>
          <w:lang w:eastAsia="da-DK"/>
        </w:rPr>
        <w:t xml:space="preserve">at </w:t>
      </w:r>
      <w:r w:rsidR="004D5921">
        <w:rPr>
          <w:rFonts w:cs="Times-Roman"/>
          <w:lang w:eastAsia="da-DK"/>
        </w:rPr>
        <w:t>haveaffaldspladsen ikke var VVM pligtig.</w:t>
      </w:r>
      <w:r w:rsidR="003D7FE5">
        <w:rPr>
          <w:rFonts w:cs="Times-Roman"/>
          <w:lang w:eastAsia="da-DK"/>
        </w:rPr>
        <w:br/>
      </w:r>
    </w:p>
    <w:p w:rsidR="003D7FE5" w:rsidRPr="003D7FE5" w:rsidRDefault="003D7FE5" w:rsidP="003D7FE5">
      <w:pPr>
        <w:autoSpaceDE w:val="0"/>
        <w:autoSpaceDN w:val="0"/>
        <w:adjustRightInd w:val="0"/>
        <w:spacing w:line="360" w:lineRule="auto"/>
        <w:rPr>
          <w:rFonts w:cs="Times-Roman"/>
          <w:lang w:eastAsia="da-DK"/>
        </w:rPr>
      </w:pPr>
      <w:r>
        <w:rPr>
          <w:rFonts w:cs="Times-Roman"/>
          <w:lang w:eastAsia="da-DK"/>
        </w:rPr>
        <w:t>Slagelse Kommune vurderer, at den største</w:t>
      </w:r>
      <w:r w:rsidR="004C3A15">
        <w:rPr>
          <w:rFonts w:cs="Times-Roman"/>
          <w:lang w:eastAsia="da-DK"/>
        </w:rPr>
        <w:t xml:space="preserve"> risiko</w:t>
      </w:r>
      <w:r>
        <w:rPr>
          <w:rFonts w:cs="Times-Roman"/>
          <w:lang w:eastAsia="da-DK"/>
        </w:rPr>
        <w:t xml:space="preserve"> for forurening vil være, hvis overfladevand bliver forurenet af gødningen. Da containeren med husdyrgødning tidligere var placeret på komposteringspladsen, og denne afvandes på samme måde </w:t>
      </w:r>
      <w:r w:rsidR="00B257DF">
        <w:rPr>
          <w:rFonts w:cs="Times-Roman"/>
          <w:lang w:eastAsia="da-DK"/>
        </w:rPr>
        <w:t xml:space="preserve">som haveaffaldspladsen, vurderer </w:t>
      </w:r>
      <w:r w:rsidR="00B257DF" w:rsidRPr="00B257DF">
        <w:rPr>
          <w:rFonts w:cs="Times-Roman"/>
          <w:lang w:eastAsia="da-DK"/>
        </w:rPr>
        <w:t>Slagelse Kommune</w:t>
      </w:r>
      <w:r>
        <w:rPr>
          <w:rFonts w:cs="Times-Roman"/>
          <w:lang w:eastAsia="da-DK"/>
        </w:rPr>
        <w:t>, at der ikke er en ny eller forhøjet risiko for forurening af overfladevand, der udledes til offentlig spildevan</w:t>
      </w:r>
      <w:r w:rsidR="00B257DF">
        <w:rPr>
          <w:rFonts w:cs="Times-Roman"/>
          <w:lang w:eastAsia="da-DK"/>
        </w:rPr>
        <w:t xml:space="preserve">dsrensning.  </w:t>
      </w:r>
      <w:r w:rsidR="00B257DF">
        <w:rPr>
          <w:rFonts w:cs="Times-Roman"/>
          <w:lang w:eastAsia="da-DK"/>
        </w:rPr>
        <w:br/>
        <w:t>Ligeledes vurderer</w:t>
      </w:r>
      <w:r>
        <w:rPr>
          <w:rFonts w:cs="Times-Roman"/>
          <w:lang w:eastAsia="da-DK"/>
        </w:rPr>
        <w:t xml:space="preserve"> </w:t>
      </w:r>
      <w:r w:rsidR="00B257DF" w:rsidRPr="00B257DF">
        <w:rPr>
          <w:rFonts w:cs="Times-Roman"/>
          <w:lang w:eastAsia="da-DK"/>
        </w:rPr>
        <w:t>Slagelse Kommune</w:t>
      </w:r>
      <w:r>
        <w:rPr>
          <w:rFonts w:cs="Times-Roman"/>
          <w:lang w:eastAsia="da-DK"/>
        </w:rPr>
        <w:t>, at gener vedr. støv og lugt ikke er anderledes, end da containeren stod på komposteringspladsen.</w:t>
      </w:r>
      <w:r>
        <w:rPr>
          <w:rFonts w:cs="Times-Roman"/>
          <w:lang w:eastAsia="da-DK"/>
        </w:rPr>
        <w:br/>
      </w:r>
      <w:r w:rsidR="001B57B9">
        <w:rPr>
          <w:rFonts w:cs="Times-Roman"/>
          <w:lang w:eastAsia="da-DK"/>
        </w:rPr>
        <w:t>Slagelse Kommune vurderer på denne baggrund</w:t>
      </w:r>
      <w:r>
        <w:rPr>
          <w:rFonts w:cs="Times-Roman"/>
          <w:lang w:eastAsia="da-DK"/>
        </w:rPr>
        <w:t xml:space="preserve">, at </w:t>
      </w:r>
      <w:r w:rsidR="001B57B9">
        <w:rPr>
          <w:rFonts w:cs="Times-Roman"/>
          <w:lang w:eastAsia="da-DK"/>
        </w:rPr>
        <w:t>modtagelse og opbevaring af husdyrgødning på Skælskør Haveaffaldsplads ikke kræver yderligere miljøvurdering.</w:t>
      </w:r>
    </w:p>
    <w:p w:rsidR="008D0D53" w:rsidRDefault="008D0D53" w:rsidP="008D0D53">
      <w:pPr>
        <w:spacing w:line="360" w:lineRule="auto"/>
        <w:rPr>
          <w:b/>
        </w:rPr>
      </w:pPr>
    </w:p>
    <w:p w:rsidR="008D0D53" w:rsidRDefault="008D0D53" w:rsidP="008D0D53">
      <w:pPr>
        <w:spacing w:line="360" w:lineRule="auto"/>
        <w:rPr>
          <w:b/>
        </w:rPr>
      </w:pPr>
      <w:r>
        <w:rPr>
          <w:b/>
        </w:rPr>
        <w:t>Lugt, støv, støj og egenkontrol</w:t>
      </w:r>
    </w:p>
    <w:p w:rsidR="008D0D53" w:rsidRDefault="008D0D53" w:rsidP="008D0D53">
      <w:pPr>
        <w:spacing w:line="360" w:lineRule="auto"/>
        <w:rPr>
          <w:b/>
        </w:rPr>
      </w:pPr>
    </w:p>
    <w:p w:rsidR="008D0D53" w:rsidRDefault="008D0D53" w:rsidP="008D0D53">
      <w:pPr>
        <w:spacing w:line="360" w:lineRule="auto"/>
      </w:pPr>
      <w:r>
        <w:rPr>
          <w:b/>
        </w:rPr>
        <w:t>Lugt:</w:t>
      </w:r>
      <w:r>
        <w:t xml:space="preserve"> </w:t>
      </w:r>
    </w:p>
    <w:p w:rsidR="001B57B9" w:rsidRDefault="00B257DF" w:rsidP="008D0D53">
      <w:pPr>
        <w:spacing w:line="360" w:lineRule="auto"/>
      </w:pPr>
      <w:r>
        <w:t>Virksomheden har oplyst</w:t>
      </w:r>
      <w:r w:rsidR="001B57B9">
        <w:t>, at der i 2017 blev modtaget 280 tons husdyrgødning</w:t>
      </w:r>
      <w:r w:rsidR="00B27A76">
        <w:t>,</w:t>
      </w:r>
      <w:r w:rsidR="001B57B9">
        <w:t xml:space="preserve"> og at samme mængde forventes fremover. Containeren til husdyrgødning tømmes ca. 40 gange om året</w:t>
      </w:r>
      <w:r w:rsidR="00A05D3F">
        <w:t>.</w:t>
      </w:r>
      <w:r w:rsidR="001B57B9">
        <w:t xml:space="preserve">  Husdyrgødningen sendes til Affaldplus’ miljøanlæg i Faxe. </w:t>
      </w:r>
    </w:p>
    <w:p w:rsidR="00283D57" w:rsidRDefault="00283D57" w:rsidP="008D0D53">
      <w:pPr>
        <w:spacing w:line="360" w:lineRule="auto"/>
        <w:rPr>
          <w:rFonts w:cs="Tahoma"/>
          <w:sz w:val="18"/>
          <w:szCs w:val="18"/>
          <w:lang w:eastAsia="da-DK"/>
        </w:rPr>
      </w:pPr>
      <w:r>
        <w:rPr>
          <w:rFonts w:cs="Tahoma"/>
          <w:sz w:val="18"/>
          <w:szCs w:val="18"/>
          <w:lang w:eastAsia="da-DK"/>
        </w:rPr>
        <w:t xml:space="preserve">Der </w:t>
      </w:r>
      <w:r w:rsidR="005F2F44">
        <w:rPr>
          <w:rFonts w:cs="Tahoma"/>
          <w:sz w:val="18"/>
          <w:szCs w:val="18"/>
          <w:lang w:eastAsia="da-DK"/>
        </w:rPr>
        <w:t>er</w:t>
      </w:r>
      <w:r>
        <w:rPr>
          <w:rFonts w:cs="Tahoma"/>
          <w:sz w:val="18"/>
          <w:szCs w:val="18"/>
          <w:lang w:eastAsia="da-DK"/>
        </w:rPr>
        <w:t xml:space="preserve"> stillet</w:t>
      </w:r>
      <w:r w:rsidR="005F2F44">
        <w:rPr>
          <w:rFonts w:cs="Tahoma"/>
          <w:sz w:val="18"/>
          <w:szCs w:val="18"/>
          <w:lang w:eastAsia="da-DK"/>
        </w:rPr>
        <w:t xml:space="preserve"> vilkår om, at </w:t>
      </w:r>
      <w:r>
        <w:rPr>
          <w:rFonts w:cs="Tahoma"/>
          <w:sz w:val="18"/>
          <w:szCs w:val="18"/>
          <w:lang w:eastAsia="da-DK"/>
        </w:rPr>
        <w:t xml:space="preserve">oplaget ikke må give anledning til væsentlige lugtgener, samt at Slagelse Kommune ved konstatering af væsentlige lugtgener kan kræve, at oplaget fjernes eller overdækkes, eller at lugtgener mindskes på anden vis. </w:t>
      </w:r>
    </w:p>
    <w:p w:rsidR="008D0D53" w:rsidRDefault="00283D57" w:rsidP="008D0D53">
      <w:pPr>
        <w:spacing w:line="360" w:lineRule="auto"/>
        <w:rPr>
          <w:rFonts w:cs="Tahoma"/>
          <w:sz w:val="18"/>
          <w:szCs w:val="18"/>
          <w:lang w:eastAsia="da-DK"/>
        </w:rPr>
      </w:pPr>
      <w:r>
        <w:rPr>
          <w:rFonts w:cs="Tahoma"/>
          <w:sz w:val="18"/>
          <w:szCs w:val="18"/>
          <w:lang w:eastAsia="da-DK"/>
        </w:rPr>
        <w:t xml:space="preserve">Der har ikke tidligere været klager over lugt fra husdyrgødning, </w:t>
      </w:r>
      <w:r w:rsidR="0065516E">
        <w:rPr>
          <w:rFonts w:cs="Tahoma"/>
          <w:sz w:val="18"/>
          <w:szCs w:val="18"/>
          <w:lang w:eastAsia="da-DK"/>
        </w:rPr>
        <w:t xml:space="preserve">da det </w:t>
      </w:r>
      <w:r>
        <w:rPr>
          <w:rFonts w:cs="Tahoma"/>
          <w:sz w:val="18"/>
          <w:szCs w:val="18"/>
          <w:lang w:eastAsia="da-DK"/>
        </w:rPr>
        <w:t>blev opbevaret på nabogru</w:t>
      </w:r>
      <w:r w:rsidR="0065516E">
        <w:rPr>
          <w:rFonts w:cs="Tahoma"/>
          <w:sz w:val="18"/>
          <w:szCs w:val="18"/>
          <w:lang w:eastAsia="da-DK"/>
        </w:rPr>
        <w:t xml:space="preserve">nden (Skælskør Kompostering). </w:t>
      </w:r>
      <w:r>
        <w:rPr>
          <w:rFonts w:cs="Tahoma"/>
          <w:sz w:val="18"/>
          <w:szCs w:val="18"/>
          <w:lang w:eastAsia="da-DK"/>
        </w:rPr>
        <w:t>Slagelse Kommune vurderer derfor, at oplaget af husdyrgødning ikke vil give anledning til lugtgener.</w:t>
      </w:r>
    </w:p>
    <w:p w:rsidR="001B69FA" w:rsidRDefault="001B69FA" w:rsidP="008D0D53">
      <w:pPr>
        <w:spacing w:line="360" w:lineRule="auto"/>
        <w:rPr>
          <w:rFonts w:cs="Tahoma"/>
          <w:b/>
          <w:sz w:val="18"/>
          <w:szCs w:val="18"/>
          <w:lang w:eastAsia="da-DK"/>
        </w:rPr>
      </w:pPr>
    </w:p>
    <w:p w:rsidR="008D0D53" w:rsidRDefault="008D0D53" w:rsidP="008D0D53">
      <w:pPr>
        <w:spacing w:line="360" w:lineRule="auto"/>
        <w:rPr>
          <w:rFonts w:cs="Tahoma"/>
          <w:sz w:val="18"/>
          <w:szCs w:val="18"/>
          <w:lang w:eastAsia="da-DK"/>
        </w:rPr>
      </w:pPr>
      <w:r>
        <w:rPr>
          <w:rFonts w:cs="Tahoma"/>
          <w:b/>
          <w:sz w:val="18"/>
          <w:szCs w:val="18"/>
          <w:lang w:eastAsia="da-DK"/>
        </w:rPr>
        <w:lastRenderedPageBreak/>
        <w:t>Støv:</w:t>
      </w:r>
      <w:r>
        <w:rPr>
          <w:rFonts w:cs="Tahoma"/>
          <w:sz w:val="18"/>
          <w:szCs w:val="18"/>
          <w:lang w:eastAsia="da-DK"/>
        </w:rPr>
        <w:t xml:space="preserve"> </w:t>
      </w:r>
    </w:p>
    <w:p w:rsidR="001B69FA" w:rsidRPr="006456BF" w:rsidRDefault="006D6B35" w:rsidP="008D0D53">
      <w:pPr>
        <w:spacing w:line="360" w:lineRule="auto"/>
        <w:rPr>
          <w:rFonts w:cs="Tahoma"/>
          <w:sz w:val="18"/>
          <w:szCs w:val="18"/>
          <w:lang w:eastAsia="da-DK"/>
        </w:rPr>
      </w:pPr>
      <w:r>
        <w:rPr>
          <w:rFonts w:cs="Tahoma"/>
          <w:sz w:val="18"/>
          <w:szCs w:val="18"/>
          <w:lang w:eastAsia="da-DK"/>
        </w:rPr>
        <w:t>Det forventes ikke, at oplaget vil give anledning til støvgener.</w:t>
      </w:r>
      <w:r w:rsidR="00A05D3F">
        <w:rPr>
          <w:rFonts w:cs="Tahoma"/>
          <w:sz w:val="18"/>
          <w:szCs w:val="18"/>
          <w:lang w:eastAsia="da-DK"/>
        </w:rPr>
        <w:t xml:space="preserve"> Der stilles dog al</w:t>
      </w:r>
      <w:r w:rsidR="00B27A76">
        <w:rPr>
          <w:rFonts w:cs="Tahoma"/>
          <w:sz w:val="18"/>
          <w:szCs w:val="18"/>
          <w:lang w:eastAsia="da-DK"/>
        </w:rPr>
        <w:t>ligevel vilkår om, at oplaget af</w:t>
      </w:r>
      <w:r w:rsidR="00A05D3F">
        <w:rPr>
          <w:rFonts w:cs="Tahoma"/>
          <w:sz w:val="18"/>
          <w:szCs w:val="18"/>
          <w:lang w:eastAsia="da-DK"/>
        </w:rPr>
        <w:t xml:space="preserve"> husdyrgødning ikke må give anledning til væsentlige støvgener.</w:t>
      </w:r>
    </w:p>
    <w:p w:rsidR="00283D57" w:rsidRDefault="00283D57" w:rsidP="008D0D53">
      <w:pPr>
        <w:spacing w:line="360" w:lineRule="auto"/>
        <w:rPr>
          <w:rFonts w:cs="Tahoma"/>
          <w:b/>
          <w:sz w:val="18"/>
          <w:szCs w:val="18"/>
          <w:lang w:eastAsia="da-DK"/>
        </w:rPr>
      </w:pPr>
    </w:p>
    <w:p w:rsidR="008D0D53" w:rsidRDefault="008D0D53" w:rsidP="008D0D53">
      <w:pPr>
        <w:spacing w:line="360" w:lineRule="auto"/>
        <w:rPr>
          <w:rFonts w:cs="Tahoma"/>
          <w:b/>
          <w:sz w:val="18"/>
          <w:szCs w:val="18"/>
          <w:lang w:eastAsia="da-DK"/>
        </w:rPr>
      </w:pPr>
      <w:r>
        <w:rPr>
          <w:rFonts w:cs="Tahoma"/>
          <w:b/>
          <w:sz w:val="18"/>
          <w:szCs w:val="18"/>
          <w:lang w:eastAsia="da-DK"/>
        </w:rPr>
        <w:t xml:space="preserve">Støj: </w:t>
      </w:r>
    </w:p>
    <w:p w:rsidR="008D0D53" w:rsidRDefault="008D0D53" w:rsidP="008D0D53">
      <w:pPr>
        <w:spacing w:line="360" w:lineRule="auto"/>
        <w:rPr>
          <w:rFonts w:cs="Tahoma"/>
          <w:sz w:val="18"/>
          <w:szCs w:val="18"/>
          <w:lang w:eastAsia="da-DK"/>
        </w:rPr>
      </w:pPr>
      <w:r>
        <w:rPr>
          <w:rFonts w:cs="Tahoma"/>
          <w:sz w:val="18"/>
          <w:szCs w:val="18"/>
          <w:lang w:eastAsia="da-DK"/>
        </w:rPr>
        <w:t xml:space="preserve">Forholdet er reguleret i vilkår </w:t>
      </w:r>
      <w:r w:rsidR="008D26B8">
        <w:rPr>
          <w:rFonts w:cs="Tahoma"/>
          <w:sz w:val="18"/>
          <w:szCs w:val="18"/>
          <w:lang w:eastAsia="da-DK"/>
        </w:rPr>
        <w:t>28, 29, 30 og 31</w:t>
      </w:r>
      <w:r>
        <w:rPr>
          <w:rFonts w:cs="Tahoma"/>
          <w:sz w:val="18"/>
          <w:szCs w:val="18"/>
          <w:lang w:eastAsia="da-DK"/>
        </w:rPr>
        <w:t xml:space="preserve"> i eksisterende miljøgodkendelse. </w:t>
      </w:r>
    </w:p>
    <w:p w:rsidR="008D0D53" w:rsidRDefault="008D0D53" w:rsidP="008D0D53">
      <w:pPr>
        <w:spacing w:line="360" w:lineRule="auto"/>
        <w:rPr>
          <w:rFonts w:cs="Tahoma"/>
          <w:sz w:val="18"/>
          <w:szCs w:val="18"/>
          <w:lang w:eastAsia="da-DK"/>
        </w:rPr>
      </w:pPr>
      <w:r>
        <w:rPr>
          <w:rFonts w:cs="Tahoma"/>
          <w:sz w:val="18"/>
          <w:szCs w:val="18"/>
          <w:lang w:eastAsia="da-DK"/>
        </w:rPr>
        <w:t>Vilkårene opstiller grænseværdier for virksomhedens støjbelastning på forskellige tider af døgnet.</w:t>
      </w:r>
    </w:p>
    <w:p w:rsidR="008D26B8" w:rsidRDefault="006456BF" w:rsidP="008D0D53">
      <w:pPr>
        <w:spacing w:line="360" w:lineRule="auto"/>
        <w:rPr>
          <w:rFonts w:cs="Tahoma"/>
          <w:sz w:val="18"/>
          <w:szCs w:val="18"/>
          <w:lang w:eastAsia="da-DK"/>
        </w:rPr>
      </w:pPr>
      <w:r w:rsidRPr="006456BF">
        <w:rPr>
          <w:rFonts w:cs="Tahoma"/>
          <w:sz w:val="18"/>
          <w:szCs w:val="18"/>
          <w:lang w:eastAsia="da-DK"/>
        </w:rPr>
        <w:t>Slagelse Kommune</w:t>
      </w:r>
      <w:r>
        <w:rPr>
          <w:rFonts w:cs="Tahoma"/>
          <w:sz w:val="18"/>
          <w:szCs w:val="18"/>
          <w:lang w:eastAsia="da-DK"/>
        </w:rPr>
        <w:t xml:space="preserve"> vurderer</w:t>
      </w:r>
      <w:r w:rsidR="008D26B8">
        <w:rPr>
          <w:rFonts w:cs="Tahoma"/>
          <w:sz w:val="18"/>
          <w:szCs w:val="18"/>
          <w:lang w:eastAsia="da-DK"/>
        </w:rPr>
        <w:t xml:space="preserve">, at opbevaring af husdyrgødning </w:t>
      </w:r>
      <w:r w:rsidR="004C3A15">
        <w:rPr>
          <w:rFonts w:cs="Tahoma"/>
          <w:sz w:val="18"/>
          <w:szCs w:val="18"/>
          <w:lang w:eastAsia="da-DK"/>
        </w:rPr>
        <w:t xml:space="preserve">ikke </w:t>
      </w:r>
      <w:r w:rsidR="008D26B8">
        <w:rPr>
          <w:rFonts w:cs="Tahoma"/>
          <w:sz w:val="18"/>
          <w:szCs w:val="18"/>
          <w:lang w:eastAsia="da-DK"/>
        </w:rPr>
        <w:t>vil medføre forøget støj fra haveaffaldspladsen.</w:t>
      </w:r>
    </w:p>
    <w:p w:rsidR="008D0D53" w:rsidRDefault="008D0D53" w:rsidP="008D0D53">
      <w:pPr>
        <w:pStyle w:val="Kommentartekst"/>
        <w:spacing w:line="360" w:lineRule="auto"/>
        <w:rPr>
          <w:b/>
        </w:rPr>
      </w:pPr>
    </w:p>
    <w:p w:rsidR="008D0D53" w:rsidRDefault="008D0D53" w:rsidP="008D0D53">
      <w:pPr>
        <w:pStyle w:val="Kommentartekst"/>
        <w:spacing w:line="360" w:lineRule="auto"/>
        <w:rPr>
          <w:b/>
          <w:sz w:val="18"/>
          <w:szCs w:val="18"/>
        </w:rPr>
      </w:pPr>
      <w:r>
        <w:rPr>
          <w:b/>
          <w:sz w:val="18"/>
          <w:szCs w:val="18"/>
        </w:rPr>
        <w:t>Egenkontrol:</w:t>
      </w:r>
    </w:p>
    <w:p w:rsidR="008D0D53" w:rsidRDefault="008D26B8" w:rsidP="008D0D53">
      <w:pPr>
        <w:pStyle w:val="Kommentartekst"/>
        <w:spacing w:line="360" w:lineRule="auto"/>
        <w:rPr>
          <w:sz w:val="18"/>
          <w:szCs w:val="18"/>
        </w:rPr>
      </w:pPr>
      <w:r>
        <w:rPr>
          <w:sz w:val="18"/>
          <w:szCs w:val="18"/>
        </w:rPr>
        <w:t>Forhold vedr. egenkontrol er reguleret</w:t>
      </w:r>
      <w:r w:rsidR="008D0D53">
        <w:rPr>
          <w:sz w:val="18"/>
          <w:szCs w:val="18"/>
        </w:rPr>
        <w:t xml:space="preserve"> i</w:t>
      </w:r>
      <w:r>
        <w:rPr>
          <w:sz w:val="18"/>
          <w:szCs w:val="18"/>
        </w:rPr>
        <w:t xml:space="preserve"> vilkår 26 og 27 i</w:t>
      </w:r>
      <w:r w:rsidR="008D0D53">
        <w:rPr>
          <w:sz w:val="18"/>
          <w:szCs w:val="18"/>
        </w:rPr>
        <w:t xml:space="preserve"> eksisterende miljøgodkendelse.</w:t>
      </w:r>
      <w:r w:rsidR="006456BF">
        <w:rPr>
          <w:sz w:val="18"/>
          <w:szCs w:val="18"/>
        </w:rPr>
        <w:t xml:space="preserve"> </w:t>
      </w:r>
      <w:r w:rsidR="006456BF" w:rsidRPr="006456BF">
        <w:rPr>
          <w:sz w:val="18"/>
          <w:szCs w:val="18"/>
        </w:rPr>
        <w:t>Slagelse Kommune</w:t>
      </w:r>
      <w:r w:rsidR="006456BF">
        <w:rPr>
          <w:sz w:val="18"/>
          <w:szCs w:val="18"/>
        </w:rPr>
        <w:t xml:space="preserve"> vurderer</w:t>
      </w:r>
      <w:r w:rsidR="004C3A15">
        <w:rPr>
          <w:sz w:val="18"/>
          <w:szCs w:val="18"/>
        </w:rPr>
        <w:t>,</w:t>
      </w:r>
      <w:r>
        <w:rPr>
          <w:sz w:val="18"/>
          <w:szCs w:val="18"/>
        </w:rPr>
        <w:t xml:space="preserve"> at vilkårene er dækkende i forho</w:t>
      </w:r>
      <w:r w:rsidR="006D6B35">
        <w:rPr>
          <w:sz w:val="18"/>
          <w:szCs w:val="18"/>
        </w:rPr>
        <w:t>l</w:t>
      </w:r>
      <w:r>
        <w:rPr>
          <w:sz w:val="18"/>
          <w:szCs w:val="18"/>
        </w:rPr>
        <w:t>d til, at virksomheden også opbevarer husdyrgødning.</w:t>
      </w:r>
    </w:p>
    <w:p w:rsidR="008D0D53" w:rsidRDefault="008D0D53" w:rsidP="008D0D53">
      <w:pPr>
        <w:pStyle w:val="Kommentartekst"/>
        <w:spacing w:line="360" w:lineRule="auto"/>
        <w:rPr>
          <w:sz w:val="18"/>
          <w:szCs w:val="18"/>
        </w:rPr>
      </w:pPr>
    </w:p>
    <w:p w:rsidR="008D0D53" w:rsidRDefault="008D0D53" w:rsidP="008D0D53">
      <w:pPr>
        <w:pStyle w:val="Kommentartekst"/>
        <w:spacing w:line="360" w:lineRule="auto"/>
        <w:rPr>
          <w:b/>
          <w:sz w:val="18"/>
          <w:szCs w:val="18"/>
        </w:rPr>
      </w:pPr>
      <w:r>
        <w:rPr>
          <w:b/>
          <w:sz w:val="18"/>
          <w:szCs w:val="18"/>
        </w:rPr>
        <w:t>Samlet vurdering</w:t>
      </w:r>
    </w:p>
    <w:p w:rsidR="00A05D3F" w:rsidRDefault="008D0D53" w:rsidP="00A05D3F">
      <w:pPr>
        <w:pStyle w:val="Kommentartekst"/>
        <w:spacing w:line="360" w:lineRule="auto"/>
        <w:rPr>
          <w:sz w:val="18"/>
          <w:szCs w:val="18"/>
        </w:rPr>
      </w:pPr>
      <w:r>
        <w:rPr>
          <w:sz w:val="18"/>
          <w:szCs w:val="18"/>
        </w:rPr>
        <w:t xml:space="preserve">Slagelse kommune vurderer, at oplaget kan drives uden væsentlige indvirkninger på miljøet, såfremt vilkårene i </w:t>
      </w:r>
      <w:r w:rsidR="004C3A15">
        <w:rPr>
          <w:sz w:val="18"/>
          <w:szCs w:val="18"/>
        </w:rPr>
        <w:t>miljø</w:t>
      </w:r>
      <w:r>
        <w:rPr>
          <w:sz w:val="18"/>
          <w:szCs w:val="18"/>
        </w:rPr>
        <w:t>godkendelsen</w:t>
      </w:r>
      <w:r w:rsidR="006456BF">
        <w:rPr>
          <w:sz w:val="18"/>
          <w:szCs w:val="18"/>
        </w:rPr>
        <w:t xml:space="preserve"> og dette</w:t>
      </w:r>
      <w:r w:rsidR="004C3A15">
        <w:rPr>
          <w:sz w:val="18"/>
          <w:szCs w:val="18"/>
        </w:rPr>
        <w:t xml:space="preserve"> tillæg</w:t>
      </w:r>
      <w:r>
        <w:rPr>
          <w:sz w:val="18"/>
          <w:szCs w:val="18"/>
        </w:rPr>
        <w:t xml:space="preserve"> overholdes.</w:t>
      </w:r>
      <w:bookmarkStart w:id="1" w:name="_Toc372871859"/>
      <w:bookmarkStart w:id="2" w:name="_Toc419109814"/>
      <w:bookmarkStart w:id="3" w:name="_Toc419109886"/>
      <w:bookmarkStart w:id="4" w:name="_Toc426534477"/>
      <w:bookmarkStart w:id="5" w:name="_Toc430867305"/>
    </w:p>
    <w:p w:rsidR="00A05D3F" w:rsidRDefault="00A05D3F" w:rsidP="008D0D53">
      <w:pPr>
        <w:pStyle w:val="Overskrift3"/>
        <w:spacing w:line="360" w:lineRule="auto"/>
        <w:rPr>
          <w:sz w:val="18"/>
          <w:szCs w:val="18"/>
        </w:rPr>
      </w:pPr>
    </w:p>
    <w:p w:rsidR="006456BF" w:rsidRDefault="006456BF" w:rsidP="006456BF">
      <w:pPr>
        <w:pStyle w:val="Overskrift8"/>
        <w:spacing w:line="360" w:lineRule="auto"/>
        <w:rPr>
          <w:rFonts w:ascii="Verdana" w:hAnsi="Verdana"/>
          <w:b/>
          <w:color w:val="auto"/>
          <w:sz w:val="18"/>
          <w:szCs w:val="18"/>
        </w:rPr>
      </w:pPr>
      <w:r>
        <w:rPr>
          <w:rFonts w:ascii="Verdana" w:hAnsi="Verdana"/>
          <w:b/>
          <w:color w:val="auto"/>
          <w:sz w:val="18"/>
          <w:szCs w:val="18"/>
        </w:rPr>
        <w:t>Grundlag for afgørelsen</w:t>
      </w:r>
    </w:p>
    <w:p w:rsidR="006456BF" w:rsidRDefault="006456BF" w:rsidP="006456BF">
      <w:pPr>
        <w:pStyle w:val="Listeafsnit"/>
        <w:numPr>
          <w:ilvl w:val="0"/>
          <w:numId w:val="5"/>
        </w:numPr>
      </w:pPr>
      <w:r w:rsidRPr="004169D2">
        <w:t>Korrespondance med virksomheden</w:t>
      </w:r>
    </w:p>
    <w:p w:rsidR="006456BF" w:rsidRDefault="006456BF" w:rsidP="006456BF">
      <w:pPr>
        <w:pStyle w:val="Listeafsnit"/>
        <w:numPr>
          <w:ilvl w:val="0"/>
          <w:numId w:val="5"/>
        </w:numPr>
      </w:pPr>
      <w:r>
        <w:t>Miljøgodkendelse af Skælskør Haveaffaldsplads af 30. oktober 2015</w:t>
      </w:r>
    </w:p>
    <w:p w:rsidR="006456BF" w:rsidRPr="004169D2" w:rsidRDefault="006456BF" w:rsidP="006456BF">
      <w:pPr>
        <w:pStyle w:val="Listeafsnit"/>
        <w:numPr>
          <w:ilvl w:val="0"/>
          <w:numId w:val="5"/>
        </w:numPr>
      </w:pPr>
      <w:r>
        <w:t>Miljøgodkendelse af Skælskør Kompostering af 15. oktober 1993</w:t>
      </w: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A05D3F" w:rsidRDefault="00A05D3F" w:rsidP="008D0D53">
      <w:pPr>
        <w:pStyle w:val="Overskrift3"/>
        <w:spacing w:line="360" w:lineRule="auto"/>
        <w:rPr>
          <w:sz w:val="18"/>
          <w:szCs w:val="18"/>
        </w:rPr>
      </w:pPr>
    </w:p>
    <w:p w:rsidR="004C3A15" w:rsidRDefault="004C3A15" w:rsidP="00A05D3F">
      <w:pPr>
        <w:rPr>
          <w:b/>
          <w:bCs/>
          <w:sz w:val="18"/>
          <w:szCs w:val="18"/>
        </w:rPr>
      </w:pPr>
    </w:p>
    <w:p w:rsidR="009851F3" w:rsidRDefault="009851F3" w:rsidP="00A05D3F">
      <w:pPr>
        <w:rPr>
          <w:b/>
          <w:bCs/>
          <w:sz w:val="18"/>
          <w:szCs w:val="18"/>
        </w:rPr>
      </w:pPr>
    </w:p>
    <w:p w:rsidR="009851F3" w:rsidRDefault="009851F3" w:rsidP="00A05D3F">
      <w:pPr>
        <w:rPr>
          <w:b/>
          <w:bCs/>
          <w:sz w:val="18"/>
          <w:szCs w:val="18"/>
        </w:rPr>
      </w:pPr>
    </w:p>
    <w:p w:rsidR="009851F3" w:rsidRDefault="009851F3" w:rsidP="00A05D3F">
      <w:pPr>
        <w:rPr>
          <w:b/>
          <w:bCs/>
          <w:sz w:val="18"/>
          <w:szCs w:val="18"/>
        </w:rPr>
      </w:pPr>
    </w:p>
    <w:p w:rsidR="009851F3" w:rsidRDefault="009851F3" w:rsidP="00A05D3F">
      <w:pPr>
        <w:rPr>
          <w:b/>
          <w:bCs/>
          <w:sz w:val="18"/>
          <w:szCs w:val="18"/>
        </w:rPr>
      </w:pPr>
    </w:p>
    <w:p w:rsidR="009851F3" w:rsidRPr="00A05D3F" w:rsidRDefault="009851F3" w:rsidP="00A05D3F"/>
    <w:p w:rsidR="008D0D53" w:rsidRDefault="008D0D53" w:rsidP="008D0D53">
      <w:pPr>
        <w:pStyle w:val="Overskrift3"/>
        <w:spacing w:line="360" w:lineRule="auto"/>
        <w:rPr>
          <w:sz w:val="18"/>
          <w:szCs w:val="18"/>
        </w:rPr>
      </w:pPr>
      <w:r>
        <w:rPr>
          <w:sz w:val="18"/>
          <w:szCs w:val="18"/>
        </w:rPr>
        <w:t>Offentliggørelse</w:t>
      </w:r>
      <w:bookmarkEnd w:id="1"/>
      <w:bookmarkEnd w:id="2"/>
      <w:bookmarkEnd w:id="3"/>
      <w:bookmarkEnd w:id="4"/>
      <w:bookmarkEnd w:id="5"/>
    </w:p>
    <w:p w:rsidR="008D0D53" w:rsidRPr="00B00C43" w:rsidRDefault="008D0D53" w:rsidP="008D0D53">
      <w:pPr>
        <w:pStyle w:val="Overskrift3"/>
        <w:spacing w:line="360" w:lineRule="auto"/>
        <w:rPr>
          <w:rFonts w:cs="Calibri"/>
          <w:b w:val="0"/>
          <w:sz w:val="18"/>
          <w:szCs w:val="18"/>
        </w:rPr>
      </w:pPr>
      <w:bookmarkStart w:id="6" w:name="_Toc419109815"/>
      <w:bookmarkStart w:id="7" w:name="_Toc419109887"/>
      <w:bookmarkStart w:id="8" w:name="_Toc426534478"/>
      <w:bookmarkStart w:id="9" w:name="_Toc430867306"/>
      <w:r>
        <w:rPr>
          <w:rFonts w:cs="Calibri"/>
          <w:b w:val="0"/>
          <w:sz w:val="18"/>
          <w:szCs w:val="18"/>
        </w:rPr>
        <w:t xml:space="preserve">Miljøgodkendelsen bliver offentliggjort på </w:t>
      </w:r>
      <w:hyperlink r:id="rId9" w:history="1">
        <w:r w:rsidR="005F2F44" w:rsidRPr="00456C2B">
          <w:rPr>
            <w:rStyle w:val="Hyperlink"/>
            <w:rFonts w:cs="Calibri"/>
            <w:b w:val="0"/>
            <w:sz w:val="18"/>
            <w:szCs w:val="18"/>
          </w:rPr>
          <w:t>www.dma.mst.dk</w:t>
        </w:r>
      </w:hyperlink>
      <w:r w:rsidR="005F2F44">
        <w:rPr>
          <w:rFonts w:cs="Calibri"/>
          <w:b w:val="0"/>
          <w:sz w:val="18"/>
          <w:szCs w:val="18"/>
        </w:rPr>
        <w:t xml:space="preserve"> og Slagelse Kommunes hjemmeside</w:t>
      </w:r>
      <w:r>
        <w:rPr>
          <w:rFonts w:cs="Calibri"/>
          <w:b w:val="0"/>
          <w:color w:val="FF0000"/>
          <w:sz w:val="18"/>
          <w:szCs w:val="18"/>
        </w:rPr>
        <w:t xml:space="preserve"> </w:t>
      </w:r>
      <w:r w:rsidR="005F2F44">
        <w:rPr>
          <w:rFonts w:cs="Calibri"/>
          <w:b w:val="0"/>
          <w:sz w:val="18"/>
          <w:szCs w:val="18"/>
        </w:rPr>
        <w:t xml:space="preserve">den </w:t>
      </w:r>
      <w:r w:rsidR="00B00C43">
        <w:rPr>
          <w:rFonts w:cs="Calibri"/>
          <w:b w:val="0"/>
          <w:sz w:val="18"/>
          <w:szCs w:val="18"/>
        </w:rPr>
        <w:t>19. marts 2018.</w:t>
      </w:r>
    </w:p>
    <w:p w:rsidR="008D0D53" w:rsidRDefault="008D0D53" w:rsidP="008D0D53">
      <w:pPr>
        <w:spacing w:line="360" w:lineRule="auto"/>
      </w:pPr>
    </w:p>
    <w:p w:rsidR="008D0D53" w:rsidRDefault="008D0D53" w:rsidP="008D0D53">
      <w:pPr>
        <w:pStyle w:val="Overskrift1"/>
        <w:spacing w:line="360" w:lineRule="auto"/>
        <w:rPr>
          <w:rFonts w:asciiTheme="minorHAnsi" w:hAnsiTheme="minorHAnsi" w:cs="Calibri"/>
          <w:sz w:val="18"/>
          <w:szCs w:val="18"/>
        </w:rPr>
      </w:pPr>
      <w:bookmarkStart w:id="10" w:name="_Toc476830051"/>
      <w:bookmarkStart w:id="11" w:name="_Toc419109817"/>
      <w:bookmarkStart w:id="12" w:name="_Toc419109889"/>
      <w:bookmarkStart w:id="13" w:name="_Toc426534479"/>
      <w:bookmarkStart w:id="14" w:name="_Toc430867308"/>
      <w:bookmarkEnd w:id="6"/>
      <w:bookmarkEnd w:id="7"/>
      <w:bookmarkEnd w:id="8"/>
      <w:bookmarkEnd w:id="9"/>
      <w:r>
        <w:rPr>
          <w:rFonts w:cs="Calibri"/>
          <w:sz w:val="18"/>
          <w:szCs w:val="18"/>
        </w:rPr>
        <w:t>Klagevejledning</w:t>
      </w:r>
      <w:bookmarkEnd w:id="10"/>
      <w:r>
        <w:rPr>
          <w:rFonts w:cs="Calibri"/>
          <w:b w:val="0"/>
          <w:sz w:val="18"/>
          <w:szCs w:val="18"/>
        </w:rPr>
        <w:br/>
      </w:r>
      <w:r>
        <w:rPr>
          <w:rFonts w:cs="Calibri"/>
          <w:b w:val="0"/>
          <w:color w:val="000000"/>
          <w:sz w:val="18"/>
          <w:szCs w:val="18"/>
        </w:rPr>
        <w:t xml:space="preserve">Afgørelsen om miljøgodkendelse og ikke VVM-pligt kan påklages til Miljø- og Fødevareklagenævnet. </w:t>
      </w:r>
      <w:r>
        <w:rPr>
          <w:rFonts w:cs="Calibri"/>
          <w:b w:val="0"/>
          <w:sz w:val="18"/>
          <w:szCs w:val="18"/>
        </w:rPr>
        <w:br/>
      </w:r>
      <w:r>
        <w:rPr>
          <w:rFonts w:cs="Calibri"/>
          <w:b w:val="0"/>
          <w:color w:val="000000"/>
          <w:sz w:val="18"/>
          <w:szCs w:val="18"/>
        </w:rPr>
        <w:t>Du finder Klageportalen på internettet via www.</w:t>
      </w:r>
      <w:r>
        <w:rPr>
          <w:rFonts w:cs="Calibri"/>
          <w:b w:val="0"/>
          <w:sz w:val="18"/>
          <w:szCs w:val="18"/>
        </w:rPr>
        <w:t>borger.dk</w:t>
      </w:r>
      <w:r>
        <w:rPr>
          <w:rFonts w:cs="Calibri"/>
          <w:b w:val="0"/>
          <w:color w:val="000000"/>
          <w:sz w:val="18"/>
          <w:szCs w:val="18"/>
        </w:rPr>
        <w:t xml:space="preserve"> eller</w:t>
      </w:r>
      <w:r>
        <w:rPr>
          <w:rFonts w:cs="Calibri"/>
          <w:b w:val="0"/>
          <w:sz w:val="18"/>
          <w:szCs w:val="18"/>
        </w:rPr>
        <w:t xml:space="preserve"> www.virk.dk</w:t>
      </w:r>
      <w:r>
        <w:rPr>
          <w:rFonts w:cs="Calibri"/>
          <w:b w:val="0"/>
          <w:color w:val="000000"/>
          <w:sz w:val="18"/>
          <w:szCs w:val="18"/>
        </w:rPr>
        <w:t>. Søg efter ”Klageportal”.</w:t>
      </w:r>
    </w:p>
    <w:p w:rsidR="008D0D53" w:rsidRDefault="008D0D53" w:rsidP="008D0D53">
      <w:pPr>
        <w:spacing w:line="360" w:lineRule="auto"/>
        <w:rPr>
          <w:rFonts w:cs="Calibri"/>
          <w:b/>
          <w:bCs/>
          <w:sz w:val="18"/>
          <w:szCs w:val="18"/>
        </w:rPr>
      </w:pPr>
    </w:p>
    <w:p w:rsidR="008D0D53" w:rsidRDefault="008D0D53" w:rsidP="008D0D53">
      <w:pPr>
        <w:spacing w:line="360" w:lineRule="auto"/>
        <w:rPr>
          <w:rFonts w:cs="Calibri"/>
          <w:b/>
          <w:bCs/>
          <w:sz w:val="18"/>
          <w:szCs w:val="18"/>
        </w:rPr>
      </w:pPr>
      <w:r>
        <w:rPr>
          <w:rFonts w:cs="Calibri"/>
          <w:b/>
          <w:bCs/>
          <w:sz w:val="18"/>
          <w:szCs w:val="18"/>
        </w:rPr>
        <w:t>Gebyr</w:t>
      </w:r>
    </w:p>
    <w:p w:rsidR="008D0D53" w:rsidRDefault="008D0D53" w:rsidP="008D0D53">
      <w:pPr>
        <w:spacing w:line="360" w:lineRule="auto"/>
        <w:rPr>
          <w:rFonts w:cs="Calibri"/>
          <w:b/>
          <w:bCs/>
          <w:sz w:val="18"/>
          <w:szCs w:val="18"/>
        </w:rPr>
      </w:pPr>
      <w:r>
        <w:rPr>
          <w:rFonts w:cs="Calibri"/>
          <w:sz w:val="18"/>
          <w:szCs w:val="18"/>
        </w:rPr>
        <w:t>I henhold til § 18 i loven om Miljø- og Fødevareklagenævnet</w:t>
      </w:r>
      <w:r>
        <w:rPr>
          <w:rStyle w:val="Fodnotehenvisning"/>
          <w:rFonts w:cs="Calibri"/>
          <w:sz w:val="18"/>
          <w:szCs w:val="18"/>
        </w:rPr>
        <w:footnoteReference w:id="2"/>
      </w:r>
      <w:r>
        <w:rPr>
          <w:rFonts w:cs="Calibri"/>
          <w:sz w:val="18"/>
          <w:szCs w:val="18"/>
        </w:rPr>
        <w:t xml:space="preserve"> skal den, der klager over en afgørelse betale et gebyr for behandling af en klage, der indbringes for nævnet. Privatpersoner skal betale et gebyr på 900 kr. For virksomheder og organisationer er gebyret på 1.800 kr. Betaling af klagegebyr sker ved elektronisk overførsel eller ved giroindbetaling til Nævnenes Hus. </w:t>
      </w:r>
    </w:p>
    <w:p w:rsidR="008D0D53" w:rsidRDefault="008D0D53" w:rsidP="008D0D53">
      <w:pPr>
        <w:spacing w:line="360" w:lineRule="auto"/>
        <w:rPr>
          <w:rFonts w:cs="Calibri"/>
          <w:b/>
          <w:bCs/>
          <w:sz w:val="18"/>
          <w:szCs w:val="18"/>
        </w:rPr>
      </w:pPr>
    </w:p>
    <w:p w:rsidR="008D0D53" w:rsidRDefault="008D0D53" w:rsidP="008D0D53">
      <w:pPr>
        <w:spacing w:line="360" w:lineRule="auto"/>
        <w:rPr>
          <w:rFonts w:cs="Calibri"/>
          <w:b/>
          <w:bCs/>
          <w:sz w:val="18"/>
          <w:szCs w:val="18"/>
        </w:rPr>
      </w:pPr>
      <w:r>
        <w:rPr>
          <w:rFonts w:cs="Calibri"/>
          <w:b/>
          <w:bCs/>
          <w:sz w:val="18"/>
          <w:szCs w:val="18"/>
        </w:rPr>
        <w:t>Frist</w:t>
      </w:r>
    </w:p>
    <w:p w:rsidR="008D0D53" w:rsidRPr="004C3A15" w:rsidRDefault="008D0D53" w:rsidP="008D0D53">
      <w:pPr>
        <w:spacing w:line="360" w:lineRule="auto"/>
        <w:rPr>
          <w:rFonts w:cs="Calibri"/>
          <w:b/>
          <w:bCs/>
          <w:color w:val="FF0000"/>
          <w:sz w:val="18"/>
          <w:szCs w:val="18"/>
        </w:rPr>
      </w:pPr>
      <w:r>
        <w:rPr>
          <w:rFonts w:cs="Calibri"/>
          <w:sz w:val="18"/>
          <w:szCs w:val="18"/>
        </w:rPr>
        <w:t>Fristen for at klage til Miljø- og Fødevareklagenævnet er senest 4 uger efter afgørelsen er meddelt. Klagefristen</w:t>
      </w:r>
      <w:r w:rsidR="004C3A15">
        <w:rPr>
          <w:rFonts w:cs="Calibri"/>
          <w:sz w:val="18"/>
          <w:szCs w:val="18"/>
        </w:rPr>
        <w:t xml:space="preserve"> udløber således d.</w:t>
      </w:r>
      <w:r w:rsidR="000F580B">
        <w:rPr>
          <w:rFonts w:cs="Calibri"/>
          <w:sz w:val="18"/>
          <w:szCs w:val="18"/>
        </w:rPr>
        <w:t xml:space="preserve"> 16. april 2018.</w:t>
      </w:r>
    </w:p>
    <w:p w:rsidR="008D0D53" w:rsidRDefault="008D0D53" w:rsidP="008D0D53">
      <w:pPr>
        <w:spacing w:line="360" w:lineRule="auto"/>
        <w:rPr>
          <w:rFonts w:cs="Calibri"/>
          <w:b/>
          <w:bCs/>
          <w:sz w:val="18"/>
          <w:szCs w:val="18"/>
        </w:rPr>
      </w:pPr>
    </w:p>
    <w:p w:rsidR="008D0D53" w:rsidRDefault="008D0D53" w:rsidP="008D0D53">
      <w:pPr>
        <w:spacing w:line="360" w:lineRule="auto"/>
        <w:rPr>
          <w:rFonts w:cs="Calibri"/>
          <w:b/>
          <w:bCs/>
          <w:sz w:val="18"/>
          <w:szCs w:val="18"/>
        </w:rPr>
      </w:pPr>
      <w:r>
        <w:rPr>
          <w:rFonts w:cs="Calibri"/>
          <w:b/>
          <w:bCs/>
          <w:sz w:val="18"/>
          <w:szCs w:val="18"/>
        </w:rPr>
        <w:t>Søgsmål</w:t>
      </w:r>
    </w:p>
    <w:p w:rsidR="008D0D53" w:rsidRPr="005F2F44" w:rsidRDefault="008D0D53" w:rsidP="008D0D53">
      <w:pPr>
        <w:spacing w:line="360" w:lineRule="auto"/>
        <w:rPr>
          <w:rFonts w:cs="Calibri"/>
          <w:b/>
          <w:bCs/>
          <w:color w:val="FF0000"/>
          <w:sz w:val="18"/>
          <w:szCs w:val="18"/>
        </w:rPr>
      </w:pPr>
      <w:r>
        <w:rPr>
          <w:rFonts w:cs="Calibri"/>
          <w:sz w:val="18"/>
          <w:szCs w:val="18"/>
        </w:rPr>
        <w:t>I henhold til § 101 i miljøbeskyttelsesloven</w:t>
      </w:r>
      <w:r>
        <w:rPr>
          <w:rStyle w:val="Fodnotehenvisning"/>
          <w:rFonts w:cs="Calibri"/>
          <w:sz w:val="18"/>
          <w:szCs w:val="18"/>
        </w:rPr>
        <w:footnoteReference w:id="3"/>
      </w:r>
      <w:r>
        <w:rPr>
          <w:rFonts w:cs="Calibri"/>
          <w:sz w:val="18"/>
          <w:szCs w:val="18"/>
        </w:rPr>
        <w:t xml:space="preserve"> kan afgørelsen prøves ved domstolene. Sagen skal være anlagt senest 6 måneder efter, at afgørelsen er meddelt. Fristen for at anlægge søgsmål udlø</w:t>
      </w:r>
      <w:r w:rsidR="005F2F44">
        <w:rPr>
          <w:rFonts w:cs="Calibri"/>
          <w:sz w:val="18"/>
          <w:szCs w:val="18"/>
        </w:rPr>
        <w:t>ber således den</w:t>
      </w:r>
      <w:r w:rsidR="000F580B">
        <w:rPr>
          <w:rFonts w:cs="Calibri"/>
          <w:sz w:val="18"/>
          <w:szCs w:val="18"/>
        </w:rPr>
        <w:t xml:space="preserve"> 19. september 2018. </w:t>
      </w:r>
    </w:p>
    <w:bookmarkEnd w:id="11"/>
    <w:bookmarkEnd w:id="12"/>
    <w:bookmarkEnd w:id="13"/>
    <w:bookmarkEnd w:id="14"/>
    <w:p w:rsidR="008D0D53" w:rsidRDefault="008D0D53" w:rsidP="008D0D53">
      <w:pPr>
        <w:spacing w:line="360" w:lineRule="auto"/>
        <w:rPr>
          <w:sz w:val="18"/>
          <w:szCs w:val="18"/>
        </w:rPr>
      </w:pPr>
    </w:p>
    <w:p w:rsidR="008D0D53" w:rsidRDefault="008D0D53" w:rsidP="008D0D53">
      <w:pPr>
        <w:pStyle w:val="Overskrift3"/>
        <w:spacing w:line="360" w:lineRule="auto"/>
        <w:rPr>
          <w:rFonts w:cs="Times New Roman"/>
          <w:sz w:val="18"/>
          <w:szCs w:val="18"/>
        </w:rPr>
      </w:pPr>
      <w:r>
        <w:rPr>
          <w:rFonts w:cs="Times New Roman"/>
          <w:sz w:val="18"/>
          <w:szCs w:val="18"/>
        </w:rPr>
        <w:t>Øvrige forhold</w:t>
      </w:r>
    </w:p>
    <w:p w:rsidR="008D0D53" w:rsidRDefault="006456BF" w:rsidP="008D0D53">
      <w:pPr>
        <w:spacing w:line="360" w:lineRule="auto"/>
        <w:rPr>
          <w:sz w:val="18"/>
          <w:szCs w:val="18"/>
        </w:rPr>
      </w:pPr>
      <w:r>
        <w:rPr>
          <w:sz w:val="18"/>
          <w:szCs w:val="18"/>
        </w:rPr>
        <w:t>Der er med dette tillæg</w:t>
      </w:r>
      <w:r w:rsidR="008D0D53">
        <w:rPr>
          <w:sz w:val="18"/>
          <w:szCs w:val="18"/>
        </w:rPr>
        <w:t xml:space="preserve"> udelukkende taget stilling til forhold i henhold til Miljøbeskyttelsesloven. Der er således ikke taget stilling til eventuel god</w:t>
      </w:r>
      <w:r w:rsidR="008D0D53">
        <w:rPr>
          <w:sz w:val="18"/>
          <w:szCs w:val="18"/>
        </w:rPr>
        <w:softHyphen/>
        <w:t>kendelse efter anden lovgiv</w:t>
      </w:r>
      <w:r w:rsidR="008D0D53">
        <w:rPr>
          <w:sz w:val="18"/>
          <w:szCs w:val="18"/>
        </w:rPr>
        <w:softHyphen/>
        <w:t>ning, f.eks. Byggeloven, Jordforureningsloven, Arbejdsmiljøloven eller Bered</w:t>
      </w:r>
      <w:r w:rsidR="008D0D53">
        <w:rPr>
          <w:sz w:val="18"/>
          <w:szCs w:val="18"/>
        </w:rPr>
        <w:softHyphen/>
        <w:t>skabsloven.</w:t>
      </w:r>
    </w:p>
    <w:p w:rsidR="008D0D53" w:rsidRDefault="008D0D53" w:rsidP="008D0D53">
      <w:pPr>
        <w:spacing w:line="360" w:lineRule="auto"/>
        <w:rPr>
          <w:sz w:val="18"/>
          <w:szCs w:val="18"/>
        </w:rPr>
      </w:pPr>
    </w:p>
    <w:sectPr w:rsidR="008D0D53" w:rsidSect="003D51CE">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4E6" w:rsidRDefault="008714E6" w:rsidP="008D0D53">
      <w:pPr>
        <w:spacing w:line="240" w:lineRule="auto"/>
      </w:pPr>
      <w:r>
        <w:separator/>
      </w:r>
    </w:p>
  </w:endnote>
  <w:endnote w:type="continuationSeparator" w:id="0">
    <w:p w:rsidR="008714E6" w:rsidRDefault="008714E6" w:rsidP="008D0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632569"/>
      <w:docPartObj>
        <w:docPartGallery w:val="Page Numbers (Bottom of Page)"/>
        <w:docPartUnique/>
      </w:docPartObj>
    </w:sdtPr>
    <w:sdtEndPr/>
    <w:sdtContent>
      <w:p w:rsidR="009851F3" w:rsidRDefault="009851F3">
        <w:pPr>
          <w:pStyle w:val="Sidefod"/>
          <w:jc w:val="right"/>
        </w:pPr>
        <w:r>
          <w:fldChar w:fldCharType="begin"/>
        </w:r>
        <w:r>
          <w:instrText>PAGE   \* MERGEFORMAT</w:instrText>
        </w:r>
        <w:r>
          <w:fldChar w:fldCharType="separate"/>
        </w:r>
        <w:r w:rsidR="00B94855">
          <w:rPr>
            <w:noProof/>
          </w:rPr>
          <w:t>1</w:t>
        </w:r>
        <w:r>
          <w:fldChar w:fldCharType="end"/>
        </w:r>
      </w:p>
    </w:sdtContent>
  </w:sdt>
  <w:p w:rsidR="00A05D3F" w:rsidRDefault="00A05D3F">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4E6" w:rsidRDefault="008714E6" w:rsidP="008D0D53">
      <w:pPr>
        <w:spacing w:line="240" w:lineRule="auto"/>
      </w:pPr>
      <w:r>
        <w:separator/>
      </w:r>
    </w:p>
  </w:footnote>
  <w:footnote w:type="continuationSeparator" w:id="0">
    <w:p w:rsidR="008714E6" w:rsidRDefault="008714E6" w:rsidP="008D0D53">
      <w:pPr>
        <w:spacing w:line="240" w:lineRule="auto"/>
      </w:pPr>
      <w:r>
        <w:continuationSeparator/>
      </w:r>
    </w:p>
  </w:footnote>
  <w:footnote w:id="1">
    <w:p w:rsidR="00971D81" w:rsidRDefault="00971D81">
      <w:pPr>
        <w:pStyle w:val="Fodnotetekst"/>
      </w:pPr>
      <w:r>
        <w:rPr>
          <w:rStyle w:val="Fodnotehenvisning"/>
        </w:rPr>
        <w:footnoteRef/>
      </w:r>
      <w:r>
        <w:t xml:space="preserve"> </w:t>
      </w:r>
      <w:r w:rsidRPr="00971D81">
        <w:rPr>
          <w:rStyle w:val="kortnavn2"/>
          <w:rFonts w:ascii="Verdana" w:hAnsi="Verdana"/>
          <w:sz w:val="16"/>
          <w:szCs w:val="16"/>
        </w:rPr>
        <w:t>LBK nr. 448 af 10/05/2017</w:t>
      </w:r>
      <w:r>
        <w:rPr>
          <w:rStyle w:val="kortnavn2"/>
          <w:rFonts w:ascii="Verdana" w:hAnsi="Verdana"/>
          <w:sz w:val="16"/>
          <w:szCs w:val="16"/>
        </w:rPr>
        <w:t>,</w:t>
      </w:r>
      <w:r w:rsidRPr="00971D81">
        <w:rPr>
          <w:rStyle w:val="kortnavn2"/>
          <w:rFonts w:ascii="Verdana" w:hAnsi="Verdana"/>
          <w:sz w:val="16"/>
          <w:szCs w:val="16"/>
        </w:rPr>
        <w:t xml:space="preserve"> </w:t>
      </w:r>
      <w:r w:rsidRPr="00971D81">
        <w:rPr>
          <w:sz w:val="16"/>
          <w:szCs w:val="16"/>
        </w:rPr>
        <w:t>Bekendtgørelse af lov om miljøvurdering af planer og programmer og af konkrete projekter (VVM)</w:t>
      </w:r>
    </w:p>
  </w:footnote>
  <w:footnote w:id="2">
    <w:p w:rsidR="008D0D53" w:rsidRPr="00BB4AC4" w:rsidRDefault="008D0D53" w:rsidP="008D0D53">
      <w:pPr>
        <w:pStyle w:val="Fodnotetekst"/>
        <w:rPr>
          <w:sz w:val="16"/>
          <w:szCs w:val="16"/>
        </w:rPr>
      </w:pPr>
      <w:r w:rsidRPr="00BB4AC4">
        <w:rPr>
          <w:rStyle w:val="Fodnotehenvisning"/>
          <w:sz w:val="16"/>
          <w:szCs w:val="16"/>
        </w:rPr>
        <w:footnoteRef/>
      </w:r>
      <w:r w:rsidRPr="00BB4AC4">
        <w:rPr>
          <w:sz w:val="16"/>
          <w:szCs w:val="16"/>
        </w:rPr>
        <w:t xml:space="preserve"> Lov nr. 1715 af 27/12/2016</w:t>
      </w:r>
      <w:r w:rsidR="004C3A15" w:rsidRPr="00BB4AC4">
        <w:rPr>
          <w:sz w:val="16"/>
          <w:szCs w:val="16"/>
        </w:rPr>
        <w:t>, Lov om Miljø- og Fødevareklagenævnet</w:t>
      </w:r>
    </w:p>
  </w:footnote>
  <w:footnote w:id="3">
    <w:p w:rsidR="008D0D53" w:rsidRDefault="008D0D53" w:rsidP="008D0D53">
      <w:pPr>
        <w:pStyle w:val="Fodnotetekst"/>
      </w:pPr>
      <w:r w:rsidRPr="00BB4AC4">
        <w:rPr>
          <w:rStyle w:val="Fodnotehenvisning"/>
          <w:sz w:val="16"/>
          <w:szCs w:val="16"/>
        </w:rPr>
        <w:footnoteRef/>
      </w:r>
      <w:r w:rsidRPr="00BB4AC4">
        <w:rPr>
          <w:sz w:val="16"/>
          <w:szCs w:val="16"/>
        </w:rPr>
        <w:t xml:space="preserve"> </w:t>
      </w:r>
      <w:r w:rsidR="00BB4AC4" w:rsidRPr="00BB4AC4">
        <w:rPr>
          <w:rStyle w:val="kortnavn2"/>
          <w:rFonts w:ascii="Verdana" w:hAnsi="Verdana"/>
          <w:sz w:val="16"/>
          <w:szCs w:val="16"/>
        </w:rPr>
        <w:t>LBK nr. 966 af 23/06/2017, Bekendtgørelse af lov om miljøbeskyttelse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C5ED6"/>
    <w:multiLevelType w:val="hybridMultilevel"/>
    <w:tmpl w:val="33F6D424"/>
    <w:lvl w:ilvl="0" w:tplc="2668ECF0">
      <w:numFmt w:val="bullet"/>
      <w:lvlText w:val="-"/>
      <w:lvlJc w:val="left"/>
      <w:pPr>
        <w:ind w:left="720" w:hanging="360"/>
      </w:pPr>
      <w:rPr>
        <w:rFonts w:ascii="Verdana" w:eastAsia="Times New Roman"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46819F3"/>
    <w:multiLevelType w:val="hybridMultilevel"/>
    <w:tmpl w:val="5456024A"/>
    <w:lvl w:ilvl="0" w:tplc="04060001">
      <w:start w:val="1"/>
      <w:numFmt w:val="bullet"/>
      <w:lvlText w:val=""/>
      <w:lvlJc w:val="left"/>
      <w:pPr>
        <w:ind w:left="795" w:hanging="360"/>
      </w:pPr>
      <w:rPr>
        <w:rFonts w:ascii="Symbol" w:hAnsi="Symbol" w:hint="default"/>
      </w:rPr>
    </w:lvl>
    <w:lvl w:ilvl="1" w:tplc="04060003">
      <w:start w:val="1"/>
      <w:numFmt w:val="bullet"/>
      <w:lvlText w:val="o"/>
      <w:lvlJc w:val="left"/>
      <w:pPr>
        <w:ind w:left="1515" w:hanging="360"/>
      </w:pPr>
      <w:rPr>
        <w:rFonts w:ascii="Courier New" w:hAnsi="Courier New" w:cs="Courier New" w:hint="default"/>
      </w:rPr>
    </w:lvl>
    <w:lvl w:ilvl="2" w:tplc="04060005">
      <w:start w:val="1"/>
      <w:numFmt w:val="bullet"/>
      <w:lvlText w:val=""/>
      <w:lvlJc w:val="left"/>
      <w:pPr>
        <w:ind w:left="2235" w:hanging="360"/>
      </w:pPr>
      <w:rPr>
        <w:rFonts w:ascii="Wingdings" w:hAnsi="Wingdings" w:hint="default"/>
      </w:rPr>
    </w:lvl>
    <w:lvl w:ilvl="3" w:tplc="04060001">
      <w:start w:val="1"/>
      <w:numFmt w:val="bullet"/>
      <w:lvlText w:val=""/>
      <w:lvlJc w:val="left"/>
      <w:pPr>
        <w:ind w:left="2955" w:hanging="360"/>
      </w:pPr>
      <w:rPr>
        <w:rFonts w:ascii="Symbol" w:hAnsi="Symbol" w:hint="default"/>
      </w:rPr>
    </w:lvl>
    <w:lvl w:ilvl="4" w:tplc="04060003">
      <w:start w:val="1"/>
      <w:numFmt w:val="bullet"/>
      <w:lvlText w:val="o"/>
      <w:lvlJc w:val="left"/>
      <w:pPr>
        <w:ind w:left="3675" w:hanging="360"/>
      </w:pPr>
      <w:rPr>
        <w:rFonts w:ascii="Courier New" w:hAnsi="Courier New" w:cs="Courier New" w:hint="default"/>
      </w:rPr>
    </w:lvl>
    <w:lvl w:ilvl="5" w:tplc="04060005">
      <w:start w:val="1"/>
      <w:numFmt w:val="bullet"/>
      <w:lvlText w:val=""/>
      <w:lvlJc w:val="left"/>
      <w:pPr>
        <w:ind w:left="4395" w:hanging="360"/>
      </w:pPr>
      <w:rPr>
        <w:rFonts w:ascii="Wingdings" w:hAnsi="Wingdings" w:hint="default"/>
      </w:rPr>
    </w:lvl>
    <w:lvl w:ilvl="6" w:tplc="04060001">
      <w:start w:val="1"/>
      <w:numFmt w:val="bullet"/>
      <w:lvlText w:val=""/>
      <w:lvlJc w:val="left"/>
      <w:pPr>
        <w:ind w:left="5115" w:hanging="360"/>
      </w:pPr>
      <w:rPr>
        <w:rFonts w:ascii="Symbol" w:hAnsi="Symbol" w:hint="default"/>
      </w:rPr>
    </w:lvl>
    <w:lvl w:ilvl="7" w:tplc="04060003">
      <w:start w:val="1"/>
      <w:numFmt w:val="bullet"/>
      <w:lvlText w:val="o"/>
      <w:lvlJc w:val="left"/>
      <w:pPr>
        <w:ind w:left="5835" w:hanging="360"/>
      </w:pPr>
      <w:rPr>
        <w:rFonts w:ascii="Courier New" w:hAnsi="Courier New" w:cs="Courier New" w:hint="default"/>
      </w:rPr>
    </w:lvl>
    <w:lvl w:ilvl="8" w:tplc="04060005">
      <w:start w:val="1"/>
      <w:numFmt w:val="bullet"/>
      <w:lvlText w:val=""/>
      <w:lvlJc w:val="left"/>
      <w:pPr>
        <w:ind w:left="6555" w:hanging="360"/>
      </w:pPr>
      <w:rPr>
        <w:rFonts w:ascii="Wingdings" w:hAnsi="Wingdings" w:hint="default"/>
      </w:rPr>
    </w:lvl>
  </w:abstractNum>
  <w:abstractNum w:abstractNumId="2" w15:restartNumberingAfterBreak="0">
    <w:nsid w:val="4FE26A23"/>
    <w:multiLevelType w:val="hybridMultilevel"/>
    <w:tmpl w:val="1FC04C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D203B1D"/>
    <w:multiLevelType w:val="hybridMultilevel"/>
    <w:tmpl w:val="23085A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70A2510C"/>
    <w:multiLevelType w:val="hybridMultilevel"/>
    <w:tmpl w:val="9092BC0A"/>
    <w:lvl w:ilvl="0" w:tplc="7454467C">
      <w:numFmt w:val="bullet"/>
      <w:lvlText w:val="-"/>
      <w:lvlJc w:val="left"/>
      <w:pPr>
        <w:ind w:left="720" w:hanging="360"/>
      </w:pPr>
      <w:rPr>
        <w:rFonts w:ascii="Verdana" w:eastAsia="Times New Roman"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D53"/>
    <w:rsid w:val="00027921"/>
    <w:rsid w:val="0006321D"/>
    <w:rsid w:val="000F580B"/>
    <w:rsid w:val="00101DD7"/>
    <w:rsid w:val="0010685A"/>
    <w:rsid w:val="001B57B9"/>
    <w:rsid w:val="001B69FA"/>
    <w:rsid w:val="0024790B"/>
    <w:rsid w:val="00283D57"/>
    <w:rsid w:val="0035107C"/>
    <w:rsid w:val="003D51CE"/>
    <w:rsid w:val="003D5321"/>
    <w:rsid w:val="003D7FE5"/>
    <w:rsid w:val="00404ADD"/>
    <w:rsid w:val="004169D2"/>
    <w:rsid w:val="004433E9"/>
    <w:rsid w:val="0046252C"/>
    <w:rsid w:val="004A5E29"/>
    <w:rsid w:val="004B66E9"/>
    <w:rsid w:val="004C3A15"/>
    <w:rsid w:val="004D5921"/>
    <w:rsid w:val="00520BAB"/>
    <w:rsid w:val="005228BB"/>
    <w:rsid w:val="005A3B46"/>
    <w:rsid w:val="005C4CF3"/>
    <w:rsid w:val="005E23CF"/>
    <w:rsid w:val="005F2F44"/>
    <w:rsid w:val="005F47F0"/>
    <w:rsid w:val="0060102E"/>
    <w:rsid w:val="00625FE6"/>
    <w:rsid w:val="006456BF"/>
    <w:rsid w:val="0065516E"/>
    <w:rsid w:val="006D6B35"/>
    <w:rsid w:val="0079056F"/>
    <w:rsid w:val="00795739"/>
    <w:rsid w:val="00814B71"/>
    <w:rsid w:val="008334BF"/>
    <w:rsid w:val="008714E6"/>
    <w:rsid w:val="008D0D53"/>
    <w:rsid w:val="008D26B8"/>
    <w:rsid w:val="00971D81"/>
    <w:rsid w:val="009851F3"/>
    <w:rsid w:val="009A1B00"/>
    <w:rsid w:val="009D5CCA"/>
    <w:rsid w:val="009E22A8"/>
    <w:rsid w:val="00A05D3F"/>
    <w:rsid w:val="00A12FAC"/>
    <w:rsid w:val="00AD01ED"/>
    <w:rsid w:val="00B00C43"/>
    <w:rsid w:val="00B257DF"/>
    <w:rsid w:val="00B27A76"/>
    <w:rsid w:val="00B94855"/>
    <w:rsid w:val="00BB4AC4"/>
    <w:rsid w:val="00BD6D04"/>
    <w:rsid w:val="00C70FA6"/>
    <w:rsid w:val="00D77197"/>
    <w:rsid w:val="00F27D59"/>
    <w:rsid w:val="00F72063"/>
    <w:rsid w:val="00FD20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CAF77B-0C3E-4382-A87E-E6C81FE8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D53"/>
    <w:pPr>
      <w:spacing w:line="280" w:lineRule="atLeast"/>
    </w:pPr>
    <w:rPr>
      <w:rFonts w:ascii="Verdana" w:hAnsi="Verdana" w:cs="Verdana"/>
      <w:sz w:val="19"/>
      <w:szCs w:val="19"/>
      <w:lang w:eastAsia="en-US"/>
    </w:rPr>
  </w:style>
  <w:style w:type="paragraph" w:styleId="Overskrift1">
    <w:name w:val="heading 1"/>
    <w:basedOn w:val="Normal"/>
    <w:next w:val="Normal"/>
    <w:link w:val="Overskrift1Tegn"/>
    <w:uiPriority w:val="99"/>
    <w:qFormat/>
    <w:rsid w:val="008D0D53"/>
    <w:pPr>
      <w:keepNext/>
      <w:outlineLvl w:val="0"/>
    </w:pPr>
    <w:rPr>
      <w:b/>
      <w:bCs/>
      <w:kern w:val="32"/>
      <w:sz w:val="22"/>
      <w:szCs w:val="22"/>
    </w:rPr>
  </w:style>
  <w:style w:type="paragraph" w:styleId="Overskrift3">
    <w:name w:val="heading 3"/>
    <w:basedOn w:val="Normal"/>
    <w:next w:val="Normal"/>
    <w:link w:val="Overskrift3Tegn"/>
    <w:uiPriority w:val="99"/>
    <w:unhideWhenUsed/>
    <w:qFormat/>
    <w:rsid w:val="008D0D53"/>
    <w:pPr>
      <w:keepNext/>
      <w:outlineLvl w:val="2"/>
    </w:pPr>
    <w:rPr>
      <w:b/>
      <w:bCs/>
    </w:rPr>
  </w:style>
  <w:style w:type="paragraph" w:styleId="Overskrift8">
    <w:name w:val="heading 8"/>
    <w:basedOn w:val="Normal"/>
    <w:next w:val="Normal"/>
    <w:link w:val="Overskrift8Tegn"/>
    <w:semiHidden/>
    <w:unhideWhenUsed/>
    <w:qFormat/>
    <w:rsid w:val="008D0D5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8D0D53"/>
    <w:rPr>
      <w:rFonts w:ascii="Verdana" w:hAnsi="Verdana" w:cs="Verdana"/>
      <w:b/>
      <w:bCs/>
      <w:kern w:val="32"/>
      <w:sz w:val="22"/>
      <w:szCs w:val="22"/>
      <w:lang w:eastAsia="en-US"/>
    </w:rPr>
  </w:style>
  <w:style w:type="character" w:customStyle="1" w:styleId="Overskrift3Tegn">
    <w:name w:val="Overskrift 3 Tegn"/>
    <w:basedOn w:val="Standardskrifttypeiafsnit"/>
    <w:link w:val="Overskrift3"/>
    <w:uiPriority w:val="99"/>
    <w:rsid w:val="008D0D53"/>
    <w:rPr>
      <w:rFonts w:ascii="Verdana" w:hAnsi="Verdana" w:cs="Verdana"/>
      <w:b/>
      <w:bCs/>
      <w:sz w:val="19"/>
      <w:szCs w:val="19"/>
      <w:lang w:eastAsia="en-US"/>
    </w:rPr>
  </w:style>
  <w:style w:type="character" w:customStyle="1" w:styleId="Overskrift8Tegn">
    <w:name w:val="Overskrift 8 Tegn"/>
    <w:basedOn w:val="Standardskrifttypeiafsnit"/>
    <w:link w:val="Overskrift8"/>
    <w:semiHidden/>
    <w:rsid w:val="008D0D53"/>
    <w:rPr>
      <w:rFonts w:asciiTheme="majorHAnsi" w:eastAsiaTheme="majorEastAsia" w:hAnsiTheme="majorHAnsi" w:cstheme="majorBidi"/>
      <w:color w:val="272727" w:themeColor="text1" w:themeTint="D8"/>
      <w:sz w:val="21"/>
      <w:szCs w:val="21"/>
      <w:lang w:eastAsia="en-US"/>
    </w:rPr>
  </w:style>
  <w:style w:type="paragraph" w:styleId="Fodnotetekst">
    <w:name w:val="footnote text"/>
    <w:basedOn w:val="Normal"/>
    <w:link w:val="FodnotetekstTegn"/>
    <w:uiPriority w:val="99"/>
    <w:semiHidden/>
    <w:unhideWhenUsed/>
    <w:rsid w:val="008D0D53"/>
    <w:pPr>
      <w:spacing w:line="240" w:lineRule="auto"/>
    </w:pPr>
    <w:rPr>
      <w:sz w:val="20"/>
      <w:szCs w:val="20"/>
    </w:rPr>
  </w:style>
  <w:style w:type="character" w:customStyle="1" w:styleId="FodnotetekstTegn">
    <w:name w:val="Fodnotetekst Tegn"/>
    <w:basedOn w:val="Standardskrifttypeiafsnit"/>
    <w:link w:val="Fodnotetekst"/>
    <w:uiPriority w:val="99"/>
    <w:semiHidden/>
    <w:rsid w:val="008D0D53"/>
    <w:rPr>
      <w:rFonts w:ascii="Verdana" w:hAnsi="Verdana" w:cs="Verdana"/>
      <w:lang w:eastAsia="en-US"/>
    </w:rPr>
  </w:style>
  <w:style w:type="paragraph" w:styleId="Kommentartekst">
    <w:name w:val="annotation text"/>
    <w:basedOn w:val="Normal"/>
    <w:link w:val="KommentartekstTegn"/>
    <w:unhideWhenUsed/>
    <w:rsid w:val="008D0D53"/>
    <w:rPr>
      <w:rFonts w:cs="Times New Roman"/>
      <w:sz w:val="20"/>
      <w:szCs w:val="20"/>
    </w:rPr>
  </w:style>
  <w:style w:type="character" w:customStyle="1" w:styleId="KommentartekstTegn">
    <w:name w:val="Kommentartekst Tegn"/>
    <w:basedOn w:val="Standardskrifttypeiafsnit"/>
    <w:link w:val="Kommentartekst"/>
    <w:rsid w:val="008D0D53"/>
    <w:rPr>
      <w:rFonts w:ascii="Verdana" w:hAnsi="Verdana"/>
      <w:lang w:eastAsia="en-US"/>
    </w:rPr>
  </w:style>
  <w:style w:type="character" w:styleId="Fodnotehenvisning">
    <w:name w:val="footnote reference"/>
    <w:basedOn w:val="Standardskrifttypeiafsnit"/>
    <w:uiPriority w:val="99"/>
    <w:semiHidden/>
    <w:unhideWhenUsed/>
    <w:rsid w:val="008D0D53"/>
    <w:rPr>
      <w:vertAlign w:val="superscript"/>
    </w:rPr>
  </w:style>
  <w:style w:type="table" w:styleId="Tabel-Gitter">
    <w:name w:val="Table Grid"/>
    <w:basedOn w:val="Tabel-Normal"/>
    <w:uiPriority w:val="59"/>
    <w:rsid w:val="008D0D53"/>
    <w:pPr>
      <w:spacing w:line="280" w:lineRule="atLeast"/>
    </w:pPr>
    <w:rPr>
      <w:rFonts w:ascii="Arial" w:hAnsi="Arial" w:cs="Arial"/>
      <w:sz w:val="19"/>
      <w:szCs w:val="19"/>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6252C"/>
    <w:pPr>
      <w:ind w:left="720"/>
      <w:contextualSpacing/>
    </w:pPr>
  </w:style>
  <w:style w:type="character" w:styleId="Hyperlink">
    <w:name w:val="Hyperlink"/>
    <w:basedOn w:val="Standardskrifttypeiafsnit"/>
    <w:unhideWhenUsed/>
    <w:rsid w:val="005F2F44"/>
    <w:rPr>
      <w:color w:val="0000FF" w:themeColor="hyperlink"/>
      <w:u w:val="single"/>
    </w:rPr>
  </w:style>
  <w:style w:type="paragraph" w:styleId="Sidehoved">
    <w:name w:val="header"/>
    <w:basedOn w:val="Normal"/>
    <w:link w:val="SidehovedTegn"/>
    <w:unhideWhenUsed/>
    <w:rsid w:val="006D6B35"/>
    <w:pPr>
      <w:tabs>
        <w:tab w:val="center" w:pos="4819"/>
        <w:tab w:val="right" w:pos="9638"/>
      </w:tabs>
      <w:spacing w:line="240" w:lineRule="auto"/>
    </w:pPr>
  </w:style>
  <w:style w:type="character" w:customStyle="1" w:styleId="SidehovedTegn">
    <w:name w:val="Sidehoved Tegn"/>
    <w:basedOn w:val="Standardskrifttypeiafsnit"/>
    <w:link w:val="Sidehoved"/>
    <w:rsid w:val="006D6B35"/>
    <w:rPr>
      <w:rFonts w:ascii="Verdana" w:hAnsi="Verdana" w:cs="Verdana"/>
      <w:sz w:val="19"/>
      <w:szCs w:val="19"/>
      <w:lang w:eastAsia="en-US"/>
    </w:rPr>
  </w:style>
  <w:style w:type="paragraph" w:styleId="Sidefod">
    <w:name w:val="footer"/>
    <w:basedOn w:val="Normal"/>
    <w:link w:val="SidefodTegn"/>
    <w:uiPriority w:val="99"/>
    <w:unhideWhenUsed/>
    <w:rsid w:val="006D6B35"/>
    <w:pPr>
      <w:tabs>
        <w:tab w:val="center" w:pos="4819"/>
        <w:tab w:val="right" w:pos="9638"/>
      </w:tabs>
      <w:spacing w:line="240" w:lineRule="auto"/>
    </w:pPr>
  </w:style>
  <w:style w:type="character" w:customStyle="1" w:styleId="SidefodTegn">
    <w:name w:val="Sidefod Tegn"/>
    <w:basedOn w:val="Standardskrifttypeiafsnit"/>
    <w:link w:val="Sidefod"/>
    <w:uiPriority w:val="99"/>
    <w:rsid w:val="006D6B35"/>
    <w:rPr>
      <w:rFonts w:ascii="Verdana" w:hAnsi="Verdana" w:cs="Verdana"/>
      <w:sz w:val="19"/>
      <w:szCs w:val="19"/>
      <w:lang w:eastAsia="en-US"/>
    </w:rPr>
  </w:style>
  <w:style w:type="character" w:customStyle="1" w:styleId="kortnavn2">
    <w:name w:val="kortnavn2"/>
    <w:basedOn w:val="Standardskrifttypeiafsnit"/>
    <w:rsid w:val="00971D81"/>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9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ma.mst.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175CF-1C30-4E7D-B6F1-A44F1658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5663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Slagelse Kommune</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Roslind Pedersen</dc:creator>
  <cp:keywords/>
  <dc:description/>
  <cp:lastModifiedBy>Monique Roslind Pedersen</cp:lastModifiedBy>
  <cp:revision>2</cp:revision>
  <dcterms:created xsi:type="dcterms:W3CDTF">2018-04-16T09:16:00Z</dcterms:created>
  <dcterms:modified xsi:type="dcterms:W3CDTF">2018-04-16T09:16:00Z</dcterms:modified>
</cp:coreProperties>
</file>