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6850" w14:textId="0BF255E8" w:rsidR="00E67895" w:rsidRDefault="00CD6837"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77777777" w:rsidR="00E67895" w:rsidRPr="00C34BFD" w:rsidRDefault="00CD6837" w:rsidP="007B65F5">
      <w:pPr>
        <w:pStyle w:val="Info"/>
        <w:framePr w:w="5400" w:h="2304" w:hRule="exact" w:hSpace="180" w:wrap="around" w:vAnchor="text" w:hAnchor="text" w:x="4678" w:y="-143"/>
        <w:tabs>
          <w:tab w:val="clear" w:pos="1846"/>
        </w:tabs>
        <w:ind w:left="2835" w:right="-427" w:hanging="1417"/>
      </w:pPr>
      <w:r>
        <w:t>Dato:</w:t>
      </w:r>
      <w:r>
        <w:tab/>
        <w:t>21-11-2024</w:t>
      </w:r>
    </w:p>
    <w:p w14:paraId="7451436D" w14:textId="77109B04" w:rsidR="00E67895" w:rsidRPr="00FC446D" w:rsidRDefault="00CD6837"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r>
      <w:r w:rsidR="00A254CA">
        <w:rPr>
          <w:lang w:val="en-US"/>
        </w:rPr>
        <w:t>Thomas Juul Bundgaard</w:t>
      </w:r>
    </w:p>
    <w:p w14:paraId="6C9498F1" w14:textId="3C4622C3" w:rsidR="00E67895" w:rsidRPr="00FC446D" w:rsidRDefault="00CD6837"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Tlf</w:t>
      </w:r>
      <w:proofErr w:type="spellEnd"/>
      <w:r w:rsidRPr="00FC446D">
        <w:rPr>
          <w:lang w:val="en-US"/>
        </w:rPr>
        <w:t>.:</w:t>
      </w:r>
      <w:r w:rsidRPr="00FC446D">
        <w:rPr>
          <w:lang w:val="en-US"/>
        </w:rPr>
        <w:tab/>
      </w:r>
      <w:r w:rsidR="00A254CA">
        <w:rPr>
          <w:lang w:val="en-US"/>
        </w:rPr>
        <w:t>2382 2923</w:t>
      </w:r>
    </w:p>
    <w:p w14:paraId="1BBC4891" w14:textId="6A9EBE2B" w:rsidR="00E67895" w:rsidRPr="00FC446D" w:rsidRDefault="00CD6837"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r>
      <w:r w:rsidR="00A254CA">
        <w:rPr>
          <w:lang w:val="en-US"/>
        </w:rPr>
        <w:t>THJB@norddjurs.dk</w:t>
      </w:r>
    </w:p>
    <w:p w14:paraId="2138B5A0" w14:textId="77777777" w:rsidR="00E67895" w:rsidRPr="00FC446D" w:rsidRDefault="00CD6837"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Journalnr</w:t>
      </w:r>
      <w:proofErr w:type="spellEnd"/>
      <w:r w:rsidRPr="00FC446D">
        <w:rPr>
          <w:lang w:val="en-US"/>
        </w:rPr>
        <w:t>.:</w:t>
      </w:r>
      <w:r w:rsidRPr="00FC446D">
        <w:rPr>
          <w:lang w:val="en-US"/>
        </w:rPr>
        <w:tab/>
        <w:t>18/8586</w:t>
      </w:r>
    </w:p>
    <w:p w14:paraId="179C7187"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67BBF692" w14:textId="77777777" w:rsidR="00E01391" w:rsidRPr="00FC446D" w:rsidRDefault="00CD6837" w:rsidP="003354C4">
      <w:pPr>
        <w:pStyle w:val="Info"/>
        <w:ind w:left="0"/>
        <w:rPr>
          <w:lang w:val="en-US"/>
        </w:rPr>
      </w:pPr>
      <w:r w:rsidRPr="00FC446D">
        <w:rPr>
          <w:lang w:val="en-US"/>
        </w:rPr>
        <w:t>Vognmand Lars Svidt</w:t>
      </w:r>
    </w:p>
    <w:p w14:paraId="30EF3786" w14:textId="77777777" w:rsidR="00E01391" w:rsidRPr="00FC446D" w:rsidRDefault="00CD6837" w:rsidP="003354C4">
      <w:pPr>
        <w:pStyle w:val="Info"/>
        <w:ind w:left="0"/>
        <w:rPr>
          <w:lang w:val="en-US"/>
        </w:rPr>
      </w:pPr>
      <w:proofErr w:type="spellStart"/>
      <w:r w:rsidRPr="00FC446D">
        <w:rPr>
          <w:lang w:val="en-US"/>
        </w:rPr>
        <w:t>Rugvænget</w:t>
      </w:r>
      <w:proofErr w:type="spellEnd"/>
      <w:r w:rsidRPr="00FC446D">
        <w:rPr>
          <w:lang w:val="en-US"/>
        </w:rPr>
        <w:t xml:space="preserve"> 38</w:t>
      </w:r>
    </w:p>
    <w:p w14:paraId="6431EC84" w14:textId="35E7E1B5" w:rsidR="009F48F0" w:rsidRPr="00FC446D" w:rsidRDefault="00CD6837" w:rsidP="003354C4">
      <w:pPr>
        <w:pStyle w:val="Info"/>
        <w:tabs>
          <w:tab w:val="clear" w:pos="1846"/>
          <w:tab w:val="right" w:pos="2698"/>
        </w:tabs>
        <w:ind w:left="0"/>
        <w:rPr>
          <w:u w:val="single"/>
          <w:lang w:val="en-US"/>
        </w:rPr>
      </w:pPr>
      <w:proofErr w:type="gramStart"/>
      <w:r w:rsidRPr="00FC446D">
        <w:rPr>
          <w:u w:val="single"/>
          <w:lang w:val="en-US"/>
        </w:rPr>
        <w:t>8500</w:t>
      </w:r>
      <w:r w:rsidR="00355536" w:rsidRPr="00FC446D">
        <w:rPr>
          <w:u w:val="single"/>
          <w:lang w:val="en-US"/>
        </w:rPr>
        <w:t xml:space="preserve"> </w:t>
      </w:r>
      <w:r w:rsidRPr="00FC446D">
        <w:rPr>
          <w:u w:val="single"/>
          <w:lang w:val="en-US"/>
        </w:rPr>
        <w:t xml:space="preserve"> Grenaa</w:t>
      </w:r>
      <w:proofErr w:type="gramEnd"/>
    </w:p>
    <w:p w14:paraId="6A4B5FD0" w14:textId="77777777" w:rsidR="00AE75A7" w:rsidRPr="00FC446D" w:rsidRDefault="00CD6837" w:rsidP="00CC1783">
      <w:pPr>
        <w:pStyle w:val="Info"/>
        <w:tabs>
          <w:tab w:val="clear" w:pos="1846"/>
        </w:tabs>
        <w:ind w:left="851" w:right="-427" w:hanging="2269"/>
        <w:rPr>
          <w:lang w:val="en-US"/>
        </w:rPr>
      </w:pPr>
      <w:r w:rsidRPr="00FC446D">
        <w:rPr>
          <w:lang w:val="en-US"/>
        </w:rPr>
        <w:br w:type="column"/>
      </w:r>
    </w:p>
    <w:p w14:paraId="68A7A2ED"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2223B50" w14:textId="77777777" w:rsidR="00FB08A5" w:rsidRPr="00355536" w:rsidRDefault="00CD6837" w:rsidP="00355536">
      <w:pPr>
        <w:pStyle w:val="Overskrift1"/>
        <w:jc w:val="center"/>
        <w:rPr>
          <w:sz w:val="28"/>
          <w:szCs w:val="28"/>
        </w:rPr>
      </w:pPr>
      <w:r w:rsidRPr="00355536">
        <w:rPr>
          <w:sz w:val="28"/>
          <w:szCs w:val="28"/>
        </w:rPr>
        <w:t>T I L S Y N S</w:t>
      </w:r>
      <w:r w:rsidRPr="00355536">
        <w:rPr>
          <w:sz w:val="28"/>
          <w:szCs w:val="28"/>
        </w:rPr>
        <w:t xml:space="preserve"> R A P </w:t>
      </w:r>
      <w:proofErr w:type="spellStart"/>
      <w:r w:rsidRPr="00355536">
        <w:rPr>
          <w:sz w:val="28"/>
          <w:szCs w:val="28"/>
        </w:rPr>
        <w:t>P</w:t>
      </w:r>
      <w:proofErr w:type="spellEnd"/>
      <w:r w:rsidRPr="00355536">
        <w:rPr>
          <w:sz w:val="28"/>
          <w:szCs w:val="28"/>
        </w:rPr>
        <w:t xml:space="preserve"> O R T</w:t>
      </w:r>
    </w:p>
    <w:p w14:paraId="764A1E09" w14:textId="32C3A257" w:rsidR="00355536" w:rsidRDefault="00CD6837" w:rsidP="00355536">
      <w:pPr>
        <w:pStyle w:val="Overskrift1"/>
      </w:pPr>
      <w:r>
        <w:t>Miljøtilsyn ho</w:t>
      </w:r>
      <w:r w:rsidR="0045254D">
        <w:t xml:space="preserve">s Vognmand Lars </w:t>
      </w:r>
      <w:proofErr w:type="spellStart"/>
      <w:r w:rsidR="0045254D">
        <w:t>Svidt</w:t>
      </w:r>
      <w:proofErr w:type="spellEnd"/>
      <w:r w:rsidR="0045254D">
        <w:t>, Rugvænget 3</w:t>
      </w:r>
      <w:r w:rsidR="00A254CA">
        <w:t>0</w:t>
      </w:r>
      <w:r w:rsidR="0045254D">
        <w:t>, 8500 Grenaa.</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E60C0E" w14:paraId="4680BD68" w14:textId="77777777" w:rsidTr="00D76CC2">
        <w:tc>
          <w:tcPr>
            <w:tcW w:w="3217" w:type="dxa"/>
          </w:tcPr>
          <w:p w14:paraId="146F4566" w14:textId="77777777" w:rsidR="00355536" w:rsidRPr="00F35F76" w:rsidRDefault="00CD6837" w:rsidP="006D1197">
            <w:pPr>
              <w:pStyle w:val="Brd"/>
              <w:rPr>
                <w:b/>
              </w:rPr>
            </w:pPr>
            <w:r w:rsidRPr="00F35F76">
              <w:rPr>
                <w:b/>
              </w:rPr>
              <w:t>Tilsynsdato:</w:t>
            </w:r>
          </w:p>
        </w:tc>
        <w:tc>
          <w:tcPr>
            <w:tcW w:w="6045" w:type="dxa"/>
          </w:tcPr>
          <w:p w14:paraId="0BC6037E" w14:textId="7C01C7C4" w:rsidR="00355536" w:rsidRDefault="00A254CA" w:rsidP="006D1197">
            <w:pPr>
              <w:pStyle w:val="Brd"/>
            </w:pPr>
            <w:r>
              <w:t>21/11 2024</w:t>
            </w:r>
          </w:p>
        </w:tc>
      </w:tr>
      <w:tr w:rsidR="00E60C0E" w14:paraId="29465749" w14:textId="77777777" w:rsidTr="00D76CC2">
        <w:tc>
          <w:tcPr>
            <w:tcW w:w="3217" w:type="dxa"/>
          </w:tcPr>
          <w:p w14:paraId="53EF274E" w14:textId="77777777" w:rsidR="00355536" w:rsidRPr="00F35F76" w:rsidRDefault="00CD6837" w:rsidP="006D1197">
            <w:pPr>
              <w:pStyle w:val="Brd"/>
              <w:rPr>
                <w:b/>
              </w:rPr>
            </w:pPr>
            <w:r w:rsidRPr="00F35F76">
              <w:rPr>
                <w:b/>
              </w:rPr>
              <w:t>Fra virksomheden deltog:</w:t>
            </w:r>
          </w:p>
        </w:tc>
        <w:tc>
          <w:tcPr>
            <w:tcW w:w="6045" w:type="dxa"/>
          </w:tcPr>
          <w:p w14:paraId="18C3C417" w14:textId="50C19DF4" w:rsidR="00355536" w:rsidRDefault="00A254CA" w:rsidP="006D1197">
            <w:pPr>
              <w:pStyle w:val="Brd"/>
            </w:pPr>
            <w:r>
              <w:t xml:space="preserve">Henrik </w:t>
            </w:r>
            <w:proofErr w:type="spellStart"/>
            <w:r>
              <w:t>Svidt</w:t>
            </w:r>
            <w:proofErr w:type="spellEnd"/>
            <w:r>
              <w:t xml:space="preserve"> og Lars </w:t>
            </w:r>
            <w:proofErr w:type="spellStart"/>
            <w:r>
              <w:t>Svidt</w:t>
            </w:r>
            <w:proofErr w:type="spellEnd"/>
          </w:p>
        </w:tc>
      </w:tr>
      <w:tr w:rsidR="00E60C0E" w14:paraId="3127BDDE" w14:textId="77777777" w:rsidTr="00D76CC2">
        <w:tc>
          <w:tcPr>
            <w:tcW w:w="3217" w:type="dxa"/>
          </w:tcPr>
          <w:p w14:paraId="0A8F5674" w14:textId="77777777" w:rsidR="00355536" w:rsidRPr="00F35F76" w:rsidRDefault="00CD6837" w:rsidP="006D1197">
            <w:pPr>
              <w:pStyle w:val="Brd"/>
              <w:rPr>
                <w:b/>
              </w:rPr>
            </w:pPr>
            <w:r w:rsidRPr="00F35F76">
              <w:rPr>
                <w:b/>
              </w:rPr>
              <w:t>Fra Norddjurs Kommune deltog:</w:t>
            </w:r>
          </w:p>
        </w:tc>
        <w:tc>
          <w:tcPr>
            <w:tcW w:w="6045" w:type="dxa"/>
          </w:tcPr>
          <w:p w14:paraId="37F445D5" w14:textId="333E29E9" w:rsidR="00355536" w:rsidRDefault="00A254CA" w:rsidP="006D1197">
            <w:pPr>
              <w:pStyle w:val="Brd"/>
            </w:pPr>
            <w:r>
              <w:t>Thomas Juul Bundgaard</w:t>
            </w:r>
          </w:p>
        </w:tc>
      </w:tr>
      <w:tr w:rsidR="00E60C0E" w14:paraId="008A4143" w14:textId="77777777" w:rsidTr="00D76CC2">
        <w:tc>
          <w:tcPr>
            <w:tcW w:w="3217" w:type="dxa"/>
          </w:tcPr>
          <w:p w14:paraId="01D94F7F" w14:textId="77777777" w:rsidR="00355536" w:rsidRPr="00F35F76" w:rsidRDefault="00CD6837" w:rsidP="006D1197">
            <w:pPr>
              <w:pStyle w:val="Brd"/>
              <w:rPr>
                <w:b/>
              </w:rPr>
            </w:pPr>
            <w:r w:rsidRPr="00F35F76">
              <w:rPr>
                <w:b/>
              </w:rPr>
              <w:t>Virksomhedens CVR-nr.:</w:t>
            </w:r>
          </w:p>
        </w:tc>
        <w:tc>
          <w:tcPr>
            <w:tcW w:w="6045" w:type="dxa"/>
          </w:tcPr>
          <w:p w14:paraId="08CB7669" w14:textId="05BA8C35" w:rsidR="00355536" w:rsidRDefault="00A254CA" w:rsidP="006D1197">
            <w:pPr>
              <w:pStyle w:val="Brd"/>
            </w:pPr>
            <w:r w:rsidRPr="00A254CA">
              <w:t>12033877</w:t>
            </w:r>
          </w:p>
        </w:tc>
      </w:tr>
      <w:tr w:rsidR="00E60C0E" w14:paraId="17F7F170" w14:textId="77777777" w:rsidTr="00D76CC2">
        <w:tc>
          <w:tcPr>
            <w:tcW w:w="3217" w:type="dxa"/>
          </w:tcPr>
          <w:p w14:paraId="2EB9E99B" w14:textId="77777777" w:rsidR="00355536" w:rsidRPr="00F35F76" w:rsidRDefault="00CD6837" w:rsidP="006D1197">
            <w:pPr>
              <w:pStyle w:val="Brd"/>
              <w:rPr>
                <w:b/>
              </w:rPr>
            </w:pPr>
            <w:r>
              <w:rPr>
                <w:b/>
              </w:rPr>
              <w:t>Virksomhedstype:</w:t>
            </w:r>
          </w:p>
        </w:tc>
        <w:tc>
          <w:tcPr>
            <w:tcW w:w="6045" w:type="dxa"/>
          </w:tcPr>
          <w:p w14:paraId="2D43AAB0" w14:textId="6BFDD39E" w:rsidR="00355536" w:rsidRDefault="00A254CA" w:rsidP="006D1197">
            <w:pPr>
              <w:pStyle w:val="Brd"/>
            </w:pPr>
            <w:r w:rsidRPr="00A254CA">
              <w:t>H 51: Garageanlæg og pladser til kørende materiel, Redningsstationer mv.</w:t>
            </w:r>
          </w:p>
        </w:tc>
      </w:tr>
    </w:tbl>
    <w:p w14:paraId="1DF624D0" w14:textId="77777777" w:rsidR="00355536" w:rsidRDefault="00355536" w:rsidP="00355536">
      <w:pPr>
        <w:pStyle w:val="Brd"/>
      </w:pPr>
    </w:p>
    <w:p w14:paraId="06EF1236" w14:textId="77777777" w:rsidR="00355536" w:rsidRDefault="00355536" w:rsidP="00355536">
      <w:pPr>
        <w:pStyle w:val="Brd"/>
        <w:rPr>
          <w:b/>
        </w:rPr>
      </w:pPr>
    </w:p>
    <w:p w14:paraId="1C9A6282" w14:textId="77777777" w:rsidR="00355536" w:rsidRPr="00F35F76" w:rsidRDefault="00CD6837" w:rsidP="00355536">
      <w:pPr>
        <w:pStyle w:val="Brd"/>
        <w:rPr>
          <w:b/>
        </w:rPr>
      </w:pPr>
      <w:r w:rsidRPr="00F35F76">
        <w:rPr>
          <w:b/>
        </w:rPr>
        <w:t>Baggrunden for tilsynet</w:t>
      </w:r>
    </w:p>
    <w:p w14:paraId="69C1D43D" w14:textId="40011FB4" w:rsidR="00355536" w:rsidRDefault="00CD6837" w:rsidP="00355536">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14F1C626" w14:textId="77777777" w:rsidR="00A254CA" w:rsidRDefault="00A254CA" w:rsidP="00355536">
      <w:pPr>
        <w:pStyle w:val="Brd"/>
        <w:rPr>
          <w:color w:val="FF0000"/>
        </w:rPr>
      </w:pPr>
    </w:p>
    <w:p w14:paraId="08CFB95E" w14:textId="062A0440" w:rsidR="00355536" w:rsidRDefault="00CD6837" w:rsidP="00355536">
      <w:pPr>
        <w:pStyle w:val="Brd"/>
      </w:pPr>
      <w:r>
        <w:t>Formålet med miljøtilsyn generelt er at sikre, at virksomheden overholder miljøbeskyttelsesloven, lov om forurenet jord, regler udstedt i medfør af disse love og afgørelser truffet i medfør af disse. Tilsynet er foretaget i henhold til § 65 i miljøbeskyttelsesloven.</w:t>
      </w:r>
    </w:p>
    <w:p w14:paraId="3C8B247A" w14:textId="77777777" w:rsidR="00355536" w:rsidRDefault="00355536" w:rsidP="00355536">
      <w:pPr>
        <w:pStyle w:val="Brd"/>
      </w:pPr>
    </w:p>
    <w:p w14:paraId="4103333D" w14:textId="77777777" w:rsidR="00355536" w:rsidRPr="00F35F76" w:rsidRDefault="00CD6837" w:rsidP="00355536">
      <w:pPr>
        <w:pStyle w:val="Brd"/>
        <w:rPr>
          <w:b/>
        </w:rPr>
      </w:pPr>
      <w:r w:rsidRPr="00F35F76">
        <w:rPr>
          <w:b/>
        </w:rPr>
        <w:t>Generelt</w:t>
      </w:r>
    </w:p>
    <w:p w14:paraId="29333655" w14:textId="5F225DB5" w:rsidR="00355536" w:rsidRDefault="00A254CA" w:rsidP="00355536">
      <w:pPr>
        <w:pStyle w:val="Brd"/>
        <w:rPr>
          <w:color w:val="auto"/>
        </w:rPr>
      </w:pPr>
      <w:r w:rsidRPr="00A254CA">
        <w:rPr>
          <w:color w:val="auto"/>
        </w:rPr>
        <w:t xml:space="preserve">Virksomheden råder over matrikel 1lf og 1lg, Hessel </w:t>
      </w:r>
      <w:proofErr w:type="spellStart"/>
      <w:r w:rsidRPr="00A254CA">
        <w:rPr>
          <w:color w:val="auto"/>
        </w:rPr>
        <w:t>Hgd</w:t>
      </w:r>
      <w:proofErr w:type="spellEnd"/>
      <w:r w:rsidRPr="00A254CA">
        <w:rPr>
          <w:color w:val="auto"/>
        </w:rPr>
        <w:t>., Ålsø. Virksomheden har 3 lastbiler, som parkeres på adressen om natten. Der er ingen aktiviteter på stedet ellers. Der kan evt. skiftes dæk, pærer, vinduesvisker mm. Service og reparation sker hos Grenaa Lastvognsservice, Rugvænget 40.</w:t>
      </w:r>
    </w:p>
    <w:p w14:paraId="7FE7D8CD" w14:textId="77777777" w:rsidR="00A254CA" w:rsidRPr="00A254CA" w:rsidRDefault="00A254CA" w:rsidP="00355536">
      <w:pPr>
        <w:pStyle w:val="Brd"/>
        <w:rPr>
          <w:color w:val="auto"/>
        </w:rPr>
      </w:pPr>
    </w:p>
    <w:p w14:paraId="2CB81A7F" w14:textId="77777777" w:rsidR="00355536" w:rsidRPr="00AA160E" w:rsidRDefault="00CD6837" w:rsidP="00355536">
      <w:pPr>
        <w:pStyle w:val="Brd"/>
        <w:rPr>
          <w:b/>
        </w:rPr>
      </w:pPr>
      <w:r w:rsidRPr="00AA160E">
        <w:rPr>
          <w:b/>
        </w:rPr>
        <w:t xml:space="preserve">Opsummering af </w:t>
      </w:r>
      <w:r>
        <w:rPr>
          <w:b/>
        </w:rPr>
        <w:t>miljø</w:t>
      </w:r>
      <w:r w:rsidRPr="00AA160E">
        <w:rPr>
          <w:b/>
        </w:rPr>
        <w:t>tilsynet</w:t>
      </w:r>
    </w:p>
    <w:p w14:paraId="1A65039D" w14:textId="3F0983BC" w:rsidR="00AA160E" w:rsidRPr="00A254CA" w:rsidRDefault="00A254CA" w:rsidP="00355536">
      <w:pPr>
        <w:pStyle w:val="Brd"/>
        <w:rPr>
          <w:color w:val="auto"/>
        </w:rPr>
      </w:pPr>
      <w:r w:rsidRPr="00A254CA">
        <w:rPr>
          <w:color w:val="auto"/>
        </w:rPr>
        <w:t>Norddjurs Kommune vurderer at virksomheden drives miljømæssigt forsvarligt.</w:t>
      </w:r>
    </w:p>
    <w:p w14:paraId="30485C3A" w14:textId="77777777" w:rsidR="00AA160E" w:rsidRDefault="00AA160E" w:rsidP="00355536">
      <w:pPr>
        <w:pStyle w:val="Brd"/>
      </w:pPr>
    </w:p>
    <w:p w14:paraId="1BDC6A19" w14:textId="37FDA77D" w:rsidR="00355536" w:rsidRPr="00A254CA" w:rsidRDefault="00CD6837" w:rsidP="00355536">
      <w:pPr>
        <w:pStyle w:val="Brd"/>
        <w:rPr>
          <w:b/>
        </w:rPr>
      </w:pPr>
      <w:r w:rsidRPr="006010D0">
        <w:rPr>
          <w:b/>
        </w:rPr>
        <w:t>Affald</w:t>
      </w:r>
    </w:p>
    <w:p w14:paraId="71DEF827" w14:textId="77777777" w:rsidR="00355536" w:rsidRDefault="00CD6837" w:rsidP="00355536">
      <w:pPr>
        <w:pStyle w:val="Brd"/>
      </w:pPr>
      <w:r>
        <w:t xml:space="preserve">Norddjurs Kommune har ved tilsynet orienteret om det nationale </w:t>
      </w:r>
      <w:r>
        <w:t>affaldsdatasystem, ADS (hvor data for virksomheden skal kunne fremsøges) og affaldsregistret (nationalt register over godkendte transportører, indsamlere og behandlere).</w:t>
      </w:r>
    </w:p>
    <w:p w14:paraId="11E2DD6B" w14:textId="77777777" w:rsidR="00355536" w:rsidRDefault="00CD6837" w:rsidP="00355536">
      <w:pPr>
        <w:pStyle w:val="Brd"/>
      </w:pPr>
      <w:r>
        <w:lastRenderedPageBreak/>
        <w:t>Virksomheder, der får afhentet genanvendeligt affald, skal sikre, at de anvender en transportør / indsamler, der er registreret i det nationale affaldsregister.</w:t>
      </w:r>
    </w:p>
    <w:p w14:paraId="4754FF0E" w14:textId="77777777" w:rsidR="00355536" w:rsidRDefault="00CD6837" w:rsidP="00355536">
      <w:pPr>
        <w:pStyle w:val="Brd"/>
      </w:pPr>
      <w:r>
        <w:t>Virksomheder og anlæg, der indsamler eller modtager affald til materialenyttiggørelse, skal indberette i affaldsdatasystemet.</w:t>
      </w:r>
    </w:p>
    <w:p w14:paraId="22C983DF" w14:textId="77777777" w:rsidR="00355536" w:rsidRDefault="00CD6837" w:rsidP="00355536">
      <w:pPr>
        <w:pStyle w:val="Brd"/>
      </w:pPr>
      <w:r>
        <w:t xml:space="preserve">Begge dele kan tilgås fra Miljøstyrelsens hjemmeside, </w:t>
      </w:r>
      <w:hyperlink r:id="rId13" w:history="1">
        <w:r w:rsidR="00355536" w:rsidRPr="006010D0">
          <w:rPr>
            <w:rStyle w:val="Hyperlink"/>
          </w:rPr>
          <w:t>www.mst.dk</w:t>
        </w:r>
      </w:hyperlink>
      <w:r>
        <w:t>. For at se data i ADS, skal der bruges en digital signatur.</w:t>
      </w:r>
    </w:p>
    <w:p w14:paraId="27D4B5F0" w14:textId="77777777" w:rsidR="00355536" w:rsidRDefault="00355536" w:rsidP="00355536">
      <w:pPr>
        <w:pStyle w:val="Brd"/>
      </w:pPr>
    </w:p>
    <w:p w14:paraId="26548D4F" w14:textId="190F340A" w:rsidR="00355536" w:rsidRPr="00355536" w:rsidRDefault="00CD6837" w:rsidP="00355536">
      <w:pPr>
        <w:pStyle w:val="Brd"/>
        <w:rPr>
          <w:color w:val="FF0000"/>
        </w:rPr>
      </w:pPr>
      <w:r>
        <w:t xml:space="preserve">Der er forud for tilsynet søgt data i ADS. Heraf fremgår, hvilke affaldsfraktioner der er bortskaffet. </w:t>
      </w:r>
    </w:p>
    <w:p w14:paraId="14BDD05E" w14:textId="77777777" w:rsidR="00355536" w:rsidRDefault="00355536" w:rsidP="00355536">
      <w:pPr>
        <w:pStyle w:val="Brd"/>
      </w:pPr>
    </w:p>
    <w:p w14:paraId="07E6D0F7" w14:textId="2558B7D6" w:rsidR="00355536" w:rsidRDefault="00CD6837" w:rsidP="00355536">
      <w:pPr>
        <w:pStyle w:val="Brd"/>
      </w:pPr>
      <w:r>
        <w:t>Virksomheden har følgende væsentlige affaldsfraktioner:</w:t>
      </w:r>
    </w:p>
    <w:tbl>
      <w:tblPr>
        <w:tblStyle w:val="Tabel-Gitter"/>
        <w:tblW w:w="0" w:type="auto"/>
        <w:tblLook w:val="04A0" w:firstRow="1" w:lastRow="0" w:firstColumn="1" w:lastColumn="0" w:noHBand="0" w:noVBand="1"/>
      </w:tblPr>
      <w:tblGrid>
        <w:gridCol w:w="2288"/>
        <w:gridCol w:w="2385"/>
        <w:gridCol w:w="2835"/>
        <w:gridCol w:w="1660"/>
      </w:tblGrid>
      <w:tr w:rsidR="00E60C0E" w14:paraId="0302F591" w14:textId="77777777" w:rsidTr="00A254CA">
        <w:tc>
          <w:tcPr>
            <w:tcW w:w="2288" w:type="dxa"/>
          </w:tcPr>
          <w:p w14:paraId="3CEB572B" w14:textId="77777777" w:rsidR="00355536" w:rsidRPr="00AC2E61" w:rsidRDefault="00CD6837" w:rsidP="006D1197">
            <w:pPr>
              <w:pStyle w:val="Brd"/>
              <w:rPr>
                <w:b/>
              </w:rPr>
            </w:pPr>
            <w:r w:rsidRPr="00AC2E61">
              <w:rPr>
                <w:b/>
              </w:rPr>
              <w:t>Type</w:t>
            </w:r>
          </w:p>
        </w:tc>
        <w:tc>
          <w:tcPr>
            <w:tcW w:w="2385" w:type="dxa"/>
          </w:tcPr>
          <w:p w14:paraId="2B7BD262" w14:textId="77777777" w:rsidR="00355536" w:rsidRPr="00AC2E61" w:rsidRDefault="00CD6837" w:rsidP="006D1197">
            <w:pPr>
              <w:pStyle w:val="Brd"/>
              <w:rPr>
                <w:b/>
              </w:rPr>
            </w:pPr>
            <w:r w:rsidRPr="00AC2E61">
              <w:rPr>
                <w:b/>
              </w:rPr>
              <w:t>Transportør/indsamler</w:t>
            </w:r>
          </w:p>
        </w:tc>
        <w:tc>
          <w:tcPr>
            <w:tcW w:w="2835" w:type="dxa"/>
          </w:tcPr>
          <w:p w14:paraId="4842B133" w14:textId="77777777" w:rsidR="00355536" w:rsidRPr="00AC2E61" w:rsidRDefault="00CD6837" w:rsidP="006D1197">
            <w:pPr>
              <w:pStyle w:val="Brd"/>
              <w:rPr>
                <w:b/>
              </w:rPr>
            </w:pPr>
            <w:r w:rsidRPr="00AC2E61">
              <w:rPr>
                <w:b/>
              </w:rPr>
              <w:t>Modtager/behandling</w:t>
            </w:r>
          </w:p>
        </w:tc>
        <w:tc>
          <w:tcPr>
            <w:tcW w:w="1660" w:type="dxa"/>
          </w:tcPr>
          <w:p w14:paraId="4194C2D3" w14:textId="77777777" w:rsidR="00355536" w:rsidRPr="00AC2E61" w:rsidRDefault="00CD6837" w:rsidP="006D1197">
            <w:pPr>
              <w:pStyle w:val="Brd"/>
              <w:rPr>
                <w:b/>
              </w:rPr>
            </w:pPr>
            <w:r w:rsidRPr="00AC2E61">
              <w:rPr>
                <w:b/>
              </w:rPr>
              <w:t>Dokumentation</w:t>
            </w:r>
          </w:p>
        </w:tc>
      </w:tr>
      <w:tr w:rsidR="00E60C0E" w14:paraId="77A0AF53" w14:textId="77777777" w:rsidTr="00A254CA">
        <w:tc>
          <w:tcPr>
            <w:tcW w:w="2288" w:type="dxa"/>
          </w:tcPr>
          <w:p w14:paraId="23937825" w14:textId="4B8E6C07" w:rsidR="00355536" w:rsidRDefault="00A254CA" w:rsidP="006D1197">
            <w:pPr>
              <w:pStyle w:val="Brd"/>
            </w:pPr>
            <w:r>
              <w:t>Jern og Metal</w:t>
            </w:r>
          </w:p>
        </w:tc>
        <w:tc>
          <w:tcPr>
            <w:tcW w:w="2385" w:type="dxa"/>
          </w:tcPr>
          <w:p w14:paraId="6B74ED52" w14:textId="77777777" w:rsidR="00355536" w:rsidRDefault="00355536" w:rsidP="006D1197">
            <w:pPr>
              <w:pStyle w:val="Brd"/>
            </w:pPr>
          </w:p>
        </w:tc>
        <w:tc>
          <w:tcPr>
            <w:tcW w:w="2835" w:type="dxa"/>
          </w:tcPr>
          <w:p w14:paraId="7FC15760" w14:textId="60542AF1" w:rsidR="00355536" w:rsidRDefault="00A254CA" w:rsidP="006D1197">
            <w:pPr>
              <w:pStyle w:val="Brd"/>
            </w:pPr>
            <w:r>
              <w:t>Grenaa Produktforretning</w:t>
            </w:r>
          </w:p>
        </w:tc>
        <w:tc>
          <w:tcPr>
            <w:tcW w:w="1660" w:type="dxa"/>
          </w:tcPr>
          <w:p w14:paraId="3741EFFE" w14:textId="77777777" w:rsidR="00355536" w:rsidRDefault="00355536" w:rsidP="006D1197">
            <w:pPr>
              <w:pStyle w:val="Brd"/>
            </w:pPr>
          </w:p>
        </w:tc>
      </w:tr>
    </w:tbl>
    <w:p w14:paraId="408EA61E" w14:textId="77777777" w:rsidR="00355536" w:rsidRDefault="00355536" w:rsidP="00355536">
      <w:pPr>
        <w:pStyle w:val="Brd"/>
      </w:pPr>
    </w:p>
    <w:p w14:paraId="2D8012A9" w14:textId="48BF8F17" w:rsidR="00A254CA" w:rsidRDefault="00A254CA" w:rsidP="00355536">
      <w:pPr>
        <w:pStyle w:val="Brd"/>
      </w:pPr>
      <w:r>
        <w:t>Jern og metal bliver opbevaret udenfor direkte på jord uden overdækning. Jern og metal er ikke forurenet. Der henstilles at virksomheden placerer Jern og metal affald i egnede beholdere indtil det bliver afleveret/afhentet.</w:t>
      </w:r>
    </w:p>
    <w:p w14:paraId="3B879667" w14:textId="77777777" w:rsidR="00355536" w:rsidRDefault="00355536" w:rsidP="00355536">
      <w:pPr>
        <w:pStyle w:val="Brd"/>
      </w:pPr>
    </w:p>
    <w:p w14:paraId="5BA1CE86" w14:textId="77777777" w:rsidR="00355536" w:rsidRPr="00AC2E61" w:rsidRDefault="00CD6837" w:rsidP="00355536">
      <w:pPr>
        <w:pStyle w:val="Brd"/>
        <w:rPr>
          <w:b/>
        </w:rPr>
      </w:pPr>
      <w:r w:rsidRPr="00AC2E61">
        <w:rPr>
          <w:b/>
        </w:rPr>
        <w:t>Råvarer</w:t>
      </w:r>
    </w:p>
    <w:p w14:paraId="697CD41A" w14:textId="2B950F35" w:rsidR="00355536" w:rsidRDefault="00A254CA" w:rsidP="00355536">
      <w:pPr>
        <w:pStyle w:val="Brd"/>
      </w:pPr>
      <w:r w:rsidRPr="00A254CA">
        <w:t xml:space="preserve">er opbevares nogle </w:t>
      </w:r>
      <w:proofErr w:type="gramStart"/>
      <w:r w:rsidRPr="00A254CA">
        <w:t>smøreolie</w:t>
      </w:r>
      <w:proofErr w:type="gramEnd"/>
      <w:r w:rsidRPr="00A254CA">
        <w:t xml:space="preserve"> på en spildbakke i </w:t>
      </w:r>
      <w:proofErr w:type="spellStart"/>
      <w:r w:rsidRPr="00A254CA">
        <w:t>gara</w:t>
      </w:r>
      <w:proofErr w:type="spellEnd"/>
      <w:r w:rsidRPr="00A254CA">
        <w:t>gen. Opbevaringen lever op til Norddjurs Kommunes fore</w:t>
      </w:r>
      <w:r w:rsidRPr="00A254CA">
        <w:t>skift om opbevaring af olier og kemikalier.</w:t>
      </w:r>
    </w:p>
    <w:p w14:paraId="74E1D916" w14:textId="77777777" w:rsidR="00355536" w:rsidRDefault="00355536" w:rsidP="00355536">
      <w:pPr>
        <w:pStyle w:val="Brd"/>
      </w:pPr>
    </w:p>
    <w:p w14:paraId="1752138F" w14:textId="77777777" w:rsidR="00355536" w:rsidRPr="00AC2E61" w:rsidRDefault="00CD6837" w:rsidP="00355536">
      <w:pPr>
        <w:pStyle w:val="Brd"/>
        <w:rPr>
          <w:b/>
        </w:rPr>
      </w:pPr>
      <w:r w:rsidRPr="00AC2E61">
        <w:rPr>
          <w:b/>
        </w:rPr>
        <w:t>Støj</w:t>
      </w:r>
    </w:p>
    <w:p w14:paraId="42C52473" w14:textId="7CF2F6EA" w:rsidR="00355536" w:rsidRDefault="00A254CA" w:rsidP="00355536">
      <w:pPr>
        <w:pStyle w:val="Brd"/>
      </w:pPr>
      <w:r w:rsidRPr="00A254CA">
        <w:t>Virksomheden er beliggende i erhvervsområde. Der er støj fra til- og frakørsel. Der foreligger ingen klager over støj.</w:t>
      </w:r>
    </w:p>
    <w:p w14:paraId="20141EE7" w14:textId="77777777" w:rsidR="00355536" w:rsidRDefault="00355536" w:rsidP="00355536">
      <w:pPr>
        <w:pStyle w:val="Brd"/>
      </w:pPr>
    </w:p>
    <w:p w14:paraId="3EF25690" w14:textId="77777777" w:rsidR="00355536" w:rsidRPr="00AC2E61" w:rsidRDefault="00CD6837" w:rsidP="00355536">
      <w:pPr>
        <w:pStyle w:val="Brd"/>
        <w:rPr>
          <w:b/>
        </w:rPr>
      </w:pPr>
      <w:r w:rsidRPr="00AC2E61">
        <w:rPr>
          <w:b/>
        </w:rPr>
        <w:t>Luft</w:t>
      </w:r>
    </w:p>
    <w:p w14:paraId="71EFB990" w14:textId="0462A16D" w:rsidR="00355536" w:rsidRDefault="00A254CA" w:rsidP="00355536">
      <w:pPr>
        <w:pStyle w:val="Brd"/>
      </w:pPr>
      <w:r>
        <w:t>Ikke relevant.</w:t>
      </w:r>
    </w:p>
    <w:p w14:paraId="14AEAEB2" w14:textId="77777777" w:rsidR="00355536" w:rsidRDefault="00355536" w:rsidP="00355536">
      <w:pPr>
        <w:pStyle w:val="Brd"/>
      </w:pPr>
    </w:p>
    <w:p w14:paraId="0C708D01" w14:textId="77777777" w:rsidR="00355536" w:rsidRPr="00AC2E61" w:rsidRDefault="00CD6837" w:rsidP="00355536">
      <w:pPr>
        <w:pStyle w:val="Brd"/>
        <w:rPr>
          <w:b/>
        </w:rPr>
      </w:pPr>
      <w:r w:rsidRPr="00AC2E61">
        <w:rPr>
          <w:b/>
        </w:rPr>
        <w:t>Spildevand</w:t>
      </w:r>
    </w:p>
    <w:p w14:paraId="54DE0487" w14:textId="5ED5D73D" w:rsidR="00355536" w:rsidRDefault="00A254CA" w:rsidP="00355536">
      <w:pPr>
        <w:pStyle w:val="Brd"/>
      </w:pPr>
      <w:r w:rsidRPr="00A254CA">
        <w:t>Der afledes ikke spildevand fra bygningerne. Dog er der installeret en vandslange, så chauffører kan vaske sidespejle og forrude med blød børste. Dette vurderes at være uden miljømæssig betydning. Vask af lastbilerne sker hos Grenaa Lastvognsservice på Rugvænget 40</w:t>
      </w:r>
    </w:p>
    <w:p w14:paraId="64608C7A" w14:textId="77777777" w:rsidR="00355536" w:rsidRDefault="00355536" w:rsidP="00355536">
      <w:pPr>
        <w:pStyle w:val="Brd"/>
      </w:pPr>
    </w:p>
    <w:p w14:paraId="66FA1190" w14:textId="77777777" w:rsidR="00355536" w:rsidRPr="00AC2E61" w:rsidRDefault="00CD6837" w:rsidP="00355536">
      <w:pPr>
        <w:pStyle w:val="Brd"/>
        <w:rPr>
          <w:b/>
        </w:rPr>
      </w:pPr>
      <w:r w:rsidRPr="00AC2E61">
        <w:rPr>
          <w:b/>
        </w:rPr>
        <w:t>Fyringsanlæg og olietanke</w:t>
      </w:r>
    </w:p>
    <w:p w14:paraId="2280BB13" w14:textId="0D49AF46" w:rsidR="00355536" w:rsidRDefault="00A254CA" w:rsidP="00355536">
      <w:pPr>
        <w:pStyle w:val="Brd"/>
      </w:pPr>
      <w:r>
        <w:t>D</w:t>
      </w:r>
      <w:r w:rsidRPr="00A254CA">
        <w:t>er er ingen fyringsanlæg eller olietanke på virksomheden.</w:t>
      </w:r>
    </w:p>
    <w:p w14:paraId="3F9581BF" w14:textId="77777777" w:rsidR="00355536" w:rsidRDefault="00355536" w:rsidP="00355536">
      <w:pPr>
        <w:pStyle w:val="Brd"/>
      </w:pPr>
    </w:p>
    <w:p w14:paraId="659F5EEA" w14:textId="77777777" w:rsidR="00355536" w:rsidRPr="00AC2E61" w:rsidRDefault="00CD6837" w:rsidP="00355536">
      <w:pPr>
        <w:pStyle w:val="Brd"/>
        <w:rPr>
          <w:b/>
        </w:rPr>
      </w:pPr>
      <w:r w:rsidRPr="00AC2E61">
        <w:rPr>
          <w:b/>
        </w:rPr>
        <w:t>Jordforurening</w:t>
      </w:r>
    </w:p>
    <w:p w14:paraId="31C60DBB" w14:textId="3D337753" w:rsidR="00355536" w:rsidRPr="00A254CA" w:rsidRDefault="00A254CA" w:rsidP="00355536">
      <w:pPr>
        <w:pStyle w:val="Brd"/>
        <w:rPr>
          <w:color w:val="auto"/>
        </w:rPr>
      </w:pPr>
      <w:r w:rsidRPr="00A254CA">
        <w:rPr>
          <w:color w:val="auto"/>
        </w:rPr>
        <w:t>Der er ikke registreret jordforurening på stedet i JAR (jordforureningslovens arealregister). Der blev ved tilsynet ikke visuelt set noget, der kunne være tegn på en jordforurening.</w:t>
      </w:r>
    </w:p>
    <w:p w14:paraId="16099242" w14:textId="77777777" w:rsidR="00355536" w:rsidRDefault="00355536" w:rsidP="00355536">
      <w:pPr>
        <w:pStyle w:val="Brd"/>
      </w:pPr>
    </w:p>
    <w:p w14:paraId="083CA0DB" w14:textId="77777777" w:rsidR="00355536" w:rsidRPr="00C016C5" w:rsidRDefault="00CD6837" w:rsidP="00355536">
      <w:pPr>
        <w:pStyle w:val="Brd"/>
        <w:rPr>
          <w:b/>
        </w:rPr>
      </w:pPr>
      <w:r w:rsidRPr="00C016C5">
        <w:rPr>
          <w:b/>
        </w:rPr>
        <w:t>Egenkontrol</w:t>
      </w:r>
    </w:p>
    <w:p w14:paraId="45B8813E" w14:textId="66107985" w:rsidR="00355536" w:rsidRPr="00A254CA" w:rsidRDefault="00CD6837" w:rsidP="00355536">
      <w:pPr>
        <w:pStyle w:val="Brd"/>
        <w:rPr>
          <w:color w:val="auto"/>
        </w:rPr>
      </w:pPr>
      <w:r w:rsidRPr="00A254CA">
        <w:rPr>
          <w:color w:val="auto"/>
        </w:rPr>
        <w:t>Virksomhe</w:t>
      </w:r>
      <w:r w:rsidR="008D4B69" w:rsidRPr="00A254CA">
        <w:rPr>
          <w:color w:val="auto"/>
        </w:rPr>
        <w:t>den har ingen egenkontrolvilkår</w:t>
      </w:r>
      <w:r w:rsidR="00A254CA" w:rsidRPr="00A254CA">
        <w:rPr>
          <w:color w:val="auto"/>
        </w:rPr>
        <w:t>.</w:t>
      </w:r>
    </w:p>
    <w:p w14:paraId="52430F73" w14:textId="77777777" w:rsidR="00355536" w:rsidRDefault="00355536" w:rsidP="00355536">
      <w:pPr>
        <w:pStyle w:val="Brd"/>
      </w:pPr>
    </w:p>
    <w:p w14:paraId="71B48624" w14:textId="77777777" w:rsidR="00355536" w:rsidRPr="00AC2E61" w:rsidRDefault="00CD6837" w:rsidP="00355536">
      <w:pPr>
        <w:pStyle w:val="Brd"/>
        <w:rPr>
          <w:b/>
        </w:rPr>
      </w:pPr>
      <w:r w:rsidRPr="00AC2E61">
        <w:rPr>
          <w:b/>
        </w:rPr>
        <w:t>Opfølgning på tidligere meddelte henstillinger, påbud eller indskærpelser</w:t>
      </w:r>
    </w:p>
    <w:p w14:paraId="358B0B57" w14:textId="7EAF38AF" w:rsidR="00355536" w:rsidRDefault="00A254CA" w:rsidP="00355536">
      <w:pPr>
        <w:pStyle w:val="Brd"/>
      </w:pPr>
      <w:r>
        <w:t>Der var ingen henstillinger, påbud eller indskærpelser ved seneste tilsyn</w:t>
      </w:r>
    </w:p>
    <w:p w14:paraId="323ED09D" w14:textId="77777777" w:rsidR="00355536" w:rsidRDefault="00355536" w:rsidP="00355536">
      <w:pPr>
        <w:pStyle w:val="Brd"/>
      </w:pPr>
    </w:p>
    <w:p w14:paraId="5D542791" w14:textId="77777777" w:rsidR="00E20E52" w:rsidRDefault="00E20E52" w:rsidP="00355536">
      <w:pPr>
        <w:pStyle w:val="Brd"/>
      </w:pPr>
    </w:p>
    <w:p w14:paraId="007ED1F4" w14:textId="77777777" w:rsidR="00E20E52" w:rsidRPr="00E20E52" w:rsidRDefault="00CD6837" w:rsidP="00E20E52">
      <w:pPr>
        <w:pStyle w:val="Brd"/>
        <w:rPr>
          <w:b/>
          <w:color w:val="auto"/>
        </w:rPr>
      </w:pPr>
      <w:r w:rsidRPr="00E20E52">
        <w:rPr>
          <w:b/>
          <w:color w:val="auto"/>
        </w:rPr>
        <w:t>Håndhævelser</w:t>
      </w:r>
    </w:p>
    <w:p w14:paraId="1C491CD0" w14:textId="231E8CE9" w:rsidR="00E20E52" w:rsidRPr="00A254CA" w:rsidRDefault="00CD6837" w:rsidP="00E20E52">
      <w:pPr>
        <w:pStyle w:val="Brd"/>
        <w:rPr>
          <w:color w:val="auto"/>
        </w:rPr>
      </w:pPr>
      <w:r w:rsidRPr="00A254CA">
        <w:rPr>
          <w:color w:val="auto"/>
        </w:rPr>
        <w:t>Nord</w:t>
      </w:r>
      <w:r w:rsidRPr="00A254CA">
        <w:rPr>
          <w:color w:val="auto"/>
        </w:rPr>
        <w:t xml:space="preserve">djurs Kommune har som tilsynsmyndighed pligt til at foranledige et ulovligt forhold til ophør jævnfør miljøbeskyttelseslovens § 69, stk. 1. </w:t>
      </w:r>
    </w:p>
    <w:p w14:paraId="3BE3209F" w14:textId="77777777" w:rsidR="00E20E52" w:rsidRPr="00A254CA" w:rsidRDefault="00E20E52" w:rsidP="00E20E52">
      <w:pPr>
        <w:pStyle w:val="Brd"/>
        <w:rPr>
          <w:color w:val="auto"/>
        </w:rPr>
      </w:pPr>
    </w:p>
    <w:p w14:paraId="13673690" w14:textId="77777777" w:rsidR="00E20E52" w:rsidRPr="00A254CA" w:rsidRDefault="00CD6837" w:rsidP="00E20E52">
      <w:pPr>
        <w:pStyle w:val="Brd"/>
        <w:rPr>
          <w:color w:val="auto"/>
          <w:u w:val="single"/>
        </w:rPr>
      </w:pPr>
      <w:r w:rsidRPr="00A254CA">
        <w:rPr>
          <w:color w:val="auto"/>
          <w:u w:val="single"/>
        </w:rPr>
        <w:t>Henstillinger</w:t>
      </w:r>
    </w:p>
    <w:p w14:paraId="79A4F658" w14:textId="77777777" w:rsidR="00E20E52" w:rsidRPr="00A254CA" w:rsidRDefault="00CD6837" w:rsidP="00E20E52">
      <w:pPr>
        <w:pStyle w:val="Brd"/>
        <w:rPr>
          <w:color w:val="auto"/>
        </w:rPr>
      </w:pPr>
      <w:r w:rsidRPr="00A254CA">
        <w:rPr>
          <w:color w:val="auto"/>
        </w:rPr>
        <w:t xml:space="preserve">Henstillinger gives, hvor der er utilfredsstillende miljøforhold af mindre alvorlig karakter. En henstilling kan kun påtales én gang. Norddjurs Kommune vil ved </w:t>
      </w:r>
      <w:r w:rsidRPr="00A254CA">
        <w:rPr>
          <w:color w:val="auto"/>
        </w:rPr>
        <w:t>fornyet tilsyn kontrollere, at henstillingen er efterkommet. Hvis henstillingen ikke efterkommes, kan tilsynsmyndigheden umiddelbart som næste skridt meddele påbud om de aftalte forhold.</w:t>
      </w:r>
    </w:p>
    <w:p w14:paraId="488B8B79" w14:textId="77777777" w:rsidR="00E20E52" w:rsidRDefault="00E20E52" w:rsidP="00E20E52">
      <w:pPr>
        <w:pStyle w:val="Brd"/>
        <w:rPr>
          <w:color w:val="FF0000"/>
        </w:rPr>
      </w:pPr>
    </w:p>
    <w:p w14:paraId="10A51B8B" w14:textId="77777777" w:rsidR="00355536" w:rsidRDefault="00355536" w:rsidP="00355536">
      <w:pPr>
        <w:pStyle w:val="Brd"/>
      </w:pPr>
    </w:p>
    <w:p w14:paraId="291E527A" w14:textId="77777777" w:rsidR="00E20E52" w:rsidRDefault="00E20E52" w:rsidP="00355536">
      <w:pPr>
        <w:pStyle w:val="Brd"/>
      </w:pPr>
    </w:p>
    <w:p w14:paraId="0B4EE7E4" w14:textId="77777777" w:rsidR="00355536" w:rsidRPr="00D913EA" w:rsidRDefault="00CD6837" w:rsidP="00355536">
      <w:pPr>
        <w:pStyle w:val="Brd"/>
        <w:rPr>
          <w:b/>
        </w:rPr>
      </w:pPr>
      <w:r>
        <w:rPr>
          <w:b/>
        </w:rPr>
        <w:t>Brugerbetaling</w:t>
      </w:r>
    </w:p>
    <w:p w14:paraId="6D22D9EF" w14:textId="7587DF46" w:rsidR="00355536" w:rsidRDefault="00CD6837"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p>
    <w:p w14:paraId="6D0FAA4C" w14:textId="330C457B" w:rsidR="00355536" w:rsidRDefault="00CD6837" w:rsidP="00355536">
      <w:pPr>
        <w:pStyle w:val="Brd"/>
      </w:pPr>
      <w:r>
        <w:t>I forbindelse med miljøtilsynet, herunder forberedelse, tilsyn, afrapportering, opfølgning på eventuelle håndhævelser med videre, vil virksomheden blive opkrævet brugerbetaling for tidsforbruget. Brugerb</w:t>
      </w:r>
      <w:r w:rsidR="00AD6269">
        <w:t xml:space="preserve">etalingen udgør for </w:t>
      </w:r>
      <w:r w:rsidR="008E545A">
        <w:t>202</w:t>
      </w:r>
      <w:r w:rsidR="009A2510">
        <w:t>4 p.t. 468,96 kr.</w:t>
      </w:r>
      <w:r>
        <w:t xml:space="preserve"> pr. time. Brugerbetalingen vil blive opkrævet på et senere tidspunkt.</w:t>
      </w:r>
    </w:p>
    <w:p w14:paraId="0D0504D9" w14:textId="77777777" w:rsidR="00355536" w:rsidRDefault="00355536" w:rsidP="00355536">
      <w:pPr>
        <w:pStyle w:val="Brd"/>
      </w:pPr>
    </w:p>
    <w:p w14:paraId="1497A737" w14:textId="77777777" w:rsidR="004F5735" w:rsidRDefault="004F5735" w:rsidP="00355536">
      <w:pPr>
        <w:pStyle w:val="Brd"/>
      </w:pPr>
    </w:p>
    <w:p w14:paraId="18F6AD2B" w14:textId="582877D5" w:rsidR="00355536" w:rsidRDefault="00CD6837" w:rsidP="00DB5E36">
      <w:pPr>
        <w:pStyle w:val="Brd"/>
      </w:pPr>
      <w:r w:rsidRPr="0051416D">
        <w:rPr>
          <w:b/>
        </w:rPr>
        <w:t>Offentliggørelse af tilsynsrapport</w:t>
      </w:r>
      <w:r w:rsidRPr="0051416D">
        <w:rPr>
          <w:b/>
        </w:rPr>
        <w:tab/>
      </w:r>
      <w:r w:rsidRPr="0051416D">
        <w:rPr>
          <w:b/>
        </w:rPr>
        <w:br/>
      </w:r>
      <w:r w:rsidR="0005009C">
        <w:t>Alle tilsynsrapporter skal i henhold til reglerne for</w:t>
      </w:r>
      <w:r>
        <w:t xml:space="preserve"> miljøtilsyn</w:t>
      </w:r>
      <w:r>
        <w:rPr>
          <w:rStyle w:val="Fodnotehenvisning"/>
        </w:rPr>
        <w:footnoteReference w:id="1"/>
      </w:r>
      <w:r w:rsidR="0005009C">
        <w:t xml:space="preserve"> offentliggøres. Dette sker på websiden for Digital </w:t>
      </w:r>
      <w:proofErr w:type="spellStart"/>
      <w:r w:rsidR="0005009C">
        <w:t>MiljøAdministration</w:t>
      </w:r>
      <w:proofErr w:type="spellEnd"/>
      <w:r w:rsidR="0005009C">
        <w:t xml:space="preserve"> </w:t>
      </w:r>
      <w:hyperlink r:id="rId14" w:history="1">
        <w:r w:rsidR="0005009C" w:rsidRPr="0005009C">
          <w:rPr>
            <w:rStyle w:val="Hyperlink"/>
          </w:rPr>
          <w:t>https://dma.mst.dk/</w:t>
        </w:r>
      </w:hyperlink>
      <w:r>
        <w:t>. Inden tilsynsrapporten offentliggøres, skal du have mulighed for at kommentere rapporten. Kommentarerne skal indsendes skriftligt til Norddjurs Kommune enten til adressen Norddjurs Kommune, Virksomhedsgruppen, Torvet 3, 8500 Grenaa eller på mail ti</w:t>
      </w:r>
      <w:r w:rsidR="00A254CA">
        <w:t>l THJB@norddjurs.dk</w:t>
      </w:r>
      <w:r>
        <w:t>. Kommentarerne til rapporten skal være modtaget i Norddjurs Kommune inden den</w:t>
      </w:r>
      <w:r w:rsidR="00A254CA">
        <w:t xml:space="preserve"> 5. december 2024</w:t>
      </w:r>
      <w:r w:rsidRPr="00D446B0">
        <w:rPr>
          <w:color w:val="FF0000"/>
        </w:rPr>
        <w:t xml:space="preserve"> </w:t>
      </w:r>
      <w:r>
        <w:t>inden for rådhusets åbningstid. Hvis vi ikke modtager nogle kommentarer fra dig inden denne dato, vil Norddjurs Kommune umiddelbart herefter offentliggøre rapporten uden ændringer.</w:t>
      </w:r>
    </w:p>
    <w:p w14:paraId="4A5E0956" w14:textId="77777777" w:rsidR="00355536" w:rsidRDefault="00355536" w:rsidP="00DB5E36">
      <w:pPr>
        <w:pStyle w:val="Brd"/>
      </w:pPr>
    </w:p>
    <w:p w14:paraId="1499035C" w14:textId="77777777" w:rsidR="00355536" w:rsidRDefault="00CD6837" w:rsidP="00DB5E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CD6837"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183E382D" w:rsidR="00355536" w:rsidRDefault="00B307D6" w:rsidP="00DB5E36">
      <w:pPr>
        <w:spacing w:line="280" w:lineRule="exact"/>
        <w:rPr>
          <w:rFonts w:ascii="Trebuchet MS" w:hAnsi="Trebuchet MS"/>
          <w:sz w:val="20"/>
          <w:szCs w:val="20"/>
        </w:rPr>
      </w:pPr>
      <w:r>
        <w:rPr>
          <w:rFonts w:ascii="Trebuchet MS" w:hAnsi="Trebuchet MS"/>
          <w:sz w:val="20"/>
          <w:szCs w:val="20"/>
        </w:rPr>
        <w:t>Thomas Juul Bundgaard</w:t>
      </w:r>
    </w:p>
    <w:p w14:paraId="435BC038" w14:textId="3B823205" w:rsidR="00CC11D4" w:rsidRPr="00670FCC" w:rsidRDefault="00CD6837"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AB672" w14:textId="77777777" w:rsidR="00CD6837" w:rsidRDefault="00CD6837">
      <w:r>
        <w:separator/>
      </w:r>
    </w:p>
  </w:endnote>
  <w:endnote w:type="continuationSeparator" w:id="0">
    <w:p w14:paraId="55C46F19" w14:textId="77777777" w:rsidR="00CD6837" w:rsidRDefault="00CD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BFDA" w14:textId="77777777" w:rsidR="00604521" w:rsidRDefault="00CD6837"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C44" w14:textId="77777777" w:rsidR="00604521" w:rsidRPr="002C03B1" w:rsidRDefault="00CD6837"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99F1" w14:textId="77777777" w:rsidR="00604521" w:rsidRPr="00496C22" w:rsidRDefault="00CD6837" w:rsidP="003354C4">
    <w:pPr>
      <w:pStyle w:val="Sidefod1"/>
      <w:ind w:right="-52"/>
    </w:pPr>
    <w:r w:rsidRPr="00496C22">
      <w:t xml:space="preserve">Norddjurs Kommune · Torvet 3 · 8500 Grenaa Tlf.: 89 59 10 </w:t>
    </w:r>
    <w:r w:rsidRPr="00496C22">
      <w:t>00 · www.norddjurs.dk · CVR nr. 29 18 99 86</w:t>
    </w:r>
  </w:p>
  <w:p w14:paraId="7E056DF7" w14:textId="77777777" w:rsidR="00604521" w:rsidRPr="00496C22" w:rsidRDefault="00CD6837" w:rsidP="003354C4">
    <w:pPr>
      <w:pStyle w:val="Sidefod1"/>
      <w:ind w:right="-52"/>
    </w:pPr>
    <w:r w:rsidRPr="00496C22">
      <w:t xml:space="preserve">Telefon- og åbningstider: </w:t>
    </w:r>
    <w:proofErr w:type="gramStart"/>
    <w:r w:rsidRPr="00496C22">
      <w:t>Mandag</w:t>
    </w:r>
    <w:proofErr w:type="gramEnd"/>
    <w:r w:rsidRPr="00496C22">
      <w:t xml:space="preserve">-onsdag: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CD6837"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44E2" w14:textId="77777777" w:rsidR="0059528A" w:rsidRDefault="00CD6837" w:rsidP="0022370F">
      <w:r>
        <w:separator/>
      </w:r>
    </w:p>
  </w:footnote>
  <w:footnote w:type="continuationSeparator" w:id="0">
    <w:p w14:paraId="433B55FB" w14:textId="77777777" w:rsidR="0059528A" w:rsidRDefault="00CD6837" w:rsidP="0022370F">
      <w:r>
        <w:continuationSeparator/>
      </w:r>
    </w:p>
  </w:footnote>
  <w:footnote w:id="1">
    <w:p w14:paraId="7510D2FD" w14:textId="77777777" w:rsidR="00355536" w:rsidRPr="00877B00" w:rsidRDefault="00CD6837"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sidR="00D76CC2">
        <w:rPr>
          <w:rFonts w:ascii="Trebuchet MS" w:hAnsi="Trebuchet MS"/>
          <w:sz w:val="16"/>
          <w:szCs w:val="16"/>
        </w:rPr>
        <w:t>1536</w:t>
      </w:r>
      <w:r w:rsidR="00F76C62">
        <w:rPr>
          <w:rFonts w:ascii="Trebuchet MS" w:hAnsi="Trebuchet MS"/>
          <w:sz w:val="16"/>
          <w:szCs w:val="16"/>
        </w:rPr>
        <w:t xml:space="preserve"> af </w:t>
      </w:r>
      <w:r w:rsidR="00D76CC2">
        <w:rPr>
          <w:rFonts w:ascii="Trebuchet MS" w:hAnsi="Trebuchet MS"/>
          <w:sz w:val="16"/>
          <w:szCs w:val="16"/>
        </w:rPr>
        <w:t>9</w:t>
      </w:r>
      <w:r w:rsidR="007D4B3C">
        <w:rPr>
          <w:rFonts w:ascii="Trebuchet MS" w:hAnsi="Trebuchet MS"/>
          <w:sz w:val="16"/>
          <w:szCs w:val="16"/>
        </w:rPr>
        <w:t xml:space="preserve">. </w:t>
      </w:r>
      <w:r w:rsidR="00D76CC2">
        <w:rPr>
          <w:rFonts w:ascii="Trebuchet MS" w:hAnsi="Trebuchet MS"/>
          <w:sz w:val="16"/>
          <w:szCs w:val="16"/>
        </w:rPr>
        <w:t>december</w:t>
      </w:r>
      <w:r w:rsidR="007D4B3C">
        <w:rPr>
          <w:rFonts w:ascii="Trebuchet MS" w:hAnsi="Trebuchet MS"/>
          <w:sz w:val="16"/>
          <w:szCs w:val="16"/>
        </w:rPr>
        <w:t xml:space="preserve"> 2019</w:t>
      </w:r>
      <w:r w:rsidR="009F4BEF">
        <w:rPr>
          <w:rFonts w:ascii="Trebuchet MS" w:hAnsi="Trebuchet MS"/>
          <w:sz w:val="16"/>
          <w:szCs w:val="16"/>
        </w:rPr>
        <w:t xml:space="preserve"> om miljøtilsyn</w:t>
      </w:r>
    </w:p>
  </w:footnote>
  <w:footnote w:id="2">
    <w:p w14:paraId="217B3AB5" w14:textId="77777777" w:rsidR="00355536" w:rsidRPr="00877B00" w:rsidRDefault="00CD6837"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B15426">
        <w:rPr>
          <w:rFonts w:ascii="Trebuchet MS" w:hAnsi="Trebuchet MS"/>
          <w:sz w:val="16"/>
          <w:szCs w:val="16"/>
        </w:rPr>
        <w:t>145 af 24. februar 2020</w:t>
      </w:r>
      <w:r w:rsidRPr="00877B00">
        <w:rPr>
          <w:rFonts w:ascii="Trebuchet MS" w:hAnsi="Trebuchet MS"/>
          <w:sz w:val="16"/>
          <w:szCs w:val="16"/>
        </w:rPr>
        <w:t xml:space="preserve"> om offentlighed i forvaltningen</w:t>
      </w:r>
    </w:p>
  </w:footnote>
  <w:footnote w:id="3">
    <w:p w14:paraId="0F8802E8" w14:textId="371D0C14" w:rsidR="00355536" w:rsidRPr="00877B00" w:rsidRDefault="00CD6837"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w:t>
      </w:r>
      <w:r w:rsidR="00815418">
        <w:rPr>
          <w:rFonts w:ascii="Trebuchet MS" w:hAnsi="Trebuchet MS"/>
          <w:sz w:val="16"/>
          <w:szCs w:val="16"/>
        </w:rPr>
        <w:t>april</w:t>
      </w:r>
      <w:r w:rsidRPr="00877B00">
        <w:rPr>
          <w:rFonts w:ascii="Trebuchet MS" w:hAnsi="Trebuchet MS"/>
          <w:sz w:val="16"/>
          <w:szCs w:val="16"/>
        </w:rPr>
        <w:t xml:space="preserve"> 2014 om forvaltningsloven</w:t>
      </w:r>
    </w:p>
  </w:footnote>
  <w:footnote w:id="4">
    <w:p w14:paraId="6FE426E4" w14:textId="77777777" w:rsidR="00355536" w:rsidRDefault="00CD6837"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49D5" w14:textId="77777777" w:rsidR="00604521" w:rsidRDefault="00CD6837" w:rsidP="00B11D51">
    <w:pPr>
      <w:tabs>
        <w:tab w:val="right" w:pos="7360"/>
      </w:tabs>
    </w:pPr>
    <w:r>
      <w:rPr>
        <w:noProof/>
      </w:rPr>
      <w:drawing>
        <wp:anchor distT="0" distB="0" distL="114300" distR="114300" simplePos="0" relativeHeight="251659264" behindDoc="0" locked="0" layoutInCell="1" allowOverlap="1">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26DF" w14:textId="77777777" w:rsidR="00355536" w:rsidRPr="00B11D51" w:rsidRDefault="00CD6837"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41770"/>
    <w:multiLevelType w:val="hybridMultilevel"/>
    <w:tmpl w:val="2794A6CA"/>
    <w:lvl w:ilvl="0" w:tplc="C592E954">
      <w:start w:val="1"/>
      <w:numFmt w:val="bullet"/>
      <w:pStyle w:val="Bullets"/>
      <w:lvlText w:val=""/>
      <w:lvlJc w:val="left"/>
      <w:pPr>
        <w:ind w:left="720" w:hanging="360"/>
      </w:pPr>
      <w:rPr>
        <w:rFonts w:ascii="Symbol" w:hAnsi="Symbol" w:hint="default"/>
      </w:rPr>
    </w:lvl>
    <w:lvl w:ilvl="1" w:tplc="E44E0D22" w:tentative="1">
      <w:start w:val="1"/>
      <w:numFmt w:val="bullet"/>
      <w:lvlText w:val="o"/>
      <w:lvlJc w:val="left"/>
      <w:pPr>
        <w:ind w:left="1440" w:hanging="360"/>
      </w:pPr>
      <w:rPr>
        <w:rFonts w:ascii="Courier New" w:hAnsi="Courier New" w:cs="Courier New" w:hint="default"/>
      </w:rPr>
    </w:lvl>
    <w:lvl w:ilvl="2" w:tplc="2F10D9FE" w:tentative="1">
      <w:start w:val="1"/>
      <w:numFmt w:val="bullet"/>
      <w:lvlText w:val=""/>
      <w:lvlJc w:val="left"/>
      <w:pPr>
        <w:ind w:left="2160" w:hanging="360"/>
      </w:pPr>
      <w:rPr>
        <w:rFonts w:ascii="Wingdings" w:hAnsi="Wingdings" w:hint="default"/>
      </w:rPr>
    </w:lvl>
    <w:lvl w:ilvl="3" w:tplc="A91AC676" w:tentative="1">
      <w:start w:val="1"/>
      <w:numFmt w:val="bullet"/>
      <w:lvlText w:val=""/>
      <w:lvlJc w:val="left"/>
      <w:pPr>
        <w:ind w:left="2880" w:hanging="360"/>
      </w:pPr>
      <w:rPr>
        <w:rFonts w:ascii="Symbol" w:hAnsi="Symbol" w:hint="default"/>
      </w:rPr>
    </w:lvl>
    <w:lvl w:ilvl="4" w:tplc="46C2CF96" w:tentative="1">
      <w:start w:val="1"/>
      <w:numFmt w:val="bullet"/>
      <w:lvlText w:val="o"/>
      <w:lvlJc w:val="left"/>
      <w:pPr>
        <w:ind w:left="3600" w:hanging="360"/>
      </w:pPr>
      <w:rPr>
        <w:rFonts w:ascii="Courier New" w:hAnsi="Courier New" w:cs="Courier New" w:hint="default"/>
      </w:rPr>
    </w:lvl>
    <w:lvl w:ilvl="5" w:tplc="2C5E99EE" w:tentative="1">
      <w:start w:val="1"/>
      <w:numFmt w:val="bullet"/>
      <w:lvlText w:val=""/>
      <w:lvlJc w:val="left"/>
      <w:pPr>
        <w:ind w:left="4320" w:hanging="360"/>
      </w:pPr>
      <w:rPr>
        <w:rFonts w:ascii="Wingdings" w:hAnsi="Wingdings" w:hint="default"/>
      </w:rPr>
    </w:lvl>
    <w:lvl w:ilvl="6" w:tplc="AF689AC2" w:tentative="1">
      <w:start w:val="1"/>
      <w:numFmt w:val="bullet"/>
      <w:lvlText w:val=""/>
      <w:lvlJc w:val="left"/>
      <w:pPr>
        <w:ind w:left="5040" w:hanging="360"/>
      </w:pPr>
      <w:rPr>
        <w:rFonts w:ascii="Symbol" w:hAnsi="Symbol" w:hint="default"/>
      </w:rPr>
    </w:lvl>
    <w:lvl w:ilvl="7" w:tplc="A3CC3646" w:tentative="1">
      <w:start w:val="1"/>
      <w:numFmt w:val="bullet"/>
      <w:lvlText w:val="o"/>
      <w:lvlJc w:val="left"/>
      <w:pPr>
        <w:ind w:left="5760" w:hanging="360"/>
      </w:pPr>
      <w:rPr>
        <w:rFonts w:ascii="Courier New" w:hAnsi="Courier New" w:cs="Courier New" w:hint="default"/>
      </w:rPr>
    </w:lvl>
    <w:lvl w:ilvl="8" w:tplc="8E76AEEA" w:tentative="1">
      <w:start w:val="1"/>
      <w:numFmt w:val="bullet"/>
      <w:lvlText w:val=""/>
      <w:lvlJc w:val="left"/>
      <w:pPr>
        <w:ind w:left="6480" w:hanging="360"/>
      </w:pPr>
      <w:rPr>
        <w:rFonts w:ascii="Wingdings" w:hAnsi="Wingdings" w:hint="default"/>
      </w:rPr>
    </w:lvl>
  </w:abstractNum>
  <w:num w:numId="1" w16cid:durableId="87766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E5DF6"/>
    <w:rsid w:val="001E6A65"/>
    <w:rsid w:val="001F327D"/>
    <w:rsid w:val="001F6636"/>
    <w:rsid w:val="00204474"/>
    <w:rsid w:val="0022370F"/>
    <w:rsid w:val="0025035B"/>
    <w:rsid w:val="0025500E"/>
    <w:rsid w:val="002555A6"/>
    <w:rsid w:val="00264C9B"/>
    <w:rsid w:val="00276969"/>
    <w:rsid w:val="002A078A"/>
    <w:rsid w:val="002C03B1"/>
    <w:rsid w:val="002E1C99"/>
    <w:rsid w:val="003228BD"/>
    <w:rsid w:val="003261A7"/>
    <w:rsid w:val="00330AB2"/>
    <w:rsid w:val="003354C4"/>
    <w:rsid w:val="00337D98"/>
    <w:rsid w:val="00355536"/>
    <w:rsid w:val="003857BD"/>
    <w:rsid w:val="003B4CCA"/>
    <w:rsid w:val="003F0FE1"/>
    <w:rsid w:val="004201ED"/>
    <w:rsid w:val="00426E98"/>
    <w:rsid w:val="0045254D"/>
    <w:rsid w:val="00490D90"/>
    <w:rsid w:val="00496C22"/>
    <w:rsid w:val="004F5735"/>
    <w:rsid w:val="0051416D"/>
    <w:rsid w:val="00525188"/>
    <w:rsid w:val="00542552"/>
    <w:rsid w:val="005451ED"/>
    <w:rsid w:val="005832BF"/>
    <w:rsid w:val="0059528A"/>
    <w:rsid w:val="005B6738"/>
    <w:rsid w:val="005E4376"/>
    <w:rsid w:val="006010D0"/>
    <w:rsid w:val="00604521"/>
    <w:rsid w:val="0060562F"/>
    <w:rsid w:val="006150E9"/>
    <w:rsid w:val="00640F0F"/>
    <w:rsid w:val="00644E1F"/>
    <w:rsid w:val="00652D5F"/>
    <w:rsid w:val="00670FCC"/>
    <w:rsid w:val="00695EBF"/>
    <w:rsid w:val="006B66D0"/>
    <w:rsid w:val="006D049C"/>
    <w:rsid w:val="006D1197"/>
    <w:rsid w:val="00700173"/>
    <w:rsid w:val="00725AA9"/>
    <w:rsid w:val="00767B0A"/>
    <w:rsid w:val="007A221C"/>
    <w:rsid w:val="007A4ABE"/>
    <w:rsid w:val="007B62D9"/>
    <w:rsid w:val="007B65F5"/>
    <w:rsid w:val="007C5414"/>
    <w:rsid w:val="007D178D"/>
    <w:rsid w:val="007D4B3C"/>
    <w:rsid w:val="007F775C"/>
    <w:rsid w:val="00815418"/>
    <w:rsid w:val="00825410"/>
    <w:rsid w:val="00850C57"/>
    <w:rsid w:val="00851A9B"/>
    <w:rsid w:val="00862FC3"/>
    <w:rsid w:val="00866D5E"/>
    <w:rsid w:val="00872492"/>
    <w:rsid w:val="00874E14"/>
    <w:rsid w:val="00877B00"/>
    <w:rsid w:val="008C0DB6"/>
    <w:rsid w:val="008D4B69"/>
    <w:rsid w:val="008E545A"/>
    <w:rsid w:val="00907168"/>
    <w:rsid w:val="00951E85"/>
    <w:rsid w:val="0096288A"/>
    <w:rsid w:val="009A093F"/>
    <w:rsid w:val="009A2510"/>
    <w:rsid w:val="009A6D0A"/>
    <w:rsid w:val="009D76B6"/>
    <w:rsid w:val="009E10BC"/>
    <w:rsid w:val="009F48F0"/>
    <w:rsid w:val="009F4BEF"/>
    <w:rsid w:val="009F6886"/>
    <w:rsid w:val="00A117E4"/>
    <w:rsid w:val="00A212F1"/>
    <w:rsid w:val="00A254CA"/>
    <w:rsid w:val="00A34545"/>
    <w:rsid w:val="00A52507"/>
    <w:rsid w:val="00A55E93"/>
    <w:rsid w:val="00A610D7"/>
    <w:rsid w:val="00A74D39"/>
    <w:rsid w:val="00A80059"/>
    <w:rsid w:val="00AA160E"/>
    <w:rsid w:val="00AA4AED"/>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07D6"/>
    <w:rsid w:val="00B37494"/>
    <w:rsid w:val="00B94A74"/>
    <w:rsid w:val="00BB3324"/>
    <w:rsid w:val="00BB7576"/>
    <w:rsid w:val="00BF3725"/>
    <w:rsid w:val="00BF684B"/>
    <w:rsid w:val="00C016C5"/>
    <w:rsid w:val="00C024A4"/>
    <w:rsid w:val="00C15AAB"/>
    <w:rsid w:val="00C27BBF"/>
    <w:rsid w:val="00C34BFD"/>
    <w:rsid w:val="00C365C6"/>
    <w:rsid w:val="00C664FF"/>
    <w:rsid w:val="00C6698C"/>
    <w:rsid w:val="00CC11D4"/>
    <w:rsid w:val="00CC1783"/>
    <w:rsid w:val="00CD6837"/>
    <w:rsid w:val="00CF0BD7"/>
    <w:rsid w:val="00D446B0"/>
    <w:rsid w:val="00D73FA1"/>
    <w:rsid w:val="00D747D1"/>
    <w:rsid w:val="00D76CC2"/>
    <w:rsid w:val="00D82FD1"/>
    <w:rsid w:val="00D913EA"/>
    <w:rsid w:val="00D96F16"/>
    <w:rsid w:val="00D97118"/>
    <w:rsid w:val="00DA4174"/>
    <w:rsid w:val="00DB5E36"/>
    <w:rsid w:val="00DE7A03"/>
    <w:rsid w:val="00DF676C"/>
    <w:rsid w:val="00DF7ED2"/>
    <w:rsid w:val="00E01391"/>
    <w:rsid w:val="00E06A04"/>
    <w:rsid w:val="00E152F0"/>
    <w:rsid w:val="00E1572F"/>
    <w:rsid w:val="00E171B5"/>
    <w:rsid w:val="00E20E52"/>
    <w:rsid w:val="00E26ABF"/>
    <w:rsid w:val="00E51401"/>
    <w:rsid w:val="00E60C0E"/>
    <w:rsid w:val="00E67895"/>
    <w:rsid w:val="00E93CC3"/>
    <w:rsid w:val="00EC04E1"/>
    <w:rsid w:val="00F04C87"/>
    <w:rsid w:val="00F35F76"/>
    <w:rsid w:val="00F46A08"/>
    <w:rsid w:val="00F65758"/>
    <w:rsid w:val="00F66629"/>
    <w:rsid w:val="00F72195"/>
    <w:rsid w:val="00F76C62"/>
    <w:rsid w:val="00F83CCE"/>
    <w:rsid w:val="00FB08A5"/>
    <w:rsid w:val="00FC3114"/>
    <w:rsid w:val="00FC446D"/>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4E581318-A20F-4363-A592-60F99BF7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ma.m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Thomas Juul Bundgaard</cp:lastModifiedBy>
  <cp:revision>2</cp:revision>
  <cp:lastPrinted>2015-05-11T12:38:00Z</cp:lastPrinted>
  <dcterms:created xsi:type="dcterms:W3CDTF">2024-11-21T14:52:00Z</dcterms:created>
  <dcterms:modified xsi:type="dcterms:W3CDTF">2024-11-21T14:52:00Z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{0728B2A6-15BD-4E5D-9F0D-EFDE86FE870A}</vt:lpwstr>
  </property>
  <property fmtid="{D5CDD505-2E9C-101B-9397-08002B2CF9AE}" pid="3" name="AcadreDocumentId">
    <vt:i4>3694890</vt:i4>
  </property>
  <property fmtid="{D5CDD505-2E9C-101B-9397-08002B2CF9AE}" pid="4" name="AcadreCaseId">
    <vt:i4>315090</vt:i4>
  </property>
</Properties>
</file>