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4DD2" w:rsidRPr="0021492B" w:rsidRDefault="0054105B" w:rsidP="005F4DD2">
      <w:pPr>
        <w:rPr>
          <w:b/>
          <w:sz w:val="24"/>
          <w:szCs w:val="24"/>
        </w:rPr>
      </w:pPr>
      <w:r w:rsidRPr="0021492B">
        <w:rPr>
          <w:b/>
          <w:sz w:val="24"/>
          <w:szCs w:val="24"/>
        </w:rPr>
        <w:t>Miljøt</w:t>
      </w:r>
      <w:r w:rsidR="004E1F82" w:rsidRPr="0021492B">
        <w:rPr>
          <w:b/>
          <w:sz w:val="24"/>
          <w:szCs w:val="24"/>
        </w:rPr>
        <w:t xml:space="preserve">ilsynsplan </w:t>
      </w:r>
      <w:r w:rsidR="00325AED">
        <w:rPr>
          <w:b/>
          <w:sz w:val="24"/>
          <w:szCs w:val="24"/>
        </w:rPr>
        <w:t>2017 -2021 for Samsø Kommunes tilsyn med industri</w:t>
      </w:r>
      <w:r w:rsidR="004E1F82" w:rsidRPr="0021492B">
        <w:rPr>
          <w:b/>
          <w:sz w:val="24"/>
          <w:szCs w:val="24"/>
        </w:rPr>
        <w:t>virksomheder og husdyrbrug</w:t>
      </w:r>
    </w:p>
    <w:p w:rsidR="004E1F82" w:rsidRPr="0021492B" w:rsidRDefault="004E1F82" w:rsidP="000221FA">
      <w:pPr>
        <w:jc w:val="both"/>
      </w:pPr>
    </w:p>
    <w:p w:rsidR="009D4EB8" w:rsidRDefault="00E23E4E" w:rsidP="000221FA">
      <w:pPr>
        <w:jc w:val="both"/>
        <w:rPr>
          <w:color w:val="000000" w:themeColor="text1"/>
        </w:rPr>
      </w:pPr>
      <w:r w:rsidRPr="00E23E4E">
        <w:rPr>
          <w:color w:val="000000" w:themeColor="text1"/>
        </w:rPr>
        <w:t xml:space="preserve">Tilsynsplanen fortæller, hvordan </w:t>
      </w:r>
      <w:r w:rsidR="002F3B36">
        <w:rPr>
          <w:color w:val="000000" w:themeColor="text1"/>
        </w:rPr>
        <w:t xml:space="preserve">Samsø Kommune og </w:t>
      </w:r>
      <w:r w:rsidRPr="00E23E4E">
        <w:rPr>
          <w:color w:val="000000" w:themeColor="text1"/>
        </w:rPr>
        <w:t>Aarhus Kommune fører miljøtilsyn med virksomheder og husdyrbrug.</w:t>
      </w:r>
      <w:r w:rsidR="002F3B36">
        <w:rPr>
          <w:color w:val="000000" w:themeColor="text1"/>
        </w:rPr>
        <w:t xml:space="preserve"> Tilsynet er på Samsø delt mellem Samsø og Aarhus</w:t>
      </w:r>
      <w:r w:rsidR="005A5659">
        <w:rPr>
          <w:color w:val="000000" w:themeColor="text1"/>
        </w:rPr>
        <w:t xml:space="preserve"> på baggrund af bestemmelserne i Lov om forpligtende kommunale samarbejder. Aarhus Kommune fører således tilsyn med husdyrbrugene og enkelte virksomheder. </w:t>
      </w:r>
      <w:r w:rsidRPr="00E23E4E">
        <w:rPr>
          <w:color w:val="000000" w:themeColor="text1"/>
        </w:rPr>
        <w:t>Planen er lavet iht. reglerne i Miljøtilsynsbekendtgørelsen (Miljø</w:t>
      </w:r>
      <w:r w:rsidR="0048257D">
        <w:rPr>
          <w:color w:val="000000" w:themeColor="text1"/>
        </w:rPr>
        <w:t>- og Fødevare</w:t>
      </w:r>
      <w:r w:rsidRPr="00E23E4E">
        <w:rPr>
          <w:color w:val="000000" w:themeColor="text1"/>
        </w:rPr>
        <w:t xml:space="preserve">ministeriets bekendtgørelse nr. </w:t>
      </w:r>
      <w:r w:rsidR="0048257D" w:rsidRPr="00E3002F">
        <w:t>866 af 23. juni 2017</w:t>
      </w:r>
      <w:r w:rsidR="0048257D">
        <w:t xml:space="preserve"> </w:t>
      </w:r>
      <w:r w:rsidRPr="00E23E4E">
        <w:rPr>
          <w:color w:val="000000" w:themeColor="text1"/>
        </w:rPr>
        <w:t>om miljøtilsyn) og omfatter miljøtilsyn hos de i alt ca.</w:t>
      </w:r>
      <w:r w:rsidR="002F3B36">
        <w:rPr>
          <w:color w:val="000000" w:themeColor="text1"/>
        </w:rPr>
        <w:t xml:space="preserve"> </w:t>
      </w:r>
      <w:r w:rsidR="0048257D">
        <w:rPr>
          <w:color w:val="000000" w:themeColor="text1"/>
        </w:rPr>
        <w:t>28</w:t>
      </w:r>
      <w:r w:rsidRPr="00E23E4E">
        <w:rPr>
          <w:color w:val="000000" w:themeColor="text1"/>
        </w:rPr>
        <w:t xml:space="preserve"> virksomheder og </w:t>
      </w:r>
      <w:r w:rsidR="005269DF">
        <w:rPr>
          <w:color w:val="000000" w:themeColor="text1"/>
        </w:rPr>
        <w:t>28</w:t>
      </w:r>
      <w:r w:rsidR="00F95247">
        <w:rPr>
          <w:color w:val="000000" w:themeColor="text1"/>
        </w:rPr>
        <w:t xml:space="preserve"> </w:t>
      </w:r>
      <w:r w:rsidRPr="00E23E4E">
        <w:rPr>
          <w:color w:val="000000" w:themeColor="text1"/>
        </w:rPr>
        <w:t xml:space="preserve">husdyrbrug, som der efter bekendtgørelsens regler skal føres miljøtilsyn med </w:t>
      </w:r>
      <w:r w:rsidR="002F3B36">
        <w:rPr>
          <w:color w:val="000000" w:themeColor="text1"/>
        </w:rPr>
        <w:t xml:space="preserve">på Samsø. </w:t>
      </w:r>
    </w:p>
    <w:p w:rsidR="005A5659" w:rsidRPr="0021492B" w:rsidRDefault="005A5659" w:rsidP="000221FA">
      <w:pPr>
        <w:jc w:val="both"/>
        <w:rPr>
          <w:color w:val="000000" w:themeColor="text1"/>
        </w:rPr>
      </w:pPr>
    </w:p>
    <w:p w:rsidR="0054105B" w:rsidRPr="0021492B" w:rsidRDefault="0054105B" w:rsidP="000221FA">
      <w:pPr>
        <w:jc w:val="both"/>
      </w:pPr>
    </w:p>
    <w:p w:rsidR="004E1F82" w:rsidRPr="0021492B" w:rsidRDefault="00DC1FF3" w:rsidP="000221FA">
      <w:pPr>
        <w:jc w:val="both"/>
        <w:rPr>
          <w:b/>
        </w:rPr>
      </w:pPr>
      <w:r>
        <w:rPr>
          <w:b/>
        </w:rPr>
        <w:t>Geografisk område</w:t>
      </w:r>
    </w:p>
    <w:p w:rsidR="004E1F82" w:rsidRDefault="00DC1FF3" w:rsidP="000221FA">
      <w:pPr>
        <w:jc w:val="both"/>
      </w:pPr>
      <w:r>
        <w:t xml:space="preserve">Tilsynsplanen gælder for </w:t>
      </w:r>
      <w:r w:rsidR="002F3B36">
        <w:t xml:space="preserve">Samsø </w:t>
      </w:r>
      <w:r>
        <w:t xml:space="preserve">Kommune. Tilsynsplanen gælder dog ikke for de virksomheder </w:t>
      </w:r>
      <w:r w:rsidR="002F3B36">
        <w:t>på Samsø</w:t>
      </w:r>
      <w:r>
        <w:t>, hvor Miljøstyrelsen har miljøtilsynet</w:t>
      </w:r>
      <w:r w:rsidR="002F3B36">
        <w:t xml:space="preserve"> (Affaldscenter</w:t>
      </w:r>
      <w:r w:rsidR="005A5659">
        <w:t xml:space="preserve"> </w:t>
      </w:r>
      <w:r w:rsidR="002F3B36">
        <w:t>Harpesdal og Nordby Bugt Havbrug)</w:t>
      </w:r>
      <w:r>
        <w:t>.</w:t>
      </w:r>
    </w:p>
    <w:p w:rsidR="00E648B1" w:rsidRDefault="00E648B1" w:rsidP="000221FA">
      <w:pPr>
        <w:jc w:val="both"/>
      </w:pPr>
    </w:p>
    <w:p w:rsidR="004E1F82" w:rsidRPr="0021492B" w:rsidRDefault="00DC1FF3" w:rsidP="000221FA">
      <w:pPr>
        <w:jc w:val="both"/>
        <w:rPr>
          <w:b/>
        </w:rPr>
      </w:pPr>
      <w:r>
        <w:rPr>
          <w:b/>
        </w:rPr>
        <w:t xml:space="preserve">Væsentlige forhold der vurderes ved miljøtilsyn </w:t>
      </w:r>
    </w:p>
    <w:p w:rsidR="004E1F82" w:rsidRPr="0021492B" w:rsidRDefault="00DC1FF3" w:rsidP="000221FA">
      <w:pPr>
        <w:jc w:val="both"/>
      </w:pPr>
      <w:r>
        <w:t>Ved miljøtilsyn vurdere</w:t>
      </w:r>
      <w:r w:rsidR="005A5659">
        <w:t>s</w:t>
      </w:r>
      <w:r>
        <w:t xml:space="preserve"> om virksomheder og husdyrbrug overholder gældende miljøregler. Det vurderes i den forbindelse, om de enkelte virksomheder og husdyrbrug giver anledning til gener for naboer eller væsentlig miljøpåvirkning med støj, støv, lugt, spildevand, næringsstoffer, oplag af kemikalier og affaldshåndtering. For de godkendelsespligtige virksomheder og husdyrbrug vurderes desuden, om vilkår i de individuelle miljøgodkendelser overholdes.</w:t>
      </w:r>
    </w:p>
    <w:p w:rsidR="00A46C11" w:rsidRPr="0021492B" w:rsidRDefault="00A46C11" w:rsidP="000221FA">
      <w:pPr>
        <w:jc w:val="both"/>
      </w:pPr>
    </w:p>
    <w:p w:rsidR="00EA6032" w:rsidRPr="0021492B" w:rsidRDefault="00EA6032" w:rsidP="000221FA">
      <w:pPr>
        <w:jc w:val="both"/>
      </w:pPr>
    </w:p>
    <w:p w:rsidR="004E1F82" w:rsidRPr="0021492B" w:rsidRDefault="00DC1FF3" w:rsidP="000221FA">
      <w:pPr>
        <w:jc w:val="both"/>
        <w:rPr>
          <w:b/>
        </w:rPr>
      </w:pPr>
      <w:r>
        <w:rPr>
          <w:b/>
        </w:rPr>
        <w:t>Fortegnelse over særlige virksomheder og husdyrbrug, som der skal føres miljøtilsyn med (IED-virksomheder og IED-husdyrbrug)</w:t>
      </w:r>
    </w:p>
    <w:p w:rsidR="002802F8" w:rsidRDefault="002802F8" w:rsidP="000221FA">
      <w:pPr>
        <w:jc w:val="both"/>
        <w:rPr>
          <w:szCs w:val="20"/>
          <w:u w:val="single"/>
        </w:rPr>
      </w:pPr>
    </w:p>
    <w:p w:rsidR="00604638" w:rsidRPr="0021492B" w:rsidRDefault="00DC1FF3" w:rsidP="000221FA">
      <w:pPr>
        <w:jc w:val="both"/>
        <w:rPr>
          <w:szCs w:val="20"/>
          <w:u w:val="single"/>
        </w:rPr>
      </w:pPr>
      <w:r>
        <w:rPr>
          <w:szCs w:val="20"/>
          <w:u w:val="single"/>
        </w:rPr>
        <w:t>Liste over IED-virksomheder.</w:t>
      </w:r>
    </w:p>
    <w:p w:rsidR="00C93CC2" w:rsidRDefault="002802F8" w:rsidP="00C93CC2">
      <w:r>
        <w:t xml:space="preserve">Affaldscenter Harpesdal er eneste IED-virksomhed på Samsø og her er </w:t>
      </w:r>
      <w:r w:rsidR="001663E1">
        <w:t xml:space="preserve">Miljøstyrelsen </w:t>
      </w:r>
      <w:r>
        <w:t>tilsynsmyndighed.</w:t>
      </w:r>
    </w:p>
    <w:p w:rsidR="0048257D" w:rsidRPr="0021492B" w:rsidRDefault="0048257D" w:rsidP="00C93CC2"/>
    <w:p w:rsidR="00604638" w:rsidRPr="0021492B" w:rsidRDefault="00DC1FF3" w:rsidP="00604638">
      <w:pPr>
        <w:rPr>
          <w:rFonts w:cs="Arial"/>
          <w:szCs w:val="20"/>
          <w:u w:val="single"/>
        </w:rPr>
      </w:pPr>
      <w:r>
        <w:rPr>
          <w:rFonts w:cs="Arial"/>
          <w:szCs w:val="20"/>
          <w:u w:val="single"/>
        </w:rPr>
        <w:t>Liste over IED-husdyrbrug.</w:t>
      </w:r>
    </w:p>
    <w:p w:rsidR="00604638" w:rsidRPr="0021492B" w:rsidRDefault="00604638" w:rsidP="00604638">
      <w:pPr>
        <w:rPr>
          <w:rFonts w:cs="Arial"/>
          <w:szCs w:val="20"/>
        </w:rPr>
      </w:pPr>
    </w:p>
    <w:tbl>
      <w:tblPr>
        <w:tblStyle w:val="Tabel-Gitter"/>
        <w:tblW w:w="10031" w:type="dxa"/>
        <w:tblLayout w:type="fixed"/>
        <w:tblLook w:val="04A0" w:firstRow="1" w:lastRow="0" w:firstColumn="1" w:lastColumn="0" w:noHBand="0" w:noVBand="1"/>
      </w:tblPr>
      <w:tblGrid>
        <w:gridCol w:w="2660"/>
        <w:gridCol w:w="4252"/>
        <w:gridCol w:w="1701"/>
        <w:gridCol w:w="1418"/>
      </w:tblGrid>
      <w:tr w:rsidR="00D0092F" w:rsidRPr="0021492B" w:rsidTr="003B5FEA">
        <w:tc>
          <w:tcPr>
            <w:tcW w:w="2660" w:type="dxa"/>
          </w:tcPr>
          <w:p w:rsidR="00D0092F" w:rsidRPr="0021492B" w:rsidRDefault="00DC1FF3" w:rsidP="00D0092F">
            <w:pPr>
              <w:spacing w:before="120" w:after="120" w:line="300" w:lineRule="atLeast"/>
              <w:rPr>
                <w:rFonts w:eastAsia="Times New Roman" w:cs="Arial"/>
                <w:b/>
                <w:szCs w:val="20"/>
                <w:lang w:eastAsia="da-DK"/>
              </w:rPr>
            </w:pPr>
            <w:r>
              <w:rPr>
                <w:rFonts w:eastAsia="Times New Roman" w:cs="Arial"/>
                <w:b/>
                <w:szCs w:val="20"/>
                <w:lang w:eastAsia="da-DK"/>
              </w:rPr>
              <w:t>Navn</w:t>
            </w:r>
          </w:p>
        </w:tc>
        <w:tc>
          <w:tcPr>
            <w:tcW w:w="4252" w:type="dxa"/>
          </w:tcPr>
          <w:p w:rsidR="00D0092F" w:rsidRPr="0021492B" w:rsidRDefault="00DC1FF3" w:rsidP="0085500F">
            <w:pPr>
              <w:spacing w:before="120" w:after="120" w:line="300" w:lineRule="atLeast"/>
              <w:jc w:val="center"/>
              <w:rPr>
                <w:rFonts w:eastAsia="Times New Roman" w:cs="Arial"/>
                <w:b/>
                <w:szCs w:val="20"/>
                <w:lang w:eastAsia="da-DK"/>
              </w:rPr>
            </w:pPr>
            <w:r>
              <w:rPr>
                <w:rFonts w:eastAsia="Times New Roman" w:cs="Arial"/>
                <w:b/>
                <w:szCs w:val="20"/>
                <w:lang w:eastAsia="da-DK"/>
              </w:rPr>
              <w:t>Adresse</w:t>
            </w:r>
          </w:p>
        </w:tc>
        <w:tc>
          <w:tcPr>
            <w:tcW w:w="1701" w:type="dxa"/>
          </w:tcPr>
          <w:p w:rsidR="00D0092F" w:rsidRPr="0021492B" w:rsidRDefault="00DC1FF3" w:rsidP="0085500F">
            <w:pPr>
              <w:spacing w:before="120" w:after="120" w:line="300" w:lineRule="atLeast"/>
              <w:jc w:val="center"/>
              <w:rPr>
                <w:rFonts w:eastAsia="Times New Roman" w:cs="Arial"/>
                <w:b/>
                <w:szCs w:val="20"/>
                <w:lang w:eastAsia="da-DK"/>
              </w:rPr>
            </w:pPr>
            <w:r>
              <w:rPr>
                <w:rFonts w:eastAsia="Times New Roman" w:cs="Arial"/>
                <w:b/>
                <w:szCs w:val="20"/>
                <w:lang w:eastAsia="da-DK"/>
              </w:rPr>
              <w:t>CVR-nr.</w:t>
            </w:r>
          </w:p>
        </w:tc>
        <w:tc>
          <w:tcPr>
            <w:tcW w:w="1418" w:type="dxa"/>
          </w:tcPr>
          <w:p w:rsidR="00D0092F" w:rsidRPr="0021492B" w:rsidRDefault="00DC1FF3" w:rsidP="002802F8">
            <w:pPr>
              <w:spacing w:before="120" w:after="120" w:line="300" w:lineRule="atLeast"/>
              <w:jc w:val="center"/>
              <w:rPr>
                <w:rFonts w:eastAsia="Times New Roman" w:cs="Arial"/>
                <w:b/>
                <w:szCs w:val="20"/>
                <w:lang w:eastAsia="da-DK"/>
              </w:rPr>
            </w:pPr>
            <w:r>
              <w:rPr>
                <w:rFonts w:eastAsia="Times New Roman" w:cs="Arial"/>
                <w:b/>
                <w:szCs w:val="20"/>
                <w:lang w:eastAsia="da-DK"/>
              </w:rPr>
              <w:t>Husdyrbrug</w:t>
            </w:r>
            <w:r w:rsidR="002802F8">
              <w:rPr>
                <w:rFonts w:eastAsia="Times New Roman" w:cs="Arial"/>
                <w:b/>
                <w:szCs w:val="20"/>
                <w:vertAlign w:val="superscript"/>
                <w:lang w:eastAsia="da-DK"/>
              </w:rPr>
              <w:t>1</w:t>
            </w:r>
          </w:p>
        </w:tc>
      </w:tr>
      <w:tr w:rsidR="00D0092F" w:rsidRPr="0021492B" w:rsidTr="00DE3BF5">
        <w:trPr>
          <w:trHeight w:val="567"/>
        </w:trPr>
        <w:tc>
          <w:tcPr>
            <w:tcW w:w="2660" w:type="dxa"/>
          </w:tcPr>
          <w:p w:rsidR="00D0092F" w:rsidRPr="0021492B" w:rsidRDefault="0021752F" w:rsidP="00D0092F">
            <w:pPr>
              <w:spacing w:before="120" w:after="120" w:line="300" w:lineRule="atLeast"/>
              <w:rPr>
                <w:rFonts w:eastAsia="Times New Roman" w:cs="Arial"/>
                <w:szCs w:val="20"/>
                <w:lang w:eastAsia="da-DK"/>
              </w:rPr>
            </w:pPr>
            <w:r>
              <w:rPr>
                <w:rFonts w:eastAsia="Times New Roman" w:cs="Arial"/>
                <w:szCs w:val="20"/>
                <w:lang w:eastAsia="da-DK"/>
              </w:rPr>
              <w:t>Lars Øster</w:t>
            </w:r>
          </w:p>
        </w:tc>
        <w:tc>
          <w:tcPr>
            <w:tcW w:w="4252" w:type="dxa"/>
          </w:tcPr>
          <w:p w:rsidR="00D0092F" w:rsidRPr="0021492B" w:rsidRDefault="0021752F" w:rsidP="001A1156">
            <w:pPr>
              <w:spacing w:before="120" w:after="120" w:line="300" w:lineRule="atLeast"/>
              <w:rPr>
                <w:rFonts w:eastAsia="Times New Roman" w:cs="Arial"/>
                <w:szCs w:val="20"/>
                <w:lang w:eastAsia="da-DK"/>
              </w:rPr>
            </w:pPr>
            <w:proofErr w:type="spellStart"/>
            <w:r>
              <w:rPr>
                <w:rFonts w:eastAsia="Times New Roman" w:cs="Arial"/>
                <w:szCs w:val="20"/>
                <w:lang w:eastAsia="da-DK"/>
              </w:rPr>
              <w:t>Skottensbjerg</w:t>
            </w:r>
            <w:proofErr w:type="spellEnd"/>
            <w:r>
              <w:rPr>
                <w:rFonts w:eastAsia="Times New Roman" w:cs="Arial"/>
                <w:szCs w:val="20"/>
                <w:lang w:eastAsia="da-DK"/>
              </w:rPr>
              <w:t xml:space="preserve"> 2</w:t>
            </w:r>
          </w:p>
        </w:tc>
        <w:tc>
          <w:tcPr>
            <w:tcW w:w="1701" w:type="dxa"/>
          </w:tcPr>
          <w:p w:rsidR="00D0092F" w:rsidRPr="0021492B" w:rsidRDefault="0021752F" w:rsidP="0085500F">
            <w:pPr>
              <w:spacing w:before="120" w:after="120" w:line="300" w:lineRule="atLeast"/>
              <w:jc w:val="center"/>
              <w:rPr>
                <w:rFonts w:eastAsia="Times New Roman" w:cs="Arial"/>
                <w:szCs w:val="20"/>
                <w:lang w:eastAsia="da-DK"/>
              </w:rPr>
            </w:pPr>
            <w:r>
              <w:t>84179310</w:t>
            </w:r>
          </w:p>
        </w:tc>
        <w:tc>
          <w:tcPr>
            <w:tcW w:w="1418" w:type="dxa"/>
          </w:tcPr>
          <w:p w:rsidR="00D0092F" w:rsidRPr="0021492B" w:rsidRDefault="0021752F" w:rsidP="008930C4">
            <w:pPr>
              <w:spacing w:before="120" w:after="120" w:line="300" w:lineRule="atLeast"/>
              <w:jc w:val="center"/>
              <w:rPr>
                <w:rFonts w:eastAsia="Times New Roman" w:cs="Arial"/>
                <w:szCs w:val="20"/>
                <w:lang w:eastAsia="da-DK"/>
              </w:rPr>
            </w:pPr>
            <w:r>
              <w:rPr>
                <w:rFonts w:eastAsia="Times New Roman" w:cs="Arial"/>
                <w:szCs w:val="20"/>
                <w:lang w:eastAsia="da-DK"/>
              </w:rPr>
              <w:t>Svinebrug</w:t>
            </w:r>
          </w:p>
        </w:tc>
      </w:tr>
      <w:tr w:rsidR="008930C4" w:rsidRPr="0021492B" w:rsidTr="00DE3BF5">
        <w:trPr>
          <w:trHeight w:val="567"/>
        </w:trPr>
        <w:tc>
          <w:tcPr>
            <w:tcW w:w="2660" w:type="dxa"/>
          </w:tcPr>
          <w:p w:rsidR="008930C4" w:rsidRPr="0021492B" w:rsidRDefault="0021752F" w:rsidP="00D0092F">
            <w:pPr>
              <w:spacing w:before="120" w:after="120" w:line="300" w:lineRule="atLeast"/>
              <w:rPr>
                <w:rFonts w:eastAsia="Times New Roman" w:cs="Arial"/>
                <w:szCs w:val="20"/>
                <w:lang w:eastAsia="da-DK"/>
              </w:rPr>
            </w:pPr>
            <w:r>
              <w:rPr>
                <w:rFonts w:eastAsia="Times New Roman" w:cs="Arial"/>
                <w:szCs w:val="20"/>
                <w:lang w:eastAsia="da-DK"/>
              </w:rPr>
              <w:t>Anders D. Lassen</w:t>
            </w:r>
          </w:p>
        </w:tc>
        <w:tc>
          <w:tcPr>
            <w:tcW w:w="4252" w:type="dxa"/>
          </w:tcPr>
          <w:p w:rsidR="008930C4" w:rsidRPr="0021492B" w:rsidRDefault="0021752F" w:rsidP="001A1156">
            <w:pPr>
              <w:spacing w:before="120" w:after="120" w:line="300" w:lineRule="atLeast"/>
              <w:rPr>
                <w:rFonts w:eastAsia="Times New Roman" w:cs="Arial"/>
                <w:szCs w:val="20"/>
                <w:lang w:eastAsia="da-DK"/>
              </w:rPr>
            </w:pPr>
            <w:r>
              <w:rPr>
                <w:rFonts w:eastAsia="Times New Roman" w:cs="Arial"/>
                <w:szCs w:val="20"/>
                <w:lang w:eastAsia="da-DK"/>
              </w:rPr>
              <w:t>Vesborgvej 22</w:t>
            </w:r>
          </w:p>
        </w:tc>
        <w:tc>
          <w:tcPr>
            <w:tcW w:w="1701" w:type="dxa"/>
          </w:tcPr>
          <w:p w:rsidR="008930C4" w:rsidRPr="0021492B" w:rsidRDefault="0021752F" w:rsidP="0085500F">
            <w:pPr>
              <w:spacing w:before="120" w:after="120" w:line="300" w:lineRule="atLeast"/>
              <w:jc w:val="center"/>
              <w:rPr>
                <w:rFonts w:eastAsia="Times New Roman" w:cs="Arial"/>
                <w:szCs w:val="20"/>
                <w:lang w:eastAsia="da-DK"/>
              </w:rPr>
            </w:pPr>
            <w:r>
              <w:t>88680928</w:t>
            </w:r>
          </w:p>
        </w:tc>
        <w:tc>
          <w:tcPr>
            <w:tcW w:w="1418" w:type="dxa"/>
          </w:tcPr>
          <w:p w:rsidR="008930C4" w:rsidRPr="0021492B" w:rsidRDefault="00091C9F" w:rsidP="00DD7B62">
            <w:pPr>
              <w:spacing w:before="120" w:after="120" w:line="300" w:lineRule="atLeast"/>
              <w:jc w:val="center"/>
              <w:rPr>
                <w:rFonts w:eastAsia="Times New Roman" w:cs="Arial"/>
                <w:szCs w:val="20"/>
                <w:lang w:eastAsia="da-DK"/>
              </w:rPr>
            </w:pPr>
            <w:r>
              <w:rPr>
                <w:rFonts w:eastAsia="Times New Roman" w:cs="Arial"/>
                <w:szCs w:val="20"/>
                <w:lang w:eastAsia="da-DK"/>
              </w:rPr>
              <w:t>Svinebrug</w:t>
            </w:r>
          </w:p>
        </w:tc>
      </w:tr>
      <w:tr w:rsidR="008930C4" w:rsidRPr="0021492B" w:rsidTr="00DE3BF5">
        <w:trPr>
          <w:trHeight w:val="567"/>
        </w:trPr>
        <w:tc>
          <w:tcPr>
            <w:tcW w:w="2660" w:type="dxa"/>
          </w:tcPr>
          <w:p w:rsidR="004363F8" w:rsidRPr="002B6C55" w:rsidRDefault="002B6C55" w:rsidP="003B5FEA">
            <w:pPr>
              <w:spacing w:before="120" w:after="120" w:line="300" w:lineRule="atLeast"/>
              <w:contextualSpacing/>
              <w:rPr>
                <w:rFonts w:eastAsia="Times New Roman" w:cs="Arial"/>
                <w:szCs w:val="20"/>
                <w:lang w:eastAsia="da-DK"/>
              </w:rPr>
            </w:pPr>
            <w:r w:rsidRPr="002B6C55">
              <w:rPr>
                <w:rFonts w:eastAsia="Times New Roman" w:cs="Arial"/>
                <w:szCs w:val="20"/>
                <w:lang w:eastAsia="da-DK"/>
              </w:rPr>
              <w:t>Anders D. Lassen</w:t>
            </w:r>
          </w:p>
        </w:tc>
        <w:tc>
          <w:tcPr>
            <w:tcW w:w="4252" w:type="dxa"/>
          </w:tcPr>
          <w:p w:rsidR="008930C4" w:rsidRPr="002B6C55" w:rsidRDefault="002B6C55" w:rsidP="003B5FEA">
            <w:pPr>
              <w:spacing w:before="120" w:after="120" w:line="300" w:lineRule="atLeast"/>
              <w:ind w:left="34"/>
              <w:contextualSpacing/>
              <w:rPr>
                <w:rFonts w:eastAsia="Times New Roman" w:cs="Arial"/>
                <w:szCs w:val="20"/>
                <w:lang w:eastAsia="da-DK"/>
              </w:rPr>
            </w:pPr>
            <w:r w:rsidRPr="002B6C55">
              <w:rPr>
                <w:rFonts w:eastAsia="Times New Roman" w:cs="Arial"/>
                <w:szCs w:val="20"/>
                <w:lang w:eastAsia="da-DK"/>
              </w:rPr>
              <w:t>Hjalmarsgård 4</w:t>
            </w:r>
          </w:p>
        </w:tc>
        <w:tc>
          <w:tcPr>
            <w:tcW w:w="1701" w:type="dxa"/>
          </w:tcPr>
          <w:p w:rsidR="008930C4" w:rsidRPr="002B6C55" w:rsidRDefault="00DE3BF5" w:rsidP="00DE3BF5">
            <w:pPr>
              <w:spacing w:before="120" w:after="120" w:line="300" w:lineRule="atLeast"/>
              <w:contextualSpacing/>
              <w:rPr>
                <w:rFonts w:eastAsia="Times New Roman" w:cs="Arial"/>
                <w:szCs w:val="20"/>
                <w:lang w:eastAsia="da-DK"/>
              </w:rPr>
            </w:pPr>
            <w:r>
              <w:t xml:space="preserve">    </w:t>
            </w:r>
            <w:r w:rsidR="003233F6">
              <w:t>88680928</w:t>
            </w:r>
          </w:p>
        </w:tc>
        <w:tc>
          <w:tcPr>
            <w:tcW w:w="1418" w:type="dxa"/>
          </w:tcPr>
          <w:p w:rsidR="008930C4" w:rsidRPr="002B6C55" w:rsidRDefault="00DE3BF5" w:rsidP="00DE3BF5">
            <w:pPr>
              <w:spacing w:before="120" w:after="120" w:line="300" w:lineRule="atLeast"/>
              <w:contextualSpacing/>
              <w:rPr>
                <w:rFonts w:eastAsia="Times New Roman" w:cs="Arial"/>
                <w:szCs w:val="20"/>
                <w:lang w:eastAsia="da-DK"/>
              </w:rPr>
            </w:pPr>
            <w:r>
              <w:rPr>
                <w:rFonts w:eastAsia="Times New Roman" w:cs="Arial"/>
                <w:szCs w:val="20"/>
                <w:lang w:eastAsia="da-DK"/>
              </w:rPr>
              <w:t xml:space="preserve">  </w:t>
            </w:r>
            <w:r w:rsidR="003233F6">
              <w:rPr>
                <w:rFonts w:eastAsia="Times New Roman" w:cs="Arial"/>
                <w:szCs w:val="20"/>
                <w:lang w:eastAsia="da-DK"/>
              </w:rPr>
              <w:t>Svinebrug</w:t>
            </w:r>
          </w:p>
        </w:tc>
      </w:tr>
    </w:tbl>
    <w:p w:rsidR="00604638" w:rsidRPr="0021492B" w:rsidRDefault="002802F8" w:rsidP="0085500F">
      <w:pPr>
        <w:spacing w:before="120" w:after="120" w:line="240" w:lineRule="auto"/>
        <w:rPr>
          <w:rFonts w:eastAsia="Times New Roman" w:cs="Arial"/>
          <w:sz w:val="16"/>
          <w:szCs w:val="16"/>
          <w:lang w:eastAsia="da-DK"/>
        </w:rPr>
      </w:pPr>
      <w:r>
        <w:rPr>
          <w:rFonts w:eastAsia="Times New Roman" w:cs="Arial"/>
          <w:sz w:val="16"/>
          <w:szCs w:val="16"/>
          <w:vertAlign w:val="superscript"/>
          <w:lang w:eastAsia="da-DK"/>
        </w:rPr>
        <w:t>1</w:t>
      </w:r>
      <w:r w:rsidR="00DC1FF3">
        <w:rPr>
          <w:rFonts w:eastAsia="Times New Roman" w:cs="Arial"/>
          <w:sz w:val="16"/>
          <w:szCs w:val="16"/>
          <w:lang w:eastAsia="da-DK"/>
        </w:rPr>
        <w:t xml:space="preserve">: </w:t>
      </w:r>
      <w:r w:rsidR="0048257D" w:rsidRPr="00E3002F">
        <w:rPr>
          <w:sz w:val="16"/>
          <w:szCs w:val="16"/>
        </w:rPr>
        <w:t>IED husdyrbrug: husdyrbrug, der er omfattet af bilag 1 til bekendtgørelse om godkendelse af listevirksomhed, eller godkendt i henhold til § 12, stk. 1 nr. 1-3 i lov om miljøgodkendelse m.v. af husdyrbrug.</w:t>
      </w:r>
    </w:p>
    <w:p w:rsidR="009D3996" w:rsidRPr="0021492B" w:rsidRDefault="00DC1FF3" w:rsidP="000221FA">
      <w:pPr>
        <w:jc w:val="both"/>
        <w:rPr>
          <w:b/>
          <w:szCs w:val="20"/>
        </w:rPr>
      </w:pPr>
      <w:r>
        <w:rPr>
          <w:b/>
          <w:szCs w:val="20"/>
        </w:rPr>
        <w:lastRenderedPageBreak/>
        <w:t>Øvrige virksomheder og husdyrbrug</w:t>
      </w:r>
    </w:p>
    <w:p w:rsidR="004F0C83" w:rsidRPr="0021492B" w:rsidRDefault="00DC1FF3" w:rsidP="004F0C83">
      <w:pPr>
        <w:jc w:val="both"/>
        <w:rPr>
          <w:szCs w:val="20"/>
        </w:rPr>
      </w:pPr>
      <w:r>
        <w:rPr>
          <w:szCs w:val="20"/>
        </w:rPr>
        <w:t xml:space="preserve">Foruden ovennævnte IED-virksomheder og IED-husdyrbrug er der en række øvrige virksomheder og husdyrbrug, der føres miljøtilsyn med. Disse fremgår af Miljøtilsynsbekendtgørelsens § 1, stk. 2 og omfatter ca. </w:t>
      </w:r>
      <w:r w:rsidR="0048257D">
        <w:rPr>
          <w:szCs w:val="20"/>
        </w:rPr>
        <w:t>28</w:t>
      </w:r>
      <w:r w:rsidR="004363F8">
        <w:rPr>
          <w:szCs w:val="20"/>
        </w:rPr>
        <w:t xml:space="preserve"> </w:t>
      </w:r>
      <w:r>
        <w:rPr>
          <w:szCs w:val="20"/>
        </w:rPr>
        <w:t>virksomheder samt ca.</w:t>
      </w:r>
      <w:r w:rsidR="00AC6BEA">
        <w:rPr>
          <w:szCs w:val="20"/>
        </w:rPr>
        <w:t xml:space="preserve"> </w:t>
      </w:r>
      <w:r w:rsidR="005269DF">
        <w:rPr>
          <w:szCs w:val="20"/>
        </w:rPr>
        <w:t>28</w:t>
      </w:r>
      <w:r w:rsidR="00091C9F">
        <w:rPr>
          <w:szCs w:val="20"/>
        </w:rPr>
        <w:t xml:space="preserve"> landbrugsejendomme med et</w:t>
      </w:r>
      <w:r w:rsidR="0048257D">
        <w:rPr>
          <w:szCs w:val="20"/>
        </w:rPr>
        <w:t xml:space="preserve"> dyrehold, s</w:t>
      </w:r>
      <w:r>
        <w:rPr>
          <w:szCs w:val="20"/>
        </w:rPr>
        <w:t xml:space="preserve">om der </w:t>
      </w:r>
      <w:r w:rsidR="00DF26A2">
        <w:rPr>
          <w:szCs w:val="20"/>
        </w:rPr>
        <w:t xml:space="preserve">på Samsø </w:t>
      </w:r>
      <w:r>
        <w:rPr>
          <w:szCs w:val="20"/>
        </w:rPr>
        <w:t>fast føres tilsyn med.</w:t>
      </w:r>
    </w:p>
    <w:p w:rsidR="004F0C83" w:rsidRPr="0021492B" w:rsidRDefault="004F0C83" w:rsidP="000221FA">
      <w:pPr>
        <w:jc w:val="both"/>
        <w:rPr>
          <w:szCs w:val="20"/>
        </w:rPr>
      </w:pPr>
    </w:p>
    <w:p w:rsidR="001A3E71" w:rsidRPr="0021492B" w:rsidRDefault="00E23E4E" w:rsidP="000221FA">
      <w:pPr>
        <w:jc w:val="both"/>
        <w:rPr>
          <w:color w:val="000000" w:themeColor="text1"/>
          <w:szCs w:val="20"/>
        </w:rPr>
      </w:pPr>
      <w:r w:rsidRPr="00E23E4E">
        <w:rPr>
          <w:color w:val="000000" w:themeColor="text1"/>
          <w:szCs w:val="20"/>
        </w:rPr>
        <w:t xml:space="preserve">Ud af disse, </w:t>
      </w:r>
      <w:bookmarkStart w:id="0" w:name="_GoBack"/>
      <w:bookmarkEnd w:id="0"/>
      <w:r w:rsidRPr="005269DF">
        <w:rPr>
          <w:color w:val="000000" w:themeColor="text1"/>
          <w:szCs w:val="20"/>
        </w:rPr>
        <w:t xml:space="preserve">er </w:t>
      </w:r>
      <w:r w:rsidR="00DF65B2" w:rsidRPr="005269DF">
        <w:rPr>
          <w:color w:val="000000" w:themeColor="text1"/>
          <w:szCs w:val="20"/>
        </w:rPr>
        <w:t>5</w:t>
      </w:r>
      <w:r w:rsidR="00AC6BEA">
        <w:rPr>
          <w:color w:val="000000" w:themeColor="text1"/>
          <w:szCs w:val="20"/>
        </w:rPr>
        <w:t xml:space="preserve"> </w:t>
      </w:r>
      <w:r w:rsidRPr="00E23E4E">
        <w:rPr>
          <w:color w:val="000000" w:themeColor="text1"/>
          <w:szCs w:val="20"/>
        </w:rPr>
        <w:t xml:space="preserve">husdyrbrug miljøgodkendt efter husdyrbruglovens § 11 eller § 12 og </w:t>
      </w:r>
      <w:r w:rsidR="0048257D">
        <w:rPr>
          <w:color w:val="000000" w:themeColor="text1"/>
          <w:szCs w:val="20"/>
        </w:rPr>
        <w:t>9</w:t>
      </w:r>
      <w:r w:rsidRPr="00E23E4E">
        <w:rPr>
          <w:color w:val="000000" w:themeColor="text1"/>
          <w:szCs w:val="20"/>
        </w:rPr>
        <w:t xml:space="preserve"> virksomheder er miljøgodkendte fordi de er optaget på bilag 2 til bekendtgørelse om godkendelse af listevirksomhed. </w:t>
      </w:r>
    </w:p>
    <w:p w:rsidR="008930C4" w:rsidRDefault="008930C4" w:rsidP="000221FA">
      <w:pPr>
        <w:jc w:val="both"/>
        <w:rPr>
          <w:color w:val="000000" w:themeColor="text1"/>
          <w:szCs w:val="20"/>
        </w:rPr>
      </w:pPr>
    </w:p>
    <w:p w:rsidR="009F41EC" w:rsidRDefault="009F41EC" w:rsidP="000221FA">
      <w:pPr>
        <w:jc w:val="both"/>
        <w:rPr>
          <w:color w:val="000000" w:themeColor="text1"/>
          <w:szCs w:val="20"/>
        </w:rPr>
      </w:pPr>
    </w:p>
    <w:p w:rsidR="004E1F82" w:rsidRPr="0021492B" w:rsidRDefault="00E23E4E" w:rsidP="000221FA">
      <w:pPr>
        <w:jc w:val="both"/>
        <w:rPr>
          <w:b/>
          <w:color w:val="000000" w:themeColor="text1"/>
          <w:szCs w:val="20"/>
        </w:rPr>
      </w:pPr>
      <w:r w:rsidRPr="00E23E4E">
        <w:rPr>
          <w:b/>
          <w:color w:val="000000" w:themeColor="text1"/>
          <w:szCs w:val="20"/>
        </w:rPr>
        <w:t>Planlægning, tilrettelæggelse, indsats og gennemførelse af tilsyn</w:t>
      </w:r>
    </w:p>
    <w:p w:rsidR="00F92C97" w:rsidRPr="00E3002F" w:rsidRDefault="00F92C97" w:rsidP="00F92C97">
      <w:pPr>
        <w:jc w:val="both"/>
      </w:pPr>
      <w:r w:rsidRPr="00E3002F">
        <w:t xml:space="preserve">Tilsynet med virksomheder og husdyrbrug er tilrettelagt således, at tilsynsfrekvenserne i Miljøtilsynsbekendtgørelsen bliver overholdt. Det betyder, at miljøgodkendte virksomheder og husdyrbrug skal have et basistilsyn, der omfatter hele virksomheden mindst hvert 3. år samtidigt med, at mindst 40 % af disse skal have et fysisk tilsyn hvert år. Øvrige tilsynsvirksomheder og husdyrbrug skal have et tilsvarende basistilsyn mindst hvert 6. år, og mindst 25 % af disse skal have et fysisk tilsyn hvert år. Tilsynsrapporter for udførte miljøtilsyn offentliggøres på hjemmesiden </w:t>
      </w:r>
      <w:hyperlink r:id="rId6" w:history="1">
        <w:r w:rsidRPr="00E3002F">
          <w:rPr>
            <w:rStyle w:val="Hyperlink"/>
          </w:rPr>
          <w:t>https://dma.mst.dk/</w:t>
        </w:r>
      </w:hyperlink>
      <w:r w:rsidRPr="00E3002F">
        <w:t>.</w:t>
      </w:r>
    </w:p>
    <w:p w:rsidR="002D7E91" w:rsidRPr="0021492B" w:rsidRDefault="002D7E91" w:rsidP="000221FA">
      <w:pPr>
        <w:jc w:val="both"/>
        <w:rPr>
          <w:color w:val="000000" w:themeColor="text1"/>
        </w:rPr>
      </w:pPr>
    </w:p>
    <w:p w:rsidR="00EC30CB" w:rsidRPr="0021492B" w:rsidRDefault="00E23E4E" w:rsidP="000221FA">
      <w:pPr>
        <w:jc w:val="both"/>
        <w:rPr>
          <w:color w:val="000000" w:themeColor="text1"/>
        </w:rPr>
      </w:pPr>
      <w:r w:rsidRPr="00E23E4E">
        <w:rPr>
          <w:color w:val="000000" w:themeColor="text1"/>
        </w:rPr>
        <w:t>Tilsynsvirksomheder og husdyrbrug, der ikke er omfattet af ovennævnte gruppe, skal have et tilsvarende basistilsyn mindst hvert 6. år, og mindst 25 % af disse skal have et fysisk tilsyn hvert år.</w:t>
      </w:r>
    </w:p>
    <w:p w:rsidR="00EE75F4" w:rsidRPr="0021492B" w:rsidRDefault="00EE75F4" w:rsidP="000221FA">
      <w:pPr>
        <w:jc w:val="both"/>
        <w:rPr>
          <w:color w:val="000000" w:themeColor="text1"/>
        </w:rPr>
      </w:pPr>
    </w:p>
    <w:p w:rsidR="002935F4" w:rsidRPr="0021492B" w:rsidRDefault="00E23E4E" w:rsidP="000221FA">
      <w:pPr>
        <w:jc w:val="both"/>
        <w:rPr>
          <w:color w:val="000000" w:themeColor="text1"/>
        </w:rPr>
      </w:pPr>
      <w:r w:rsidRPr="00E23E4E">
        <w:rPr>
          <w:color w:val="000000" w:themeColor="text1"/>
        </w:rPr>
        <w:t xml:space="preserve">Foruden basistilsyn, gennemføres der prioriterede tilsyn, som bl.a. omfatter to årlige tilsynskampagner rettet mod en branche eller et miljøtema. Samlede konklusioner for tilsynskampagnerne offentliggøres en gang om året på </w:t>
      </w:r>
      <w:r w:rsidR="002F79EA">
        <w:rPr>
          <w:color w:val="000000" w:themeColor="text1"/>
        </w:rPr>
        <w:t xml:space="preserve">Samsø </w:t>
      </w:r>
      <w:r w:rsidRPr="00E23E4E">
        <w:rPr>
          <w:color w:val="000000" w:themeColor="text1"/>
        </w:rPr>
        <w:t>Kommunes hjemmeside.</w:t>
      </w:r>
    </w:p>
    <w:p w:rsidR="002935F4" w:rsidRPr="0021492B" w:rsidRDefault="002935F4" w:rsidP="000221FA">
      <w:pPr>
        <w:jc w:val="both"/>
        <w:rPr>
          <w:color w:val="000000" w:themeColor="text1"/>
        </w:rPr>
      </w:pPr>
    </w:p>
    <w:p w:rsidR="004E1F82" w:rsidRPr="0021492B" w:rsidRDefault="00E23E4E" w:rsidP="000221FA">
      <w:pPr>
        <w:jc w:val="both"/>
        <w:rPr>
          <w:color w:val="000000" w:themeColor="text1"/>
          <w:szCs w:val="20"/>
        </w:rPr>
      </w:pPr>
      <w:r w:rsidRPr="00E23E4E">
        <w:rPr>
          <w:color w:val="000000" w:themeColor="text1"/>
        </w:rPr>
        <w:t xml:space="preserve">Kendetegnende for tilsynsarbejdet er, at der ud over det kontrollerende element i tilsynet indgår en dialog med virksomhederne og husdyrbrugene, hvor det tilskyndes at have fokus på at minimere ressourceforbrug, ressourcespild og affaldsmængde samt anvende miljøvenlige produkter m.v. </w:t>
      </w:r>
    </w:p>
    <w:p w:rsidR="00EA6032" w:rsidRDefault="00EA6032" w:rsidP="000221FA">
      <w:pPr>
        <w:jc w:val="both"/>
        <w:rPr>
          <w:color w:val="000000" w:themeColor="text1"/>
          <w:szCs w:val="20"/>
        </w:rPr>
      </w:pPr>
    </w:p>
    <w:p w:rsidR="004E1F82" w:rsidRPr="0021492B" w:rsidRDefault="00E23E4E" w:rsidP="000221FA">
      <w:pPr>
        <w:autoSpaceDE w:val="0"/>
        <w:autoSpaceDN w:val="0"/>
        <w:adjustRightInd w:val="0"/>
        <w:jc w:val="both"/>
        <w:rPr>
          <w:rFonts w:cs="Arial"/>
          <w:b/>
          <w:bCs/>
          <w:color w:val="000000" w:themeColor="text1"/>
          <w:szCs w:val="20"/>
        </w:rPr>
      </w:pPr>
      <w:r w:rsidRPr="00E23E4E">
        <w:rPr>
          <w:rFonts w:cs="Arial"/>
          <w:b/>
          <w:bCs/>
          <w:color w:val="000000" w:themeColor="text1"/>
          <w:szCs w:val="20"/>
        </w:rPr>
        <w:t>Samarbejde med andre myndigheder</w:t>
      </w:r>
    </w:p>
    <w:p w:rsidR="00B22BE8" w:rsidRPr="0021492B" w:rsidRDefault="00E23E4E" w:rsidP="000221FA">
      <w:pPr>
        <w:autoSpaceDE w:val="0"/>
        <w:autoSpaceDN w:val="0"/>
        <w:adjustRightInd w:val="0"/>
        <w:jc w:val="both"/>
        <w:rPr>
          <w:rFonts w:cs="ArialMT"/>
          <w:color w:val="000000" w:themeColor="text1"/>
          <w:szCs w:val="20"/>
        </w:rPr>
      </w:pPr>
      <w:r w:rsidRPr="00E23E4E">
        <w:rPr>
          <w:rFonts w:cs="ArialMT"/>
          <w:color w:val="000000" w:themeColor="text1"/>
          <w:szCs w:val="20"/>
        </w:rPr>
        <w:t>Tilsynsarbejdet udføres i samarbejde med andr</w:t>
      </w:r>
      <w:r w:rsidR="002F79EA">
        <w:rPr>
          <w:rFonts w:cs="ArialMT"/>
          <w:color w:val="000000" w:themeColor="text1"/>
          <w:szCs w:val="20"/>
        </w:rPr>
        <w:t xml:space="preserve">e </w:t>
      </w:r>
      <w:r w:rsidR="007C4E73">
        <w:rPr>
          <w:rFonts w:cs="ArialMT"/>
          <w:color w:val="000000" w:themeColor="text1"/>
          <w:szCs w:val="20"/>
        </w:rPr>
        <w:t xml:space="preserve">forvaltninger og </w:t>
      </w:r>
      <w:r w:rsidR="002F79EA">
        <w:rPr>
          <w:rFonts w:cs="ArialMT"/>
          <w:color w:val="000000" w:themeColor="text1"/>
          <w:szCs w:val="20"/>
        </w:rPr>
        <w:t>myndigheder i det omfang et sådant samarbejde er re</w:t>
      </w:r>
      <w:r w:rsidR="007C4E73">
        <w:rPr>
          <w:rFonts w:cs="ArialMT"/>
          <w:color w:val="000000" w:themeColor="text1"/>
          <w:szCs w:val="20"/>
        </w:rPr>
        <w:t xml:space="preserve">levant. </w:t>
      </w:r>
    </w:p>
    <w:sectPr w:rsidR="00B22BE8" w:rsidRPr="0021492B" w:rsidSect="00564D41">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9A4E0B"/>
    <w:multiLevelType w:val="hybridMultilevel"/>
    <w:tmpl w:val="961A068E"/>
    <w:lvl w:ilvl="0" w:tplc="04060011">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472C2254"/>
    <w:multiLevelType w:val="hybridMultilevel"/>
    <w:tmpl w:val="352C3C50"/>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68722235"/>
    <w:multiLevelType w:val="hybridMultilevel"/>
    <w:tmpl w:val="4A4817FC"/>
    <w:lvl w:ilvl="0" w:tplc="B58C6E50">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F82"/>
    <w:rsid w:val="00005622"/>
    <w:rsid w:val="00006E25"/>
    <w:rsid w:val="00007C1D"/>
    <w:rsid w:val="00011533"/>
    <w:rsid w:val="00012CBD"/>
    <w:rsid w:val="00013E89"/>
    <w:rsid w:val="0001478D"/>
    <w:rsid w:val="00014891"/>
    <w:rsid w:val="00016431"/>
    <w:rsid w:val="00017DF1"/>
    <w:rsid w:val="00020494"/>
    <w:rsid w:val="000221FA"/>
    <w:rsid w:val="00024D89"/>
    <w:rsid w:val="00025C19"/>
    <w:rsid w:val="0002666A"/>
    <w:rsid w:val="00027126"/>
    <w:rsid w:val="000277FC"/>
    <w:rsid w:val="00030F6C"/>
    <w:rsid w:val="00031BF1"/>
    <w:rsid w:val="0003287F"/>
    <w:rsid w:val="000342AE"/>
    <w:rsid w:val="000368F6"/>
    <w:rsid w:val="000378B1"/>
    <w:rsid w:val="00040180"/>
    <w:rsid w:val="000402FA"/>
    <w:rsid w:val="000405AD"/>
    <w:rsid w:val="00040A21"/>
    <w:rsid w:val="000415A1"/>
    <w:rsid w:val="000417E9"/>
    <w:rsid w:val="00041D07"/>
    <w:rsid w:val="00042598"/>
    <w:rsid w:val="0004418F"/>
    <w:rsid w:val="00046735"/>
    <w:rsid w:val="00047ECC"/>
    <w:rsid w:val="00047EDB"/>
    <w:rsid w:val="00055E8D"/>
    <w:rsid w:val="0005618E"/>
    <w:rsid w:val="00057C2D"/>
    <w:rsid w:val="00060E87"/>
    <w:rsid w:val="00060ED5"/>
    <w:rsid w:val="0006295D"/>
    <w:rsid w:val="000648FD"/>
    <w:rsid w:val="0006561C"/>
    <w:rsid w:val="0006596B"/>
    <w:rsid w:val="0006786F"/>
    <w:rsid w:val="00070950"/>
    <w:rsid w:val="00071DA8"/>
    <w:rsid w:val="00072DF2"/>
    <w:rsid w:val="000740A4"/>
    <w:rsid w:val="0007727E"/>
    <w:rsid w:val="000815D5"/>
    <w:rsid w:val="00081B03"/>
    <w:rsid w:val="00081F03"/>
    <w:rsid w:val="00084BFA"/>
    <w:rsid w:val="00084F24"/>
    <w:rsid w:val="00085CFD"/>
    <w:rsid w:val="00090D2B"/>
    <w:rsid w:val="00091C9F"/>
    <w:rsid w:val="000920B4"/>
    <w:rsid w:val="00094681"/>
    <w:rsid w:val="00094E83"/>
    <w:rsid w:val="0009672A"/>
    <w:rsid w:val="000969B3"/>
    <w:rsid w:val="00097582"/>
    <w:rsid w:val="0009774C"/>
    <w:rsid w:val="000A0EF8"/>
    <w:rsid w:val="000A32D1"/>
    <w:rsid w:val="000A3E6A"/>
    <w:rsid w:val="000A7ECE"/>
    <w:rsid w:val="000B0412"/>
    <w:rsid w:val="000B0F0E"/>
    <w:rsid w:val="000B100B"/>
    <w:rsid w:val="000B2ED1"/>
    <w:rsid w:val="000B3092"/>
    <w:rsid w:val="000B3C8D"/>
    <w:rsid w:val="000B42C2"/>
    <w:rsid w:val="000B42CB"/>
    <w:rsid w:val="000C1501"/>
    <w:rsid w:val="000C30A4"/>
    <w:rsid w:val="000C59B1"/>
    <w:rsid w:val="000D0BA8"/>
    <w:rsid w:val="000D187F"/>
    <w:rsid w:val="000D30AE"/>
    <w:rsid w:val="000D3281"/>
    <w:rsid w:val="000D3B81"/>
    <w:rsid w:val="000D6BD2"/>
    <w:rsid w:val="000D76D6"/>
    <w:rsid w:val="000E034C"/>
    <w:rsid w:val="000E2CF4"/>
    <w:rsid w:val="000E6367"/>
    <w:rsid w:val="000F0F0E"/>
    <w:rsid w:val="000F3391"/>
    <w:rsid w:val="000F5772"/>
    <w:rsid w:val="000F6A23"/>
    <w:rsid w:val="00100D32"/>
    <w:rsid w:val="001013D1"/>
    <w:rsid w:val="00102336"/>
    <w:rsid w:val="00104EBD"/>
    <w:rsid w:val="00105497"/>
    <w:rsid w:val="0010634E"/>
    <w:rsid w:val="00110CB9"/>
    <w:rsid w:val="00111DAF"/>
    <w:rsid w:val="00113049"/>
    <w:rsid w:val="0011398A"/>
    <w:rsid w:val="001219A4"/>
    <w:rsid w:val="00122EC7"/>
    <w:rsid w:val="00122F42"/>
    <w:rsid w:val="00123924"/>
    <w:rsid w:val="001241C1"/>
    <w:rsid w:val="00126BEB"/>
    <w:rsid w:val="00133448"/>
    <w:rsid w:val="00134436"/>
    <w:rsid w:val="00135210"/>
    <w:rsid w:val="00136A80"/>
    <w:rsid w:val="001373BC"/>
    <w:rsid w:val="00137CD0"/>
    <w:rsid w:val="00137DCC"/>
    <w:rsid w:val="00140D5A"/>
    <w:rsid w:val="00141358"/>
    <w:rsid w:val="001414FB"/>
    <w:rsid w:val="00141B56"/>
    <w:rsid w:val="001438D8"/>
    <w:rsid w:val="001446A4"/>
    <w:rsid w:val="00147A70"/>
    <w:rsid w:val="00147F53"/>
    <w:rsid w:val="00152300"/>
    <w:rsid w:val="00155649"/>
    <w:rsid w:val="001562BC"/>
    <w:rsid w:val="00162835"/>
    <w:rsid w:val="00164093"/>
    <w:rsid w:val="0016418A"/>
    <w:rsid w:val="001663E1"/>
    <w:rsid w:val="00167DEB"/>
    <w:rsid w:val="0017440D"/>
    <w:rsid w:val="00174871"/>
    <w:rsid w:val="00174C1B"/>
    <w:rsid w:val="001755A3"/>
    <w:rsid w:val="0017696C"/>
    <w:rsid w:val="00176ADE"/>
    <w:rsid w:val="00183BE4"/>
    <w:rsid w:val="00185EE0"/>
    <w:rsid w:val="00186083"/>
    <w:rsid w:val="00191524"/>
    <w:rsid w:val="00193C37"/>
    <w:rsid w:val="00194655"/>
    <w:rsid w:val="00194AA6"/>
    <w:rsid w:val="001954D8"/>
    <w:rsid w:val="00195A7A"/>
    <w:rsid w:val="00196C4C"/>
    <w:rsid w:val="001A1156"/>
    <w:rsid w:val="001A3E71"/>
    <w:rsid w:val="001A573E"/>
    <w:rsid w:val="001B1508"/>
    <w:rsid w:val="001B6568"/>
    <w:rsid w:val="001B6706"/>
    <w:rsid w:val="001B75C9"/>
    <w:rsid w:val="001C0875"/>
    <w:rsid w:val="001C5DC5"/>
    <w:rsid w:val="001C74C7"/>
    <w:rsid w:val="001C7D2C"/>
    <w:rsid w:val="001D013D"/>
    <w:rsid w:val="001D018C"/>
    <w:rsid w:val="001D13B7"/>
    <w:rsid w:val="001D25F1"/>
    <w:rsid w:val="001D29D6"/>
    <w:rsid w:val="001D58C0"/>
    <w:rsid w:val="001D6BAC"/>
    <w:rsid w:val="001D775A"/>
    <w:rsid w:val="001E008A"/>
    <w:rsid w:val="001E1A02"/>
    <w:rsid w:val="001E4A1F"/>
    <w:rsid w:val="001E63B6"/>
    <w:rsid w:val="001F38D9"/>
    <w:rsid w:val="001F41CE"/>
    <w:rsid w:val="001F43D5"/>
    <w:rsid w:val="001F4F2E"/>
    <w:rsid w:val="001F64B0"/>
    <w:rsid w:val="00203032"/>
    <w:rsid w:val="002060C1"/>
    <w:rsid w:val="00206B3B"/>
    <w:rsid w:val="0020733B"/>
    <w:rsid w:val="002137E5"/>
    <w:rsid w:val="0021492B"/>
    <w:rsid w:val="00215089"/>
    <w:rsid w:val="00216CEE"/>
    <w:rsid w:val="00217273"/>
    <w:rsid w:val="0021752F"/>
    <w:rsid w:val="0021797C"/>
    <w:rsid w:val="00222CF1"/>
    <w:rsid w:val="00223EEB"/>
    <w:rsid w:val="00226002"/>
    <w:rsid w:val="002321FE"/>
    <w:rsid w:val="00232DBD"/>
    <w:rsid w:val="002331AF"/>
    <w:rsid w:val="00233CB5"/>
    <w:rsid w:val="00245E1D"/>
    <w:rsid w:val="002479E0"/>
    <w:rsid w:val="00247B84"/>
    <w:rsid w:val="00251790"/>
    <w:rsid w:val="00253B5C"/>
    <w:rsid w:val="002540DB"/>
    <w:rsid w:val="0025430D"/>
    <w:rsid w:val="002575D2"/>
    <w:rsid w:val="00261B3E"/>
    <w:rsid w:val="00263740"/>
    <w:rsid w:val="00266D3F"/>
    <w:rsid w:val="00267BD9"/>
    <w:rsid w:val="00267CF0"/>
    <w:rsid w:val="002723CE"/>
    <w:rsid w:val="002730CF"/>
    <w:rsid w:val="002768AE"/>
    <w:rsid w:val="0027706C"/>
    <w:rsid w:val="002802F8"/>
    <w:rsid w:val="00280ABA"/>
    <w:rsid w:val="00282068"/>
    <w:rsid w:val="00282B57"/>
    <w:rsid w:val="002841CA"/>
    <w:rsid w:val="00285826"/>
    <w:rsid w:val="00285897"/>
    <w:rsid w:val="00287221"/>
    <w:rsid w:val="00290185"/>
    <w:rsid w:val="002932D4"/>
    <w:rsid w:val="002935F4"/>
    <w:rsid w:val="002949FF"/>
    <w:rsid w:val="002A0235"/>
    <w:rsid w:val="002A089A"/>
    <w:rsid w:val="002A0B82"/>
    <w:rsid w:val="002A0FB8"/>
    <w:rsid w:val="002A1574"/>
    <w:rsid w:val="002B0F2E"/>
    <w:rsid w:val="002B1E5F"/>
    <w:rsid w:val="002B2782"/>
    <w:rsid w:val="002B3264"/>
    <w:rsid w:val="002B3D59"/>
    <w:rsid w:val="002B5F6C"/>
    <w:rsid w:val="002B6256"/>
    <w:rsid w:val="002B6C55"/>
    <w:rsid w:val="002C012E"/>
    <w:rsid w:val="002C19EA"/>
    <w:rsid w:val="002C1A0B"/>
    <w:rsid w:val="002C3F93"/>
    <w:rsid w:val="002C4910"/>
    <w:rsid w:val="002C55DF"/>
    <w:rsid w:val="002C71D0"/>
    <w:rsid w:val="002D4131"/>
    <w:rsid w:val="002D4F24"/>
    <w:rsid w:val="002D7E91"/>
    <w:rsid w:val="002E26AD"/>
    <w:rsid w:val="002E2CC7"/>
    <w:rsid w:val="002E2D4B"/>
    <w:rsid w:val="002E52E9"/>
    <w:rsid w:val="002E6773"/>
    <w:rsid w:val="002F01B4"/>
    <w:rsid w:val="002F19E5"/>
    <w:rsid w:val="002F3B36"/>
    <w:rsid w:val="002F5A4B"/>
    <w:rsid w:val="002F6499"/>
    <w:rsid w:val="002F654F"/>
    <w:rsid w:val="002F79EA"/>
    <w:rsid w:val="00300BB6"/>
    <w:rsid w:val="00301920"/>
    <w:rsid w:val="0030205E"/>
    <w:rsid w:val="00304A51"/>
    <w:rsid w:val="0030508A"/>
    <w:rsid w:val="00305EB7"/>
    <w:rsid w:val="003061B7"/>
    <w:rsid w:val="00307078"/>
    <w:rsid w:val="00307DDC"/>
    <w:rsid w:val="003108EE"/>
    <w:rsid w:val="00310B36"/>
    <w:rsid w:val="00312CF6"/>
    <w:rsid w:val="00313DEF"/>
    <w:rsid w:val="00315E6B"/>
    <w:rsid w:val="00316E23"/>
    <w:rsid w:val="00317CBD"/>
    <w:rsid w:val="00320C4C"/>
    <w:rsid w:val="003225AD"/>
    <w:rsid w:val="003233F6"/>
    <w:rsid w:val="003237B9"/>
    <w:rsid w:val="00324210"/>
    <w:rsid w:val="00325AED"/>
    <w:rsid w:val="00325FA2"/>
    <w:rsid w:val="00331302"/>
    <w:rsid w:val="00331350"/>
    <w:rsid w:val="00335D4F"/>
    <w:rsid w:val="00337564"/>
    <w:rsid w:val="003411BA"/>
    <w:rsid w:val="00341510"/>
    <w:rsid w:val="00342873"/>
    <w:rsid w:val="00343401"/>
    <w:rsid w:val="00344278"/>
    <w:rsid w:val="00344714"/>
    <w:rsid w:val="00345F29"/>
    <w:rsid w:val="003468F4"/>
    <w:rsid w:val="00350F29"/>
    <w:rsid w:val="003519AF"/>
    <w:rsid w:val="00352269"/>
    <w:rsid w:val="003564B2"/>
    <w:rsid w:val="00356C86"/>
    <w:rsid w:val="00356E5E"/>
    <w:rsid w:val="00357159"/>
    <w:rsid w:val="0036055F"/>
    <w:rsid w:val="003645A0"/>
    <w:rsid w:val="003655C7"/>
    <w:rsid w:val="00367F50"/>
    <w:rsid w:val="00372AE8"/>
    <w:rsid w:val="00373A2D"/>
    <w:rsid w:val="00375EA5"/>
    <w:rsid w:val="00377355"/>
    <w:rsid w:val="00377662"/>
    <w:rsid w:val="00381214"/>
    <w:rsid w:val="00382520"/>
    <w:rsid w:val="003844B3"/>
    <w:rsid w:val="0038489E"/>
    <w:rsid w:val="00393628"/>
    <w:rsid w:val="003971B2"/>
    <w:rsid w:val="003A0865"/>
    <w:rsid w:val="003A2B20"/>
    <w:rsid w:val="003A2F2B"/>
    <w:rsid w:val="003A7237"/>
    <w:rsid w:val="003A7C0F"/>
    <w:rsid w:val="003B245D"/>
    <w:rsid w:val="003B383B"/>
    <w:rsid w:val="003B5FEA"/>
    <w:rsid w:val="003B7BB3"/>
    <w:rsid w:val="003C1640"/>
    <w:rsid w:val="003C180B"/>
    <w:rsid w:val="003C3358"/>
    <w:rsid w:val="003C413F"/>
    <w:rsid w:val="003C4999"/>
    <w:rsid w:val="003C520E"/>
    <w:rsid w:val="003C64F2"/>
    <w:rsid w:val="003C7240"/>
    <w:rsid w:val="003C7D43"/>
    <w:rsid w:val="003D5D0D"/>
    <w:rsid w:val="003D78A3"/>
    <w:rsid w:val="003E0009"/>
    <w:rsid w:val="003E141F"/>
    <w:rsid w:val="003E1E10"/>
    <w:rsid w:val="003E2020"/>
    <w:rsid w:val="003E4348"/>
    <w:rsid w:val="003E5246"/>
    <w:rsid w:val="003E5491"/>
    <w:rsid w:val="003E5757"/>
    <w:rsid w:val="003E60C5"/>
    <w:rsid w:val="003E7D24"/>
    <w:rsid w:val="003F0563"/>
    <w:rsid w:val="003F1882"/>
    <w:rsid w:val="003F46C8"/>
    <w:rsid w:val="003F4E12"/>
    <w:rsid w:val="00400A26"/>
    <w:rsid w:val="00400C45"/>
    <w:rsid w:val="0040120F"/>
    <w:rsid w:val="00406D44"/>
    <w:rsid w:val="00410524"/>
    <w:rsid w:val="0041260F"/>
    <w:rsid w:val="00413892"/>
    <w:rsid w:val="00413B54"/>
    <w:rsid w:val="00413E55"/>
    <w:rsid w:val="0041447A"/>
    <w:rsid w:val="00420406"/>
    <w:rsid w:val="00421783"/>
    <w:rsid w:val="00422736"/>
    <w:rsid w:val="00422A29"/>
    <w:rsid w:val="004230F5"/>
    <w:rsid w:val="00424F3F"/>
    <w:rsid w:val="0042554D"/>
    <w:rsid w:val="00426978"/>
    <w:rsid w:val="00426A4B"/>
    <w:rsid w:val="004316DA"/>
    <w:rsid w:val="00432843"/>
    <w:rsid w:val="0043392C"/>
    <w:rsid w:val="004363F8"/>
    <w:rsid w:val="0043788F"/>
    <w:rsid w:val="0044430C"/>
    <w:rsid w:val="00444FF5"/>
    <w:rsid w:val="00446A57"/>
    <w:rsid w:val="004512C9"/>
    <w:rsid w:val="0045237D"/>
    <w:rsid w:val="00457BCE"/>
    <w:rsid w:val="0046067C"/>
    <w:rsid w:val="00462393"/>
    <w:rsid w:val="00463262"/>
    <w:rsid w:val="00464F3E"/>
    <w:rsid w:val="00472D24"/>
    <w:rsid w:val="004731C2"/>
    <w:rsid w:val="0047326A"/>
    <w:rsid w:val="00473C8E"/>
    <w:rsid w:val="004745A8"/>
    <w:rsid w:val="00474D4B"/>
    <w:rsid w:val="00475782"/>
    <w:rsid w:val="00476E05"/>
    <w:rsid w:val="0048020E"/>
    <w:rsid w:val="004807E2"/>
    <w:rsid w:val="00480812"/>
    <w:rsid w:val="0048257D"/>
    <w:rsid w:val="00484B43"/>
    <w:rsid w:val="0049476C"/>
    <w:rsid w:val="004967AB"/>
    <w:rsid w:val="00497C8B"/>
    <w:rsid w:val="004A0ACE"/>
    <w:rsid w:val="004A4CCD"/>
    <w:rsid w:val="004A6992"/>
    <w:rsid w:val="004A6D54"/>
    <w:rsid w:val="004B083B"/>
    <w:rsid w:val="004B5B30"/>
    <w:rsid w:val="004B6E3E"/>
    <w:rsid w:val="004C039D"/>
    <w:rsid w:val="004C069B"/>
    <w:rsid w:val="004C2AA6"/>
    <w:rsid w:val="004C35A5"/>
    <w:rsid w:val="004C75B0"/>
    <w:rsid w:val="004C7C31"/>
    <w:rsid w:val="004C7FE3"/>
    <w:rsid w:val="004D1422"/>
    <w:rsid w:val="004E04B5"/>
    <w:rsid w:val="004E1867"/>
    <w:rsid w:val="004E1F82"/>
    <w:rsid w:val="004E314F"/>
    <w:rsid w:val="004E3A0F"/>
    <w:rsid w:val="004E541B"/>
    <w:rsid w:val="004E58E0"/>
    <w:rsid w:val="004E674A"/>
    <w:rsid w:val="004E6D36"/>
    <w:rsid w:val="004F0C83"/>
    <w:rsid w:val="004F1199"/>
    <w:rsid w:val="004F266D"/>
    <w:rsid w:val="004F3016"/>
    <w:rsid w:val="004F48F5"/>
    <w:rsid w:val="004F66F8"/>
    <w:rsid w:val="004F6BC5"/>
    <w:rsid w:val="0050025D"/>
    <w:rsid w:val="00500AB9"/>
    <w:rsid w:val="00500D2C"/>
    <w:rsid w:val="0050140F"/>
    <w:rsid w:val="00504549"/>
    <w:rsid w:val="00507674"/>
    <w:rsid w:val="00511173"/>
    <w:rsid w:val="0051120C"/>
    <w:rsid w:val="0051159E"/>
    <w:rsid w:val="00512366"/>
    <w:rsid w:val="00512C7A"/>
    <w:rsid w:val="0051664D"/>
    <w:rsid w:val="00517F9F"/>
    <w:rsid w:val="0052119A"/>
    <w:rsid w:val="00522148"/>
    <w:rsid w:val="0052399B"/>
    <w:rsid w:val="0052442E"/>
    <w:rsid w:val="00524FD4"/>
    <w:rsid w:val="005269DF"/>
    <w:rsid w:val="00526C0D"/>
    <w:rsid w:val="005339A4"/>
    <w:rsid w:val="005345FC"/>
    <w:rsid w:val="00534E31"/>
    <w:rsid w:val="00537538"/>
    <w:rsid w:val="00540364"/>
    <w:rsid w:val="00540EBD"/>
    <w:rsid w:val="0054105B"/>
    <w:rsid w:val="005425BF"/>
    <w:rsid w:val="00542737"/>
    <w:rsid w:val="00542856"/>
    <w:rsid w:val="0054290C"/>
    <w:rsid w:val="00542CEE"/>
    <w:rsid w:val="00544872"/>
    <w:rsid w:val="0054611A"/>
    <w:rsid w:val="00546371"/>
    <w:rsid w:val="00547AE6"/>
    <w:rsid w:val="00547D2A"/>
    <w:rsid w:val="00550B80"/>
    <w:rsid w:val="00551D90"/>
    <w:rsid w:val="00552A03"/>
    <w:rsid w:val="00552DC7"/>
    <w:rsid w:val="00553536"/>
    <w:rsid w:val="0055484F"/>
    <w:rsid w:val="00555398"/>
    <w:rsid w:val="005556FF"/>
    <w:rsid w:val="00561CB7"/>
    <w:rsid w:val="0056384D"/>
    <w:rsid w:val="00564D41"/>
    <w:rsid w:val="00567C02"/>
    <w:rsid w:val="00567CAB"/>
    <w:rsid w:val="005705E6"/>
    <w:rsid w:val="005716E6"/>
    <w:rsid w:val="00577C60"/>
    <w:rsid w:val="00580367"/>
    <w:rsid w:val="00580605"/>
    <w:rsid w:val="00582AFB"/>
    <w:rsid w:val="00584BB5"/>
    <w:rsid w:val="0058586F"/>
    <w:rsid w:val="00591F60"/>
    <w:rsid w:val="00594E0B"/>
    <w:rsid w:val="00597F80"/>
    <w:rsid w:val="005A030D"/>
    <w:rsid w:val="005A21F0"/>
    <w:rsid w:val="005A2235"/>
    <w:rsid w:val="005A2758"/>
    <w:rsid w:val="005A2B7E"/>
    <w:rsid w:val="005A4FEF"/>
    <w:rsid w:val="005A5659"/>
    <w:rsid w:val="005A642F"/>
    <w:rsid w:val="005A64B3"/>
    <w:rsid w:val="005A7D33"/>
    <w:rsid w:val="005B4655"/>
    <w:rsid w:val="005B4D93"/>
    <w:rsid w:val="005B5178"/>
    <w:rsid w:val="005B550C"/>
    <w:rsid w:val="005B584A"/>
    <w:rsid w:val="005B6ED7"/>
    <w:rsid w:val="005C1420"/>
    <w:rsid w:val="005C6548"/>
    <w:rsid w:val="005C7F37"/>
    <w:rsid w:val="005D3E4D"/>
    <w:rsid w:val="005D3E5A"/>
    <w:rsid w:val="005D6107"/>
    <w:rsid w:val="005D6B97"/>
    <w:rsid w:val="005D7C4B"/>
    <w:rsid w:val="005E216F"/>
    <w:rsid w:val="005E296F"/>
    <w:rsid w:val="005E3508"/>
    <w:rsid w:val="005E3C0E"/>
    <w:rsid w:val="005E4033"/>
    <w:rsid w:val="005E73A2"/>
    <w:rsid w:val="005E7A33"/>
    <w:rsid w:val="005F24A7"/>
    <w:rsid w:val="005F3140"/>
    <w:rsid w:val="005F38C9"/>
    <w:rsid w:val="005F4ACC"/>
    <w:rsid w:val="005F4DD2"/>
    <w:rsid w:val="005F5124"/>
    <w:rsid w:val="00601D63"/>
    <w:rsid w:val="00602A8E"/>
    <w:rsid w:val="00604638"/>
    <w:rsid w:val="00607696"/>
    <w:rsid w:val="0061101E"/>
    <w:rsid w:val="0061120C"/>
    <w:rsid w:val="00611D84"/>
    <w:rsid w:val="00611DDB"/>
    <w:rsid w:val="00614A77"/>
    <w:rsid w:val="00615581"/>
    <w:rsid w:val="006158D2"/>
    <w:rsid w:val="00616A6F"/>
    <w:rsid w:val="00623227"/>
    <w:rsid w:val="00623D54"/>
    <w:rsid w:val="0062477D"/>
    <w:rsid w:val="00624D24"/>
    <w:rsid w:val="006253FF"/>
    <w:rsid w:val="006308A2"/>
    <w:rsid w:val="00631C7F"/>
    <w:rsid w:val="00635C82"/>
    <w:rsid w:val="00637F00"/>
    <w:rsid w:val="006403B9"/>
    <w:rsid w:val="0064086F"/>
    <w:rsid w:val="00641627"/>
    <w:rsid w:val="00642C48"/>
    <w:rsid w:val="006456AA"/>
    <w:rsid w:val="006456BE"/>
    <w:rsid w:val="00646377"/>
    <w:rsid w:val="006467A3"/>
    <w:rsid w:val="00653E05"/>
    <w:rsid w:val="00656A67"/>
    <w:rsid w:val="006575DE"/>
    <w:rsid w:val="006575F1"/>
    <w:rsid w:val="00657A24"/>
    <w:rsid w:val="0066073B"/>
    <w:rsid w:val="006630FA"/>
    <w:rsid w:val="00665675"/>
    <w:rsid w:val="006722E4"/>
    <w:rsid w:val="0067257C"/>
    <w:rsid w:val="0067259C"/>
    <w:rsid w:val="00681F59"/>
    <w:rsid w:val="00682B05"/>
    <w:rsid w:val="00683064"/>
    <w:rsid w:val="006855F4"/>
    <w:rsid w:val="00691F4F"/>
    <w:rsid w:val="00691F83"/>
    <w:rsid w:val="00693997"/>
    <w:rsid w:val="006943DC"/>
    <w:rsid w:val="006A14C6"/>
    <w:rsid w:val="006A41F3"/>
    <w:rsid w:val="006A521D"/>
    <w:rsid w:val="006A60E0"/>
    <w:rsid w:val="006A68B9"/>
    <w:rsid w:val="006A7638"/>
    <w:rsid w:val="006B2710"/>
    <w:rsid w:val="006B54DD"/>
    <w:rsid w:val="006B6CC5"/>
    <w:rsid w:val="006B6DEE"/>
    <w:rsid w:val="006C16F3"/>
    <w:rsid w:val="006C1B31"/>
    <w:rsid w:val="006C2CDB"/>
    <w:rsid w:val="006C2FED"/>
    <w:rsid w:val="006C3E89"/>
    <w:rsid w:val="006C4121"/>
    <w:rsid w:val="006C4400"/>
    <w:rsid w:val="006C478A"/>
    <w:rsid w:val="006C4837"/>
    <w:rsid w:val="006C6EF2"/>
    <w:rsid w:val="006D053F"/>
    <w:rsid w:val="006D28D7"/>
    <w:rsid w:val="006D39C7"/>
    <w:rsid w:val="006D3BF9"/>
    <w:rsid w:val="006D6E86"/>
    <w:rsid w:val="006D762F"/>
    <w:rsid w:val="006E1241"/>
    <w:rsid w:val="006E2F2A"/>
    <w:rsid w:val="006E35CF"/>
    <w:rsid w:val="006E36AE"/>
    <w:rsid w:val="006E49F6"/>
    <w:rsid w:val="006E61BD"/>
    <w:rsid w:val="006E62F1"/>
    <w:rsid w:val="006E6A29"/>
    <w:rsid w:val="006E6B3B"/>
    <w:rsid w:val="006E7BFE"/>
    <w:rsid w:val="006F0EC3"/>
    <w:rsid w:val="006F2229"/>
    <w:rsid w:val="006F2AAD"/>
    <w:rsid w:val="006F6A2C"/>
    <w:rsid w:val="006F732E"/>
    <w:rsid w:val="00700359"/>
    <w:rsid w:val="00703BCF"/>
    <w:rsid w:val="00704298"/>
    <w:rsid w:val="00711CB3"/>
    <w:rsid w:val="007144C4"/>
    <w:rsid w:val="007158FB"/>
    <w:rsid w:val="00720AEB"/>
    <w:rsid w:val="00724FC3"/>
    <w:rsid w:val="0072631C"/>
    <w:rsid w:val="00732F47"/>
    <w:rsid w:val="00740198"/>
    <w:rsid w:val="00740422"/>
    <w:rsid w:val="007405C3"/>
    <w:rsid w:val="00741119"/>
    <w:rsid w:val="00742F9B"/>
    <w:rsid w:val="0074509A"/>
    <w:rsid w:val="0074549B"/>
    <w:rsid w:val="00746366"/>
    <w:rsid w:val="00752553"/>
    <w:rsid w:val="00754C8A"/>
    <w:rsid w:val="00756491"/>
    <w:rsid w:val="0075652F"/>
    <w:rsid w:val="00756DA2"/>
    <w:rsid w:val="007571A7"/>
    <w:rsid w:val="007635AD"/>
    <w:rsid w:val="00765BC3"/>
    <w:rsid w:val="00772C9D"/>
    <w:rsid w:val="00775A58"/>
    <w:rsid w:val="007800A9"/>
    <w:rsid w:val="007816A4"/>
    <w:rsid w:val="007843AE"/>
    <w:rsid w:val="0078441C"/>
    <w:rsid w:val="007856F9"/>
    <w:rsid w:val="00786C3C"/>
    <w:rsid w:val="00791069"/>
    <w:rsid w:val="0079193E"/>
    <w:rsid w:val="00793052"/>
    <w:rsid w:val="007959B0"/>
    <w:rsid w:val="0079663A"/>
    <w:rsid w:val="00797B46"/>
    <w:rsid w:val="007A44A1"/>
    <w:rsid w:val="007A474D"/>
    <w:rsid w:val="007A56DA"/>
    <w:rsid w:val="007A6E6A"/>
    <w:rsid w:val="007B762B"/>
    <w:rsid w:val="007B7AEE"/>
    <w:rsid w:val="007C1046"/>
    <w:rsid w:val="007C1B4E"/>
    <w:rsid w:val="007C2920"/>
    <w:rsid w:val="007C4E73"/>
    <w:rsid w:val="007C5154"/>
    <w:rsid w:val="007C6278"/>
    <w:rsid w:val="007D1FFF"/>
    <w:rsid w:val="007D26BF"/>
    <w:rsid w:val="007D4E20"/>
    <w:rsid w:val="007D6782"/>
    <w:rsid w:val="007E001A"/>
    <w:rsid w:val="007E0CF2"/>
    <w:rsid w:val="007E23F3"/>
    <w:rsid w:val="007E2D3F"/>
    <w:rsid w:val="007E3378"/>
    <w:rsid w:val="007E3B5D"/>
    <w:rsid w:val="007E6EBA"/>
    <w:rsid w:val="007F4B94"/>
    <w:rsid w:val="007F5CBA"/>
    <w:rsid w:val="007F637C"/>
    <w:rsid w:val="007F730B"/>
    <w:rsid w:val="00807BCE"/>
    <w:rsid w:val="00807EC4"/>
    <w:rsid w:val="00811EBD"/>
    <w:rsid w:val="00814750"/>
    <w:rsid w:val="00814D50"/>
    <w:rsid w:val="00817026"/>
    <w:rsid w:val="00821E02"/>
    <w:rsid w:val="00825C56"/>
    <w:rsid w:val="008337B8"/>
    <w:rsid w:val="00834924"/>
    <w:rsid w:val="00834A9E"/>
    <w:rsid w:val="0083665B"/>
    <w:rsid w:val="00837199"/>
    <w:rsid w:val="00842B8A"/>
    <w:rsid w:val="00843A7C"/>
    <w:rsid w:val="0085107A"/>
    <w:rsid w:val="008513F6"/>
    <w:rsid w:val="00852720"/>
    <w:rsid w:val="00854262"/>
    <w:rsid w:val="00854938"/>
    <w:rsid w:val="0085500F"/>
    <w:rsid w:val="00855FBC"/>
    <w:rsid w:val="00860442"/>
    <w:rsid w:val="00864B05"/>
    <w:rsid w:val="00865013"/>
    <w:rsid w:val="0086764D"/>
    <w:rsid w:val="0086778A"/>
    <w:rsid w:val="008700D5"/>
    <w:rsid w:val="00870796"/>
    <w:rsid w:val="00870BC6"/>
    <w:rsid w:val="00871117"/>
    <w:rsid w:val="00873BB9"/>
    <w:rsid w:val="00875EEF"/>
    <w:rsid w:val="00876D36"/>
    <w:rsid w:val="00880B94"/>
    <w:rsid w:val="00881180"/>
    <w:rsid w:val="00885F73"/>
    <w:rsid w:val="0088602F"/>
    <w:rsid w:val="008861E5"/>
    <w:rsid w:val="00886FD9"/>
    <w:rsid w:val="00887F99"/>
    <w:rsid w:val="00890DDA"/>
    <w:rsid w:val="008930C4"/>
    <w:rsid w:val="00893536"/>
    <w:rsid w:val="00896BD2"/>
    <w:rsid w:val="008A017D"/>
    <w:rsid w:val="008A4480"/>
    <w:rsid w:val="008A5CD7"/>
    <w:rsid w:val="008A611E"/>
    <w:rsid w:val="008A67FE"/>
    <w:rsid w:val="008B196E"/>
    <w:rsid w:val="008B5C80"/>
    <w:rsid w:val="008C3A06"/>
    <w:rsid w:val="008C4844"/>
    <w:rsid w:val="008C5320"/>
    <w:rsid w:val="008C6259"/>
    <w:rsid w:val="008C71B8"/>
    <w:rsid w:val="008D4318"/>
    <w:rsid w:val="008D53AF"/>
    <w:rsid w:val="008D636B"/>
    <w:rsid w:val="008E0101"/>
    <w:rsid w:val="008E24A4"/>
    <w:rsid w:val="008E6268"/>
    <w:rsid w:val="008E67D4"/>
    <w:rsid w:val="008E6B1B"/>
    <w:rsid w:val="008F09FD"/>
    <w:rsid w:val="008F1472"/>
    <w:rsid w:val="008F3897"/>
    <w:rsid w:val="008F40F3"/>
    <w:rsid w:val="008F7B57"/>
    <w:rsid w:val="00900763"/>
    <w:rsid w:val="00902ED6"/>
    <w:rsid w:val="00903782"/>
    <w:rsid w:val="00903D29"/>
    <w:rsid w:val="00904339"/>
    <w:rsid w:val="00905B8E"/>
    <w:rsid w:val="00906114"/>
    <w:rsid w:val="009064CC"/>
    <w:rsid w:val="00910BA4"/>
    <w:rsid w:val="0091690E"/>
    <w:rsid w:val="009218C2"/>
    <w:rsid w:val="00921C1C"/>
    <w:rsid w:val="00922CAD"/>
    <w:rsid w:val="00922CB3"/>
    <w:rsid w:val="009234C4"/>
    <w:rsid w:val="00925D33"/>
    <w:rsid w:val="0092630F"/>
    <w:rsid w:val="00926A07"/>
    <w:rsid w:val="009300EB"/>
    <w:rsid w:val="00930706"/>
    <w:rsid w:val="0093153F"/>
    <w:rsid w:val="00931BB3"/>
    <w:rsid w:val="009323DB"/>
    <w:rsid w:val="0093524C"/>
    <w:rsid w:val="00935CEA"/>
    <w:rsid w:val="00936D1B"/>
    <w:rsid w:val="0095150D"/>
    <w:rsid w:val="00951AEB"/>
    <w:rsid w:val="00953477"/>
    <w:rsid w:val="00954F8B"/>
    <w:rsid w:val="00955C99"/>
    <w:rsid w:val="00960102"/>
    <w:rsid w:val="0096027D"/>
    <w:rsid w:val="00960D0F"/>
    <w:rsid w:val="00961DF1"/>
    <w:rsid w:val="0096659C"/>
    <w:rsid w:val="00966C3D"/>
    <w:rsid w:val="00967697"/>
    <w:rsid w:val="00970D10"/>
    <w:rsid w:val="00971DFD"/>
    <w:rsid w:val="00972480"/>
    <w:rsid w:val="0097290E"/>
    <w:rsid w:val="0097345B"/>
    <w:rsid w:val="00975AEB"/>
    <w:rsid w:val="00977196"/>
    <w:rsid w:val="00983210"/>
    <w:rsid w:val="0098376D"/>
    <w:rsid w:val="00983855"/>
    <w:rsid w:val="00983DC5"/>
    <w:rsid w:val="009853D9"/>
    <w:rsid w:val="00990BC7"/>
    <w:rsid w:val="00991E24"/>
    <w:rsid w:val="009943D7"/>
    <w:rsid w:val="00995573"/>
    <w:rsid w:val="00995DF2"/>
    <w:rsid w:val="009A16AF"/>
    <w:rsid w:val="009A1E8B"/>
    <w:rsid w:val="009A3526"/>
    <w:rsid w:val="009A474B"/>
    <w:rsid w:val="009A73A6"/>
    <w:rsid w:val="009B04FF"/>
    <w:rsid w:val="009B050B"/>
    <w:rsid w:val="009B140D"/>
    <w:rsid w:val="009B1518"/>
    <w:rsid w:val="009B3E8A"/>
    <w:rsid w:val="009B4719"/>
    <w:rsid w:val="009C04E6"/>
    <w:rsid w:val="009C22AB"/>
    <w:rsid w:val="009C381A"/>
    <w:rsid w:val="009C3957"/>
    <w:rsid w:val="009C5248"/>
    <w:rsid w:val="009C639F"/>
    <w:rsid w:val="009D0B61"/>
    <w:rsid w:val="009D1346"/>
    <w:rsid w:val="009D3996"/>
    <w:rsid w:val="009D4878"/>
    <w:rsid w:val="009D4D64"/>
    <w:rsid w:val="009D4EB8"/>
    <w:rsid w:val="009D68B1"/>
    <w:rsid w:val="009D7067"/>
    <w:rsid w:val="009D7766"/>
    <w:rsid w:val="009E064E"/>
    <w:rsid w:val="009E338E"/>
    <w:rsid w:val="009E4E1A"/>
    <w:rsid w:val="009E639A"/>
    <w:rsid w:val="009E64C7"/>
    <w:rsid w:val="009F03B9"/>
    <w:rsid w:val="009F1D97"/>
    <w:rsid w:val="009F28B2"/>
    <w:rsid w:val="009F41EC"/>
    <w:rsid w:val="009F6A71"/>
    <w:rsid w:val="00A01EA5"/>
    <w:rsid w:val="00A0204B"/>
    <w:rsid w:val="00A03520"/>
    <w:rsid w:val="00A04F7B"/>
    <w:rsid w:val="00A052B7"/>
    <w:rsid w:val="00A07076"/>
    <w:rsid w:val="00A07ACD"/>
    <w:rsid w:val="00A1031A"/>
    <w:rsid w:val="00A16C09"/>
    <w:rsid w:val="00A2018E"/>
    <w:rsid w:val="00A2214E"/>
    <w:rsid w:val="00A222A7"/>
    <w:rsid w:val="00A2445F"/>
    <w:rsid w:val="00A25A1C"/>
    <w:rsid w:val="00A25E0B"/>
    <w:rsid w:val="00A30189"/>
    <w:rsid w:val="00A3198C"/>
    <w:rsid w:val="00A33042"/>
    <w:rsid w:val="00A33762"/>
    <w:rsid w:val="00A33B45"/>
    <w:rsid w:val="00A354ED"/>
    <w:rsid w:val="00A36A9F"/>
    <w:rsid w:val="00A403A6"/>
    <w:rsid w:val="00A4135F"/>
    <w:rsid w:val="00A43333"/>
    <w:rsid w:val="00A4337F"/>
    <w:rsid w:val="00A44F0C"/>
    <w:rsid w:val="00A46C11"/>
    <w:rsid w:val="00A47F34"/>
    <w:rsid w:val="00A5244B"/>
    <w:rsid w:val="00A55376"/>
    <w:rsid w:val="00A55FB5"/>
    <w:rsid w:val="00A56490"/>
    <w:rsid w:val="00A56957"/>
    <w:rsid w:val="00A604FE"/>
    <w:rsid w:val="00A60DA8"/>
    <w:rsid w:val="00A6175F"/>
    <w:rsid w:val="00A640A6"/>
    <w:rsid w:val="00A664F1"/>
    <w:rsid w:val="00A71791"/>
    <w:rsid w:val="00A73543"/>
    <w:rsid w:val="00A73CE4"/>
    <w:rsid w:val="00A7483D"/>
    <w:rsid w:val="00A770F9"/>
    <w:rsid w:val="00A7760E"/>
    <w:rsid w:val="00A825DD"/>
    <w:rsid w:val="00A85A6C"/>
    <w:rsid w:val="00A85C4E"/>
    <w:rsid w:val="00A8637B"/>
    <w:rsid w:val="00A87B1F"/>
    <w:rsid w:val="00A90B0C"/>
    <w:rsid w:val="00A9125A"/>
    <w:rsid w:val="00A91B05"/>
    <w:rsid w:val="00A92517"/>
    <w:rsid w:val="00A939CE"/>
    <w:rsid w:val="00A9417F"/>
    <w:rsid w:val="00A95656"/>
    <w:rsid w:val="00AA0153"/>
    <w:rsid w:val="00AA0588"/>
    <w:rsid w:val="00AA1EFA"/>
    <w:rsid w:val="00AA42D1"/>
    <w:rsid w:val="00AA4769"/>
    <w:rsid w:val="00AA47AB"/>
    <w:rsid w:val="00AA5E8B"/>
    <w:rsid w:val="00AA6BE9"/>
    <w:rsid w:val="00AB0A22"/>
    <w:rsid w:val="00AB0A3F"/>
    <w:rsid w:val="00AB1F6B"/>
    <w:rsid w:val="00AB5EF9"/>
    <w:rsid w:val="00AC0724"/>
    <w:rsid w:val="00AC0E87"/>
    <w:rsid w:val="00AC236D"/>
    <w:rsid w:val="00AC33DE"/>
    <w:rsid w:val="00AC3919"/>
    <w:rsid w:val="00AC6298"/>
    <w:rsid w:val="00AC6BEA"/>
    <w:rsid w:val="00AD0AD3"/>
    <w:rsid w:val="00AD0EA6"/>
    <w:rsid w:val="00AD17D1"/>
    <w:rsid w:val="00AD1D8D"/>
    <w:rsid w:val="00AD1DA8"/>
    <w:rsid w:val="00AD3685"/>
    <w:rsid w:val="00AD4B2D"/>
    <w:rsid w:val="00AD71C6"/>
    <w:rsid w:val="00AE159F"/>
    <w:rsid w:val="00AE1614"/>
    <w:rsid w:val="00AE7F7D"/>
    <w:rsid w:val="00AF0757"/>
    <w:rsid w:val="00AF13A2"/>
    <w:rsid w:val="00AF509B"/>
    <w:rsid w:val="00AF7194"/>
    <w:rsid w:val="00B002AB"/>
    <w:rsid w:val="00B00FE2"/>
    <w:rsid w:val="00B01D66"/>
    <w:rsid w:val="00B05984"/>
    <w:rsid w:val="00B05A92"/>
    <w:rsid w:val="00B06F1E"/>
    <w:rsid w:val="00B07025"/>
    <w:rsid w:val="00B0706D"/>
    <w:rsid w:val="00B10311"/>
    <w:rsid w:val="00B12ED4"/>
    <w:rsid w:val="00B13845"/>
    <w:rsid w:val="00B20512"/>
    <w:rsid w:val="00B20BE4"/>
    <w:rsid w:val="00B21B78"/>
    <w:rsid w:val="00B22BE8"/>
    <w:rsid w:val="00B239F9"/>
    <w:rsid w:val="00B320DE"/>
    <w:rsid w:val="00B328E3"/>
    <w:rsid w:val="00B32C32"/>
    <w:rsid w:val="00B36F31"/>
    <w:rsid w:val="00B37088"/>
    <w:rsid w:val="00B37091"/>
    <w:rsid w:val="00B40304"/>
    <w:rsid w:val="00B4172D"/>
    <w:rsid w:val="00B42076"/>
    <w:rsid w:val="00B42215"/>
    <w:rsid w:val="00B44E8E"/>
    <w:rsid w:val="00B45285"/>
    <w:rsid w:val="00B453FF"/>
    <w:rsid w:val="00B47841"/>
    <w:rsid w:val="00B478C7"/>
    <w:rsid w:val="00B47EDD"/>
    <w:rsid w:val="00B5161A"/>
    <w:rsid w:val="00B520EA"/>
    <w:rsid w:val="00B529B4"/>
    <w:rsid w:val="00B56176"/>
    <w:rsid w:val="00B564F3"/>
    <w:rsid w:val="00B57EE8"/>
    <w:rsid w:val="00B615D5"/>
    <w:rsid w:val="00B61DA3"/>
    <w:rsid w:val="00B63BB7"/>
    <w:rsid w:val="00B66972"/>
    <w:rsid w:val="00B7321C"/>
    <w:rsid w:val="00B73780"/>
    <w:rsid w:val="00B73CC5"/>
    <w:rsid w:val="00B74369"/>
    <w:rsid w:val="00B75609"/>
    <w:rsid w:val="00B81469"/>
    <w:rsid w:val="00B82D0C"/>
    <w:rsid w:val="00B844E2"/>
    <w:rsid w:val="00B84FB8"/>
    <w:rsid w:val="00B856DB"/>
    <w:rsid w:val="00B86ADE"/>
    <w:rsid w:val="00B8740E"/>
    <w:rsid w:val="00B87445"/>
    <w:rsid w:val="00B919B2"/>
    <w:rsid w:val="00B91EA6"/>
    <w:rsid w:val="00B92409"/>
    <w:rsid w:val="00B945BF"/>
    <w:rsid w:val="00B95353"/>
    <w:rsid w:val="00B95C8D"/>
    <w:rsid w:val="00B960F6"/>
    <w:rsid w:val="00B976CB"/>
    <w:rsid w:val="00BA15F1"/>
    <w:rsid w:val="00BA2502"/>
    <w:rsid w:val="00BA38EB"/>
    <w:rsid w:val="00BA71F2"/>
    <w:rsid w:val="00BB0534"/>
    <w:rsid w:val="00BB0D50"/>
    <w:rsid w:val="00BB23BD"/>
    <w:rsid w:val="00BB3BFD"/>
    <w:rsid w:val="00BB6052"/>
    <w:rsid w:val="00BB6177"/>
    <w:rsid w:val="00BB6B51"/>
    <w:rsid w:val="00BB6C85"/>
    <w:rsid w:val="00BC65F8"/>
    <w:rsid w:val="00BC7EE8"/>
    <w:rsid w:val="00BD177F"/>
    <w:rsid w:val="00BD1E99"/>
    <w:rsid w:val="00BD1ED3"/>
    <w:rsid w:val="00BD40FD"/>
    <w:rsid w:val="00BD5456"/>
    <w:rsid w:val="00BD7C2E"/>
    <w:rsid w:val="00BE0F4C"/>
    <w:rsid w:val="00BE4B36"/>
    <w:rsid w:val="00BE588C"/>
    <w:rsid w:val="00BE7E73"/>
    <w:rsid w:val="00BF00C1"/>
    <w:rsid w:val="00BF0C73"/>
    <w:rsid w:val="00C00607"/>
    <w:rsid w:val="00C01E50"/>
    <w:rsid w:val="00C07336"/>
    <w:rsid w:val="00C1042A"/>
    <w:rsid w:val="00C11190"/>
    <w:rsid w:val="00C12B8D"/>
    <w:rsid w:val="00C15D61"/>
    <w:rsid w:val="00C20595"/>
    <w:rsid w:val="00C20D42"/>
    <w:rsid w:val="00C21783"/>
    <w:rsid w:val="00C2741E"/>
    <w:rsid w:val="00C27424"/>
    <w:rsid w:val="00C322B3"/>
    <w:rsid w:val="00C322B8"/>
    <w:rsid w:val="00C33AE0"/>
    <w:rsid w:val="00C35E11"/>
    <w:rsid w:val="00C36EF0"/>
    <w:rsid w:val="00C373F5"/>
    <w:rsid w:val="00C409F2"/>
    <w:rsid w:val="00C419B4"/>
    <w:rsid w:val="00C41C2A"/>
    <w:rsid w:val="00C41CF7"/>
    <w:rsid w:val="00C43F99"/>
    <w:rsid w:val="00C469A0"/>
    <w:rsid w:val="00C4759E"/>
    <w:rsid w:val="00C47C1F"/>
    <w:rsid w:val="00C5028C"/>
    <w:rsid w:val="00C514A1"/>
    <w:rsid w:val="00C54C69"/>
    <w:rsid w:val="00C55EE4"/>
    <w:rsid w:val="00C57256"/>
    <w:rsid w:val="00C57419"/>
    <w:rsid w:val="00C57DFA"/>
    <w:rsid w:val="00C60D88"/>
    <w:rsid w:val="00C62534"/>
    <w:rsid w:val="00C62B55"/>
    <w:rsid w:val="00C63397"/>
    <w:rsid w:val="00C66D21"/>
    <w:rsid w:val="00C70001"/>
    <w:rsid w:val="00C71518"/>
    <w:rsid w:val="00C72521"/>
    <w:rsid w:val="00C72F2A"/>
    <w:rsid w:val="00C83B2D"/>
    <w:rsid w:val="00C845CB"/>
    <w:rsid w:val="00C865BD"/>
    <w:rsid w:val="00C866AD"/>
    <w:rsid w:val="00C93CC2"/>
    <w:rsid w:val="00C94097"/>
    <w:rsid w:val="00C943FE"/>
    <w:rsid w:val="00C96FCE"/>
    <w:rsid w:val="00CA0F1E"/>
    <w:rsid w:val="00CA1178"/>
    <w:rsid w:val="00CA1880"/>
    <w:rsid w:val="00CA4F9C"/>
    <w:rsid w:val="00CA6392"/>
    <w:rsid w:val="00CB076C"/>
    <w:rsid w:val="00CB131A"/>
    <w:rsid w:val="00CB1874"/>
    <w:rsid w:val="00CC0B07"/>
    <w:rsid w:val="00CC1B57"/>
    <w:rsid w:val="00CC3E60"/>
    <w:rsid w:val="00CC4282"/>
    <w:rsid w:val="00CD02BD"/>
    <w:rsid w:val="00CD3FCA"/>
    <w:rsid w:val="00CD4642"/>
    <w:rsid w:val="00CD60A7"/>
    <w:rsid w:val="00CD658A"/>
    <w:rsid w:val="00CE4049"/>
    <w:rsid w:val="00CE6BC5"/>
    <w:rsid w:val="00CF084B"/>
    <w:rsid w:val="00CF1DC7"/>
    <w:rsid w:val="00CF298D"/>
    <w:rsid w:val="00CF6F8E"/>
    <w:rsid w:val="00CF7F61"/>
    <w:rsid w:val="00D0092F"/>
    <w:rsid w:val="00D04B55"/>
    <w:rsid w:val="00D04D05"/>
    <w:rsid w:val="00D0634B"/>
    <w:rsid w:val="00D07DB3"/>
    <w:rsid w:val="00D105F1"/>
    <w:rsid w:val="00D120E9"/>
    <w:rsid w:val="00D12F7C"/>
    <w:rsid w:val="00D13AE9"/>
    <w:rsid w:val="00D208C4"/>
    <w:rsid w:val="00D224CE"/>
    <w:rsid w:val="00D22993"/>
    <w:rsid w:val="00D25D29"/>
    <w:rsid w:val="00D320E3"/>
    <w:rsid w:val="00D36CF5"/>
    <w:rsid w:val="00D408D4"/>
    <w:rsid w:val="00D40940"/>
    <w:rsid w:val="00D40F57"/>
    <w:rsid w:val="00D4109E"/>
    <w:rsid w:val="00D4168C"/>
    <w:rsid w:val="00D41A0E"/>
    <w:rsid w:val="00D4302F"/>
    <w:rsid w:val="00D4306A"/>
    <w:rsid w:val="00D43E60"/>
    <w:rsid w:val="00D505E8"/>
    <w:rsid w:val="00D52D5D"/>
    <w:rsid w:val="00D54FFE"/>
    <w:rsid w:val="00D5763B"/>
    <w:rsid w:val="00D603D9"/>
    <w:rsid w:val="00D60CE6"/>
    <w:rsid w:val="00D61B04"/>
    <w:rsid w:val="00D62739"/>
    <w:rsid w:val="00D62BF8"/>
    <w:rsid w:val="00D73F4F"/>
    <w:rsid w:val="00D74717"/>
    <w:rsid w:val="00D74DC7"/>
    <w:rsid w:val="00D75AD7"/>
    <w:rsid w:val="00D80778"/>
    <w:rsid w:val="00D8112E"/>
    <w:rsid w:val="00D8229F"/>
    <w:rsid w:val="00D8297E"/>
    <w:rsid w:val="00D83DE9"/>
    <w:rsid w:val="00D84023"/>
    <w:rsid w:val="00D854DD"/>
    <w:rsid w:val="00D9272E"/>
    <w:rsid w:val="00D93BCD"/>
    <w:rsid w:val="00D96C19"/>
    <w:rsid w:val="00DA22F7"/>
    <w:rsid w:val="00DA6200"/>
    <w:rsid w:val="00DB0466"/>
    <w:rsid w:val="00DB1764"/>
    <w:rsid w:val="00DB37A3"/>
    <w:rsid w:val="00DB4719"/>
    <w:rsid w:val="00DB4D28"/>
    <w:rsid w:val="00DC1FF3"/>
    <w:rsid w:val="00DC314E"/>
    <w:rsid w:val="00DC34B8"/>
    <w:rsid w:val="00DC5179"/>
    <w:rsid w:val="00DC5EA8"/>
    <w:rsid w:val="00DC6E30"/>
    <w:rsid w:val="00DD077E"/>
    <w:rsid w:val="00DD2548"/>
    <w:rsid w:val="00DD38A8"/>
    <w:rsid w:val="00DD5A60"/>
    <w:rsid w:val="00DD7374"/>
    <w:rsid w:val="00DD7A0C"/>
    <w:rsid w:val="00DD7B62"/>
    <w:rsid w:val="00DE0FBF"/>
    <w:rsid w:val="00DE1880"/>
    <w:rsid w:val="00DE39D2"/>
    <w:rsid w:val="00DE3BF5"/>
    <w:rsid w:val="00DE4326"/>
    <w:rsid w:val="00DE4D81"/>
    <w:rsid w:val="00DE5CCC"/>
    <w:rsid w:val="00DE7451"/>
    <w:rsid w:val="00DE7990"/>
    <w:rsid w:val="00DF1C3A"/>
    <w:rsid w:val="00DF26A2"/>
    <w:rsid w:val="00DF324C"/>
    <w:rsid w:val="00DF4026"/>
    <w:rsid w:val="00DF4982"/>
    <w:rsid w:val="00DF6130"/>
    <w:rsid w:val="00DF65B2"/>
    <w:rsid w:val="00E038C6"/>
    <w:rsid w:val="00E040EB"/>
    <w:rsid w:val="00E05048"/>
    <w:rsid w:val="00E055B3"/>
    <w:rsid w:val="00E061FE"/>
    <w:rsid w:val="00E07710"/>
    <w:rsid w:val="00E113A6"/>
    <w:rsid w:val="00E12E94"/>
    <w:rsid w:val="00E14E3F"/>
    <w:rsid w:val="00E15967"/>
    <w:rsid w:val="00E17242"/>
    <w:rsid w:val="00E17CCD"/>
    <w:rsid w:val="00E23251"/>
    <w:rsid w:val="00E237BA"/>
    <w:rsid w:val="00E23ACB"/>
    <w:rsid w:val="00E23BBB"/>
    <w:rsid w:val="00E23E4E"/>
    <w:rsid w:val="00E30BAB"/>
    <w:rsid w:val="00E317E8"/>
    <w:rsid w:val="00E33128"/>
    <w:rsid w:val="00E33659"/>
    <w:rsid w:val="00E34E58"/>
    <w:rsid w:val="00E36EE8"/>
    <w:rsid w:val="00E37D1E"/>
    <w:rsid w:val="00E40A34"/>
    <w:rsid w:val="00E42225"/>
    <w:rsid w:val="00E42EBF"/>
    <w:rsid w:val="00E44061"/>
    <w:rsid w:val="00E44D7D"/>
    <w:rsid w:val="00E46D73"/>
    <w:rsid w:val="00E4713E"/>
    <w:rsid w:val="00E50F73"/>
    <w:rsid w:val="00E5189C"/>
    <w:rsid w:val="00E51C72"/>
    <w:rsid w:val="00E52556"/>
    <w:rsid w:val="00E527A1"/>
    <w:rsid w:val="00E543BA"/>
    <w:rsid w:val="00E55413"/>
    <w:rsid w:val="00E559D0"/>
    <w:rsid w:val="00E60FF3"/>
    <w:rsid w:val="00E648B1"/>
    <w:rsid w:val="00E64E60"/>
    <w:rsid w:val="00E65B37"/>
    <w:rsid w:val="00E7094A"/>
    <w:rsid w:val="00E71EE2"/>
    <w:rsid w:val="00E7345A"/>
    <w:rsid w:val="00E738C8"/>
    <w:rsid w:val="00E806FF"/>
    <w:rsid w:val="00E80C2C"/>
    <w:rsid w:val="00E831B2"/>
    <w:rsid w:val="00E83EEA"/>
    <w:rsid w:val="00E8784E"/>
    <w:rsid w:val="00E90635"/>
    <w:rsid w:val="00E91E40"/>
    <w:rsid w:val="00EA0C84"/>
    <w:rsid w:val="00EA10A6"/>
    <w:rsid w:val="00EA1421"/>
    <w:rsid w:val="00EA2BAE"/>
    <w:rsid w:val="00EA4368"/>
    <w:rsid w:val="00EA5F2C"/>
    <w:rsid w:val="00EA6032"/>
    <w:rsid w:val="00EA7EED"/>
    <w:rsid w:val="00EB2277"/>
    <w:rsid w:val="00EB42AB"/>
    <w:rsid w:val="00EC242E"/>
    <w:rsid w:val="00EC30CB"/>
    <w:rsid w:val="00EC559E"/>
    <w:rsid w:val="00EC57F5"/>
    <w:rsid w:val="00EC5E03"/>
    <w:rsid w:val="00EC64B1"/>
    <w:rsid w:val="00EC787F"/>
    <w:rsid w:val="00ED0FAE"/>
    <w:rsid w:val="00ED3003"/>
    <w:rsid w:val="00ED48F5"/>
    <w:rsid w:val="00ED5927"/>
    <w:rsid w:val="00ED7053"/>
    <w:rsid w:val="00ED71C1"/>
    <w:rsid w:val="00ED77F1"/>
    <w:rsid w:val="00EE0DA4"/>
    <w:rsid w:val="00EE2F90"/>
    <w:rsid w:val="00EE3298"/>
    <w:rsid w:val="00EE392B"/>
    <w:rsid w:val="00EE75F4"/>
    <w:rsid w:val="00EF4DB5"/>
    <w:rsid w:val="00F02926"/>
    <w:rsid w:val="00F040D2"/>
    <w:rsid w:val="00F05A6D"/>
    <w:rsid w:val="00F0723E"/>
    <w:rsid w:val="00F10B77"/>
    <w:rsid w:val="00F12599"/>
    <w:rsid w:val="00F13679"/>
    <w:rsid w:val="00F146E7"/>
    <w:rsid w:val="00F1769B"/>
    <w:rsid w:val="00F178F0"/>
    <w:rsid w:val="00F22803"/>
    <w:rsid w:val="00F25DAC"/>
    <w:rsid w:val="00F26C10"/>
    <w:rsid w:val="00F30AB7"/>
    <w:rsid w:val="00F31C1D"/>
    <w:rsid w:val="00F333B3"/>
    <w:rsid w:val="00F34D9F"/>
    <w:rsid w:val="00F37D0E"/>
    <w:rsid w:val="00F42A37"/>
    <w:rsid w:val="00F43267"/>
    <w:rsid w:val="00F46AD4"/>
    <w:rsid w:val="00F51BE3"/>
    <w:rsid w:val="00F522EE"/>
    <w:rsid w:val="00F551A1"/>
    <w:rsid w:val="00F602AE"/>
    <w:rsid w:val="00F6189F"/>
    <w:rsid w:val="00F6220C"/>
    <w:rsid w:val="00F6583D"/>
    <w:rsid w:val="00F66BAA"/>
    <w:rsid w:val="00F66C40"/>
    <w:rsid w:val="00F719F4"/>
    <w:rsid w:val="00F73FEC"/>
    <w:rsid w:val="00F7434E"/>
    <w:rsid w:val="00F74AC4"/>
    <w:rsid w:val="00F74E01"/>
    <w:rsid w:val="00F77C00"/>
    <w:rsid w:val="00F77FAA"/>
    <w:rsid w:val="00F8409C"/>
    <w:rsid w:val="00F84CE4"/>
    <w:rsid w:val="00F85D0B"/>
    <w:rsid w:val="00F866FF"/>
    <w:rsid w:val="00F86CA8"/>
    <w:rsid w:val="00F90C18"/>
    <w:rsid w:val="00F90D9F"/>
    <w:rsid w:val="00F9127D"/>
    <w:rsid w:val="00F92C97"/>
    <w:rsid w:val="00F95247"/>
    <w:rsid w:val="00F96A8E"/>
    <w:rsid w:val="00F975FB"/>
    <w:rsid w:val="00F97EE5"/>
    <w:rsid w:val="00F97F72"/>
    <w:rsid w:val="00FA2041"/>
    <w:rsid w:val="00FA2475"/>
    <w:rsid w:val="00FA2E18"/>
    <w:rsid w:val="00FA2F6D"/>
    <w:rsid w:val="00FA411F"/>
    <w:rsid w:val="00FA459D"/>
    <w:rsid w:val="00FA660B"/>
    <w:rsid w:val="00FA7E03"/>
    <w:rsid w:val="00FB395B"/>
    <w:rsid w:val="00FB5CA6"/>
    <w:rsid w:val="00FB6A8C"/>
    <w:rsid w:val="00FB73A4"/>
    <w:rsid w:val="00FB75C7"/>
    <w:rsid w:val="00FC1867"/>
    <w:rsid w:val="00FC2860"/>
    <w:rsid w:val="00FC3C2C"/>
    <w:rsid w:val="00FC58CB"/>
    <w:rsid w:val="00FC7781"/>
    <w:rsid w:val="00FD2243"/>
    <w:rsid w:val="00FD24E9"/>
    <w:rsid w:val="00FD277D"/>
    <w:rsid w:val="00FD4109"/>
    <w:rsid w:val="00FE01D7"/>
    <w:rsid w:val="00FE095E"/>
    <w:rsid w:val="00FE1173"/>
    <w:rsid w:val="00FE17D2"/>
    <w:rsid w:val="00FE1EF6"/>
    <w:rsid w:val="00FE400D"/>
    <w:rsid w:val="00FE473E"/>
    <w:rsid w:val="00FE4CC6"/>
    <w:rsid w:val="00FF18B6"/>
    <w:rsid w:val="00FF20FA"/>
    <w:rsid w:val="00FF21C7"/>
    <w:rsid w:val="00FF522F"/>
    <w:rsid w:val="00FF7F6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0249B"/>
  <w15:docId w15:val="{FD99AE6E-2DE2-4E50-B97F-906674321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heme="minorBidi"/>
        <w:szCs w:val="22"/>
        <w:lang w:val="da-DK" w:eastAsia="en-US" w:bidi="ar-SA"/>
      </w:rPr>
    </w:rPrDefault>
    <w:pPrDefault>
      <w:pPr>
        <w:spacing w:line="300" w:lineRule="atLeast"/>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64D41"/>
  </w:style>
  <w:style w:type="paragraph" w:styleId="Overskrift1">
    <w:name w:val="heading 1"/>
    <w:basedOn w:val="Normal"/>
    <w:next w:val="Normal"/>
    <w:link w:val="Overskrift1Tegn"/>
    <w:uiPriority w:val="9"/>
    <w:qFormat/>
    <w:rsid w:val="00413E55"/>
    <w:pPr>
      <w:keepNext/>
      <w:keepLines/>
      <w:spacing w:before="480"/>
      <w:outlineLvl w:val="0"/>
    </w:pPr>
    <w:rPr>
      <w:rFonts w:eastAsiaTheme="majorEastAsia" w:cstheme="majorBidi"/>
      <w:b/>
      <w:bCs/>
      <w:sz w:val="26"/>
      <w:szCs w:val="28"/>
    </w:rPr>
  </w:style>
  <w:style w:type="paragraph" w:styleId="Overskrift2">
    <w:name w:val="heading 2"/>
    <w:basedOn w:val="Normal"/>
    <w:next w:val="Normal"/>
    <w:link w:val="Overskrift2Tegn"/>
    <w:uiPriority w:val="9"/>
    <w:unhideWhenUsed/>
    <w:qFormat/>
    <w:rsid w:val="00413E55"/>
    <w:pPr>
      <w:keepNext/>
      <w:keepLines/>
      <w:spacing w:before="200"/>
      <w:outlineLvl w:val="1"/>
    </w:pPr>
    <w:rPr>
      <w:rFonts w:eastAsiaTheme="majorEastAsia" w:cstheme="majorBidi"/>
      <w:b/>
      <w:bCs/>
      <w:sz w:val="22"/>
      <w:szCs w:val="26"/>
    </w:rPr>
  </w:style>
  <w:style w:type="paragraph" w:styleId="Overskrift3">
    <w:name w:val="heading 3"/>
    <w:basedOn w:val="Normal"/>
    <w:next w:val="Normal"/>
    <w:link w:val="Overskrift3Tegn"/>
    <w:uiPriority w:val="9"/>
    <w:unhideWhenUsed/>
    <w:qFormat/>
    <w:rsid w:val="00413E55"/>
    <w:pPr>
      <w:keepNext/>
      <w:keepLines/>
      <w:spacing w:before="200"/>
      <w:outlineLvl w:val="2"/>
    </w:pPr>
    <w:rPr>
      <w:rFonts w:eastAsiaTheme="majorEastAsia" w:cstheme="majorBidi"/>
      <w:b/>
      <w:bC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413E55"/>
    <w:rPr>
      <w:rFonts w:eastAsiaTheme="majorEastAsia" w:cstheme="majorBidi"/>
      <w:b/>
      <w:bCs/>
      <w:sz w:val="26"/>
      <w:szCs w:val="28"/>
    </w:rPr>
  </w:style>
  <w:style w:type="character" w:customStyle="1" w:styleId="Overskrift2Tegn">
    <w:name w:val="Overskrift 2 Tegn"/>
    <w:basedOn w:val="Standardskrifttypeiafsnit"/>
    <w:link w:val="Overskrift2"/>
    <w:uiPriority w:val="9"/>
    <w:rsid w:val="00413E55"/>
    <w:rPr>
      <w:rFonts w:eastAsiaTheme="majorEastAsia" w:cstheme="majorBidi"/>
      <w:b/>
      <w:bCs/>
      <w:sz w:val="22"/>
      <w:szCs w:val="26"/>
    </w:rPr>
  </w:style>
  <w:style w:type="character" w:customStyle="1" w:styleId="Overskrift3Tegn">
    <w:name w:val="Overskrift 3 Tegn"/>
    <w:basedOn w:val="Standardskrifttypeiafsnit"/>
    <w:link w:val="Overskrift3"/>
    <w:uiPriority w:val="9"/>
    <w:rsid w:val="00413E55"/>
    <w:rPr>
      <w:rFonts w:eastAsiaTheme="majorEastAsia" w:cstheme="majorBidi"/>
      <w:b/>
      <w:bCs/>
    </w:rPr>
  </w:style>
  <w:style w:type="paragraph" w:styleId="Listeafsnit">
    <w:name w:val="List Paragraph"/>
    <w:basedOn w:val="Normal"/>
    <w:uiPriority w:val="34"/>
    <w:qFormat/>
    <w:rsid w:val="004E1F82"/>
    <w:pPr>
      <w:ind w:left="720"/>
      <w:contextualSpacing/>
    </w:pPr>
  </w:style>
  <w:style w:type="paragraph" w:styleId="Markeringsbobletekst">
    <w:name w:val="Balloon Text"/>
    <w:basedOn w:val="Normal"/>
    <w:link w:val="MarkeringsbobletekstTegn"/>
    <w:uiPriority w:val="99"/>
    <w:semiHidden/>
    <w:unhideWhenUsed/>
    <w:rsid w:val="00C93CC2"/>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C93CC2"/>
    <w:rPr>
      <w:rFonts w:ascii="Tahoma" w:hAnsi="Tahoma" w:cs="Tahoma"/>
      <w:sz w:val="16"/>
      <w:szCs w:val="16"/>
    </w:rPr>
  </w:style>
  <w:style w:type="table" w:styleId="Tabel-Gitter">
    <w:name w:val="Table Grid"/>
    <w:basedOn w:val="Tabel-Normal"/>
    <w:uiPriority w:val="59"/>
    <w:rsid w:val="00C93CC2"/>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nummer">
    <w:name w:val="nummer"/>
    <w:basedOn w:val="Normal"/>
    <w:rsid w:val="00B960F6"/>
    <w:pPr>
      <w:spacing w:line="240" w:lineRule="auto"/>
      <w:ind w:left="220" w:hanging="220"/>
    </w:pPr>
    <w:rPr>
      <w:rFonts w:ascii="Tahoma" w:eastAsia="Times New Roman" w:hAnsi="Tahoma" w:cs="Tahoma"/>
      <w:color w:val="000000"/>
      <w:sz w:val="24"/>
      <w:szCs w:val="24"/>
      <w:lang w:eastAsia="da-DK"/>
    </w:rPr>
  </w:style>
  <w:style w:type="paragraph" w:customStyle="1" w:styleId="liste1">
    <w:name w:val="liste1"/>
    <w:basedOn w:val="Normal"/>
    <w:rsid w:val="004A6D54"/>
    <w:pPr>
      <w:spacing w:line="240" w:lineRule="auto"/>
      <w:ind w:left="280"/>
    </w:pPr>
    <w:rPr>
      <w:rFonts w:ascii="Tahoma" w:eastAsia="Times New Roman" w:hAnsi="Tahoma" w:cs="Tahoma"/>
      <w:color w:val="000000"/>
      <w:sz w:val="24"/>
      <w:szCs w:val="24"/>
      <w:lang w:eastAsia="da-DK"/>
    </w:rPr>
  </w:style>
  <w:style w:type="character" w:customStyle="1" w:styleId="liste1nr1">
    <w:name w:val="liste1nr1"/>
    <w:basedOn w:val="Standardskrifttypeiafsnit"/>
    <w:rsid w:val="004A6D54"/>
    <w:rPr>
      <w:rFonts w:ascii="Tahoma" w:hAnsi="Tahoma" w:cs="Tahoma" w:hint="default"/>
      <w:color w:val="000000"/>
      <w:sz w:val="24"/>
      <w:szCs w:val="24"/>
      <w:shd w:val="clear" w:color="auto" w:fill="auto"/>
    </w:rPr>
  </w:style>
  <w:style w:type="character" w:styleId="Hyperlink">
    <w:name w:val="Hyperlink"/>
    <w:basedOn w:val="Standardskrifttypeiafsnit"/>
    <w:uiPriority w:val="99"/>
    <w:unhideWhenUsed/>
    <w:rsid w:val="00F92C9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8589484">
      <w:bodyDiv w:val="1"/>
      <w:marLeft w:val="0"/>
      <w:marRight w:val="0"/>
      <w:marTop w:val="0"/>
      <w:marBottom w:val="0"/>
      <w:divBdr>
        <w:top w:val="none" w:sz="0" w:space="0" w:color="auto"/>
        <w:left w:val="none" w:sz="0" w:space="0" w:color="auto"/>
        <w:bottom w:val="none" w:sz="0" w:space="0" w:color="auto"/>
        <w:right w:val="none" w:sz="0" w:space="0" w:color="auto"/>
      </w:divBdr>
      <w:divsChild>
        <w:div w:id="625038936">
          <w:marLeft w:val="0"/>
          <w:marRight w:val="0"/>
          <w:marTop w:val="0"/>
          <w:marBottom w:val="300"/>
          <w:divBdr>
            <w:top w:val="none" w:sz="0" w:space="0" w:color="auto"/>
            <w:left w:val="none" w:sz="0" w:space="0" w:color="auto"/>
            <w:bottom w:val="none" w:sz="0" w:space="0" w:color="auto"/>
            <w:right w:val="none" w:sz="0" w:space="0" w:color="auto"/>
          </w:divBdr>
          <w:divsChild>
            <w:div w:id="1082873499">
              <w:marLeft w:val="0"/>
              <w:marRight w:val="0"/>
              <w:marTop w:val="0"/>
              <w:marBottom w:val="0"/>
              <w:divBdr>
                <w:top w:val="none" w:sz="0" w:space="0" w:color="auto"/>
                <w:left w:val="single" w:sz="6" w:space="1" w:color="FFFFFF"/>
                <w:bottom w:val="none" w:sz="0" w:space="0" w:color="auto"/>
                <w:right w:val="single" w:sz="6" w:space="1" w:color="FFFFFF"/>
              </w:divBdr>
              <w:divsChild>
                <w:div w:id="399980206">
                  <w:marLeft w:val="0"/>
                  <w:marRight w:val="0"/>
                  <w:marTop w:val="0"/>
                  <w:marBottom w:val="0"/>
                  <w:divBdr>
                    <w:top w:val="none" w:sz="0" w:space="0" w:color="auto"/>
                    <w:left w:val="none" w:sz="0" w:space="0" w:color="auto"/>
                    <w:bottom w:val="none" w:sz="0" w:space="0" w:color="auto"/>
                    <w:right w:val="none" w:sz="0" w:space="0" w:color="auto"/>
                  </w:divBdr>
                  <w:divsChild>
                    <w:div w:id="1273048698">
                      <w:marLeft w:val="0"/>
                      <w:marRight w:val="0"/>
                      <w:marTop w:val="0"/>
                      <w:marBottom w:val="0"/>
                      <w:divBdr>
                        <w:top w:val="none" w:sz="0" w:space="0" w:color="auto"/>
                        <w:left w:val="none" w:sz="0" w:space="0" w:color="auto"/>
                        <w:bottom w:val="none" w:sz="0" w:space="0" w:color="auto"/>
                        <w:right w:val="none" w:sz="0" w:space="0" w:color="auto"/>
                      </w:divBdr>
                      <w:divsChild>
                        <w:div w:id="1276447970">
                          <w:marLeft w:val="0"/>
                          <w:marRight w:val="0"/>
                          <w:marTop w:val="0"/>
                          <w:marBottom w:val="0"/>
                          <w:divBdr>
                            <w:top w:val="none" w:sz="0" w:space="0" w:color="auto"/>
                            <w:left w:val="none" w:sz="0" w:space="0" w:color="auto"/>
                            <w:bottom w:val="none" w:sz="0" w:space="0" w:color="auto"/>
                            <w:right w:val="none" w:sz="0" w:space="0" w:color="auto"/>
                          </w:divBdr>
                          <w:divsChild>
                            <w:div w:id="224920925">
                              <w:marLeft w:val="0"/>
                              <w:marRight w:val="0"/>
                              <w:marTop w:val="0"/>
                              <w:marBottom w:val="0"/>
                              <w:divBdr>
                                <w:top w:val="none" w:sz="0" w:space="0" w:color="auto"/>
                                <w:left w:val="none" w:sz="0" w:space="0" w:color="auto"/>
                                <w:bottom w:val="none" w:sz="0" w:space="0" w:color="auto"/>
                                <w:right w:val="none" w:sz="0" w:space="0" w:color="auto"/>
                              </w:divBdr>
                              <w:divsChild>
                                <w:div w:id="797383799">
                                  <w:marLeft w:val="0"/>
                                  <w:marRight w:val="0"/>
                                  <w:marTop w:val="0"/>
                                  <w:marBottom w:val="0"/>
                                  <w:divBdr>
                                    <w:top w:val="none" w:sz="0" w:space="0" w:color="auto"/>
                                    <w:left w:val="none" w:sz="0" w:space="0" w:color="auto"/>
                                    <w:bottom w:val="none" w:sz="0" w:space="0" w:color="auto"/>
                                    <w:right w:val="none" w:sz="0" w:space="0" w:color="auto"/>
                                  </w:divBdr>
                                  <w:divsChild>
                                    <w:div w:id="1764064533">
                                      <w:marLeft w:val="0"/>
                                      <w:marRight w:val="0"/>
                                      <w:marTop w:val="0"/>
                                      <w:marBottom w:val="0"/>
                                      <w:divBdr>
                                        <w:top w:val="none" w:sz="0" w:space="0" w:color="auto"/>
                                        <w:left w:val="none" w:sz="0" w:space="0" w:color="auto"/>
                                        <w:bottom w:val="none" w:sz="0" w:space="0" w:color="auto"/>
                                        <w:right w:val="none" w:sz="0" w:space="0" w:color="auto"/>
                                      </w:divBdr>
                                      <w:divsChild>
                                        <w:div w:id="1877964444">
                                          <w:marLeft w:val="0"/>
                                          <w:marRight w:val="0"/>
                                          <w:marTop w:val="0"/>
                                          <w:marBottom w:val="0"/>
                                          <w:divBdr>
                                            <w:top w:val="none" w:sz="0" w:space="0" w:color="auto"/>
                                            <w:left w:val="none" w:sz="0" w:space="0" w:color="auto"/>
                                            <w:bottom w:val="none" w:sz="0" w:space="0" w:color="auto"/>
                                            <w:right w:val="none" w:sz="0" w:space="0" w:color="auto"/>
                                          </w:divBdr>
                                          <w:divsChild>
                                            <w:div w:id="1432503647">
                                              <w:marLeft w:val="0"/>
                                              <w:marRight w:val="0"/>
                                              <w:marTop w:val="400"/>
                                              <w:marBottom w:val="100"/>
                                              <w:divBdr>
                                                <w:top w:val="none" w:sz="0" w:space="0" w:color="auto"/>
                                                <w:left w:val="none" w:sz="0" w:space="0" w:color="auto"/>
                                                <w:bottom w:val="none" w:sz="0" w:space="0" w:color="auto"/>
                                                <w:right w:val="none" w:sz="0" w:space="0" w:color="auto"/>
                                              </w:divBdr>
                                              <w:divsChild>
                                                <w:div w:id="2051609830">
                                                  <w:marLeft w:val="0"/>
                                                  <w:marRight w:val="0"/>
                                                  <w:marTop w:val="2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28878567">
      <w:bodyDiv w:val="1"/>
      <w:marLeft w:val="0"/>
      <w:marRight w:val="0"/>
      <w:marTop w:val="0"/>
      <w:marBottom w:val="0"/>
      <w:divBdr>
        <w:top w:val="none" w:sz="0" w:space="0" w:color="auto"/>
        <w:left w:val="none" w:sz="0" w:space="0" w:color="auto"/>
        <w:bottom w:val="none" w:sz="0" w:space="0" w:color="auto"/>
        <w:right w:val="none" w:sz="0" w:space="0" w:color="auto"/>
      </w:divBdr>
      <w:divsChild>
        <w:div w:id="1202979518">
          <w:marLeft w:val="0"/>
          <w:marRight w:val="0"/>
          <w:marTop w:val="0"/>
          <w:marBottom w:val="300"/>
          <w:divBdr>
            <w:top w:val="none" w:sz="0" w:space="0" w:color="auto"/>
            <w:left w:val="none" w:sz="0" w:space="0" w:color="auto"/>
            <w:bottom w:val="none" w:sz="0" w:space="0" w:color="auto"/>
            <w:right w:val="none" w:sz="0" w:space="0" w:color="auto"/>
          </w:divBdr>
          <w:divsChild>
            <w:div w:id="1915162470">
              <w:marLeft w:val="0"/>
              <w:marRight w:val="0"/>
              <w:marTop w:val="0"/>
              <w:marBottom w:val="0"/>
              <w:divBdr>
                <w:top w:val="none" w:sz="0" w:space="0" w:color="auto"/>
                <w:left w:val="single" w:sz="6" w:space="1" w:color="FFFFFF"/>
                <w:bottom w:val="none" w:sz="0" w:space="0" w:color="auto"/>
                <w:right w:val="single" w:sz="6" w:space="1" w:color="FFFFFF"/>
              </w:divBdr>
              <w:divsChild>
                <w:div w:id="1118060785">
                  <w:marLeft w:val="0"/>
                  <w:marRight w:val="0"/>
                  <w:marTop w:val="0"/>
                  <w:marBottom w:val="0"/>
                  <w:divBdr>
                    <w:top w:val="none" w:sz="0" w:space="0" w:color="auto"/>
                    <w:left w:val="none" w:sz="0" w:space="0" w:color="auto"/>
                    <w:bottom w:val="none" w:sz="0" w:space="0" w:color="auto"/>
                    <w:right w:val="none" w:sz="0" w:space="0" w:color="auto"/>
                  </w:divBdr>
                  <w:divsChild>
                    <w:div w:id="349337356">
                      <w:marLeft w:val="0"/>
                      <w:marRight w:val="0"/>
                      <w:marTop w:val="0"/>
                      <w:marBottom w:val="0"/>
                      <w:divBdr>
                        <w:top w:val="none" w:sz="0" w:space="0" w:color="auto"/>
                        <w:left w:val="none" w:sz="0" w:space="0" w:color="auto"/>
                        <w:bottom w:val="none" w:sz="0" w:space="0" w:color="auto"/>
                        <w:right w:val="none" w:sz="0" w:space="0" w:color="auto"/>
                      </w:divBdr>
                      <w:divsChild>
                        <w:div w:id="146094418">
                          <w:marLeft w:val="0"/>
                          <w:marRight w:val="0"/>
                          <w:marTop w:val="0"/>
                          <w:marBottom w:val="0"/>
                          <w:divBdr>
                            <w:top w:val="none" w:sz="0" w:space="0" w:color="auto"/>
                            <w:left w:val="none" w:sz="0" w:space="0" w:color="auto"/>
                            <w:bottom w:val="none" w:sz="0" w:space="0" w:color="auto"/>
                            <w:right w:val="none" w:sz="0" w:space="0" w:color="auto"/>
                          </w:divBdr>
                          <w:divsChild>
                            <w:div w:id="1259757074">
                              <w:marLeft w:val="0"/>
                              <w:marRight w:val="0"/>
                              <w:marTop w:val="0"/>
                              <w:marBottom w:val="0"/>
                              <w:divBdr>
                                <w:top w:val="none" w:sz="0" w:space="0" w:color="auto"/>
                                <w:left w:val="none" w:sz="0" w:space="0" w:color="auto"/>
                                <w:bottom w:val="none" w:sz="0" w:space="0" w:color="auto"/>
                                <w:right w:val="none" w:sz="0" w:space="0" w:color="auto"/>
                              </w:divBdr>
                              <w:divsChild>
                                <w:div w:id="1674988811">
                                  <w:marLeft w:val="0"/>
                                  <w:marRight w:val="0"/>
                                  <w:marTop w:val="0"/>
                                  <w:marBottom w:val="0"/>
                                  <w:divBdr>
                                    <w:top w:val="none" w:sz="0" w:space="0" w:color="auto"/>
                                    <w:left w:val="none" w:sz="0" w:space="0" w:color="auto"/>
                                    <w:bottom w:val="none" w:sz="0" w:space="0" w:color="auto"/>
                                    <w:right w:val="none" w:sz="0" w:space="0" w:color="auto"/>
                                  </w:divBdr>
                                  <w:divsChild>
                                    <w:div w:id="45102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059488">
      <w:bodyDiv w:val="1"/>
      <w:marLeft w:val="0"/>
      <w:marRight w:val="0"/>
      <w:marTop w:val="0"/>
      <w:marBottom w:val="0"/>
      <w:divBdr>
        <w:top w:val="none" w:sz="0" w:space="0" w:color="auto"/>
        <w:left w:val="none" w:sz="0" w:space="0" w:color="auto"/>
        <w:bottom w:val="none" w:sz="0" w:space="0" w:color="auto"/>
        <w:right w:val="none" w:sz="0" w:space="0" w:color="auto"/>
      </w:divBdr>
      <w:divsChild>
        <w:div w:id="575752469">
          <w:marLeft w:val="0"/>
          <w:marRight w:val="0"/>
          <w:marTop w:val="0"/>
          <w:marBottom w:val="300"/>
          <w:divBdr>
            <w:top w:val="none" w:sz="0" w:space="0" w:color="auto"/>
            <w:left w:val="none" w:sz="0" w:space="0" w:color="auto"/>
            <w:bottom w:val="none" w:sz="0" w:space="0" w:color="auto"/>
            <w:right w:val="none" w:sz="0" w:space="0" w:color="auto"/>
          </w:divBdr>
          <w:divsChild>
            <w:div w:id="45690607">
              <w:marLeft w:val="0"/>
              <w:marRight w:val="0"/>
              <w:marTop w:val="0"/>
              <w:marBottom w:val="0"/>
              <w:divBdr>
                <w:top w:val="none" w:sz="0" w:space="0" w:color="auto"/>
                <w:left w:val="single" w:sz="6" w:space="1" w:color="FFFFFF"/>
                <w:bottom w:val="none" w:sz="0" w:space="0" w:color="auto"/>
                <w:right w:val="single" w:sz="6" w:space="1" w:color="FFFFFF"/>
              </w:divBdr>
              <w:divsChild>
                <w:div w:id="1347442364">
                  <w:marLeft w:val="0"/>
                  <w:marRight w:val="0"/>
                  <w:marTop w:val="0"/>
                  <w:marBottom w:val="0"/>
                  <w:divBdr>
                    <w:top w:val="none" w:sz="0" w:space="0" w:color="auto"/>
                    <w:left w:val="none" w:sz="0" w:space="0" w:color="auto"/>
                    <w:bottom w:val="none" w:sz="0" w:space="0" w:color="auto"/>
                    <w:right w:val="none" w:sz="0" w:space="0" w:color="auto"/>
                  </w:divBdr>
                  <w:divsChild>
                    <w:div w:id="1561355743">
                      <w:marLeft w:val="0"/>
                      <w:marRight w:val="0"/>
                      <w:marTop w:val="0"/>
                      <w:marBottom w:val="0"/>
                      <w:divBdr>
                        <w:top w:val="none" w:sz="0" w:space="0" w:color="auto"/>
                        <w:left w:val="none" w:sz="0" w:space="0" w:color="auto"/>
                        <w:bottom w:val="none" w:sz="0" w:space="0" w:color="auto"/>
                        <w:right w:val="none" w:sz="0" w:space="0" w:color="auto"/>
                      </w:divBdr>
                      <w:divsChild>
                        <w:div w:id="669257494">
                          <w:marLeft w:val="0"/>
                          <w:marRight w:val="0"/>
                          <w:marTop w:val="0"/>
                          <w:marBottom w:val="0"/>
                          <w:divBdr>
                            <w:top w:val="none" w:sz="0" w:space="0" w:color="auto"/>
                            <w:left w:val="none" w:sz="0" w:space="0" w:color="auto"/>
                            <w:bottom w:val="none" w:sz="0" w:space="0" w:color="auto"/>
                            <w:right w:val="none" w:sz="0" w:space="0" w:color="auto"/>
                          </w:divBdr>
                          <w:divsChild>
                            <w:div w:id="997656868">
                              <w:marLeft w:val="0"/>
                              <w:marRight w:val="0"/>
                              <w:marTop w:val="0"/>
                              <w:marBottom w:val="0"/>
                              <w:divBdr>
                                <w:top w:val="none" w:sz="0" w:space="0" w:color="auto"/>
                                <w:left w:val="none" w:sz="0" w:space="0" w:color="auto"/>
                                <w:bottom w:val="none" w:sz="0" w:space="0" w:color="auto"/>
                                <w:right w:val="none" w:sz="0" w:space="0" w:color="auto"/>
                              </w:divBdr>
                              <w:divsChild>
                                <w:div w:id="1818691326">
                                  <w:marLeft w:val="0"/>
                                  <w:marRight w:val="0"/>
                                  <w:marTop w:val="0"/>
                                  <w:marBottom w:val="0"/>
                                  <w:divBdr>
                                    <w:top w:val="none" w:sz="0" w:space="0" w:color="auto"/>
                                    <w:left w:val="none" w:sz="0" w:space="0" w:color="auto"/>
                                    <w:bottom w:val="none" w:sz="0" w:space="0" w:color="auto"/>
                                    <w:right w:val="none" w:sz="0" w:space="0" w:color="auto"/>
                                  </w:divBdr>
                                  <w:divsChild>
                                    <w:div w:id="187283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4307932">
      <w:bodyDiv w:val="1"/>
      <w:marLeft w:val="0"/>
      <w:marRight w:val="0"/>
      <w:marTop w:val="0"/>
      <w:marBottom w:val="0"/>
      <w:divBdr>
        <w:top w:val="none" w:sz="0" w:space="0" w:color="auto"/>
        <w:left w:val="none" w:sz="0" w:space="0" w:color="auto"/>
        <w:bottom w:val="none" w:sz="0" w:space="0" w:color="auto"/>
        <w:right w:val="none" w:sz="0" w:space="0" w:color="auto"/>
      </w:divBdr>
      <w:divsChild>
        <w:div w:id="1418747186">
          <w:marLeft w:val="0"/>
          <w:marRight w:val="0"/>
          <w:marTop w:val="0"/>
          <w:marBottom w:val="300"/>
          <w:divBdr>
            <w:top w:val="none" w:sz="0" w:space="0" w:color="auto"/>
            <w:left w:val="none" w:sz="0" w:space="0" w:color="auto"/>
            <w:bottom w:val="none" w:sz="0" w:space="0" w:color="auto"/>
            <w:right w:val="none" w:sz="0" w:space="0" w:color="auto"/>
          </w:divBdr>
          <w:divsChild>
            <w:div w:id="1815558203">
              <w:marLeft w:val="0"/>
              <w:marRight w:val="0"/>
              <w:marTop w:val="0"/>
              <w:marBottom w:val="0"/>
              <w:divBdr>
                <w:top w:val="none" w:sz="0" w:space="0" w:color="auto"/>
                <w:left w:val="single" w:sz="6" w:space="1" w:color="FFFFFF"/>
                <w:bottom w:val="none" w:sz="0" w:space="0" w:color="auto"/>
                <w:right w:val="single" w:sz="6" w:space="1" w:color="FFFFFF"/>
              </w:divBdr>
              <w:divsChild>
                <w:div w:id="787163075">
                  <w:marLeft w:val="0"/>
                  <w:marRight w:val="0"/>
                  <w:marTop w:val="0"/>
                  <w:marBottom w:val="0"/>
                  <w:divBdr>
                    <w:top w:val="none" w:sz="0" w:space="0" w:color="auto"/>
                    <w:left w:val="none" w:sz="0" w:space="0" w:color="auto"/>
                    <w:bottom w:val="none" w:sz="0" w:space="0" w:color="auto"/>
                    <w:right w:val="none" w:sz="0" w:space="0" w:color="auto"/>
                  </w:divBdr>
                  <w:divsChild>
                    <w:div w:id="1535532787">
                      <w:marLeft w:val="0"/>
                      <w:marRight w:val="0"/>
                      <w:marTop w:val="0"/>
                      <w:marBottom w:val="0"/>
                      <w:divBdr>
                        <w:top w:val="none" w:sz="0" w:space="0" w:color="auto"/>
                        <w:left w:val="none" w:sz="0" w:space="0" w:color="auto"/>
                        <w:bottom w:val="none" w:sz="0" w:space="0" w:color="auto"/>
                        <w:right w:val="none" w:sz="0" w:space="0" w:color="auto"/>
                      </w:divBdr>
                      <w:divsChild>
                        <w:div w:id="1736586503">
                          <w:marLeft w:val="0"/>
                          <w:marRight w:val="0"/>
                          <w:marTop w:val="0"/>
                          <w:marBottom w:val="0"/>
                          <w:divBdr>
                            <w:top w:val="none" w:sz="0" w:space="0" w:color="auto"/>
                            <w:left w:val="none" w:sz="0" w:space="0" w:color="auto"/>
                            <w:bottom w:val="none" w:sz="0" w:space="0" w:color="auto"/>
                            <w:right w:val="none" w:sz="0" w:space="0" w:color="auto"/>
                          </w:divBdr>
                          <w:divsChild>
                            <w:div w:id="1744646340">
                              <w:marLeft w:val="0"/>
                              <w:marRight w:val="0"/>
                              <w:marTop w:val="0"/>
                              <w:marBottom w:val="0"/>
                              <w:divBdr>
                                <w:top w:val="none" w:sz="0" w:space="0" w:color="auto"/>
                                <w:left w:val="none" w:sz="0" w:space="0" w:color="auto"/>
                                <w:bottom w:val="none" w:sz="0" w:space="0" w:color="auto"/>
                                <w:right w:val="none" w:sz="0" w:space="0" w:color="auto"/>
                              </w:divBdr>
                              <w:divsChild>
                                <w:div w:id="819807339">
                                  <w:marLeft w:val="0"/>
                                  <w:marRight w:val="0"/>
                                  <w:marTop w:val="0"/>
                                  <w:marBottom w:val="0"/>
                                  <w:divBdr>
                                    <w:top w:val="none" w:sz="0" w:space="0" w:color="auto"/>
                                    <w:left w:val="none" w:sz="0" w:space="0" w:color="auto"/>
                                    <w:bottom w:val="none" w:sz="0" w:space="0" w:color="auto"/>
                                    <w:right w:val="none" w:sz="0" w:space="0" w:color="auto"/>
                                  </w:divBdr>
                                  <w:divsChild>
                                    <w:div w:id="1949390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ma.mst.d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580EDB-DB86-4595-ACBC-5474839D7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598</Words>
  <Characters>3653</Characters>
  <Application>Microsoft Office Word</Application>
  <DocSecurity>4</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Aarhus Kommune</Company>
  <LinksUpToDate>false</LinksUpToDate>
  <CharactersWithSpaces>4243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Windows-bruger</dc:creator>
  <cp:lastModifiedBy>Birgitte Kloppenborg-Skrumsager</cp:lastModifiedBy>
  <cp:revision>2</cp:revision>
  <cp:lastPrinted>2017-11-20T08:15:00Z</cp:lastPrinted>
  <dcterms:created xsi:type="dcterms:W3CDTF">2017-11-20T08:48:00Z</dcterms:created>
  <dcterms:modified xsi:type="dcterms:W3CDTF">2017-11-20T08:48:00Z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1388637884</vt:i4>
  </property>
  <property fmtid="{D5CDD505-2E9C-101B-9397-08002B2CF9AE}" pid="3" name="_NewReviewCycle">
    <vt:lpwstr/>
  </property>
  <property fmtid="{D5CDD505-2E9C-101B-9397-08002B2CF9AE}" pid="4" name="_EmailSubject">
    <vt:lpwstr>Udkast til tilsynsplan for Samsø - bekendtgørelse om miljøtilsyn er trådt i kraft</vt:lpwstr>
  </property>
  <property fmtid="{D5CDD505-2E9C-101B-9397-08002B2CF9AE}" pid="5" name="_AuthorEmail">
    <vt:lpwstr>hansk@aarhus.dk</vt:lpwstr>
  </property>
  <property fmtid="{D5CDD505-2E9C-101B-9397-08002B2CF9AE}" pid="6" name="_AuthorEmailDisplayName">
    <vt:lpwstr>Hans Kunnerup</vt:lpwstr>
  </property>
  <property fmtid="{D5CDD505-2E9C-101B-9397-08002B2CF9AE}" pid="7" name="_PreviousAdHocReviewCycleID">
    <vt:i4>-2021058030</vt:i4>
  </property>
  <property fmtid="{D5CDD505-2E9C-101B-9397-08002B2CF9AE}" pid="8" name="_ReviewingToolsShownOnce">
    <vt:lpwstr/>
  </property>
</Properties>
</file>