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horzAnchor="margin" w:tblpY="-751"/>
        <w:tblW w:w="54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25"/>
        <w:gridCol w:w="2624"/>
        <w:gridCol w:w="2624"/>
        <w:gridCol w:w="2624"/>
      </w:tblGrid>
      <w:tr w:rsidR="00990B79" w:rsidRPr="00954549" w:rsidTr="00990B79">
        <w:trPr>
          <w:trHeight w:val="533"/>
        </w:trPr>
        <w:tc>
          <w:tcPr>
            <w:tcW w:w="5000" w:type="pct"/>
            <w:gridSpan w:val="4"/>
            <w:shd w:val="clear" w:color="auto" w:fill="92D050"/>
          </w:tcPr>
          <w:p w:rsidR="00990B79" w:rsidRPr="00954549" w:rsidRDefault="00990B79" w:rsidP="0099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990B79" w:rsidRPr="004A4546" w:rsidTr="00990B79">
        <w:trPr>
          <w:trHeight w:val="464"/>
        </w:trPr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Virksomhed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OKS Service A/S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 xml:space="preserve">Sags nr. 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GEO-2020-00231</w:t>
            </w:r>
          </w:p>
        </w:tc>
      </w:tr>
      <w:tr w:rsidR="00990B79" w:rsidRPr="004A4546" w:rsidTr="00990B79">
        <w:trPr>
          <w:trHeight w:val="719"/>
        </w:trPr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Sandtoften 10,</w:t>
            </w:r>
            <w:r w:rsidRPr="006220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009">
              <w:rPr>
                <w:rFonts w:ascii="Arial" w:hAnsi="Arial" w:cs="Arial"/>
                <w:sz w:val="18"/>
                <w:szCs w:val="18"/>
              </w:rPr>
              <w:t>2820 Gentofte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Virksomhedstype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Vaskeri</w:t>
            </w:r>
          </w:p>
        </w:tc>
      </w:tr>
      <w:tr w:rsidR="00990B79" w:rsidRPr="00E5308B" w:rsidTr="00990B79">
        <w:trPr>
          <w:trHeight w:val="464"/>
        </w:trPr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CVR-nr.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15208236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Tilsynsdato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27-07-2020</w:t>
            </w:r>
          </w:p>
        </w:tc>
      </w:tr>
      <w:tr w:rsidR="00990B79" w:rsidRPr="00E5308B" w:rsidTr="00990B79">
        <w:trPr>
          <w:trHeight w:val="650"/>
        </w:trPr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Kontaktperson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Bruno Mortensen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Tilsynsførende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Emilie Qvistgaard Springer</w:t>
            </w:r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Rasmus Bach Lander</w:t>
            </w:r>
          </w:p>
        </w:tc>
      </w:tr>
      <w:tr w:rsidR="00990B79" w:rsidRPr="00E5308B" w:rsidTr="00622009">
        <w:trPr>
          <w:trHeight w:val="420"/>
        </w:trPr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Kontaktoplysninger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2009">
              <w:rPr>
                <w:rFonts w:ascii="Arial" w:hAnsi="Arial" w:cs="Arial"/>
                <w:sz w:val="18"/>
                <w:szCs w:val="18"/>
                <w:lang w:val="en-US"/>
              </w:rPr>
              <w:t xml:space="preserve">Mail: </w:t>
            </w:r>
            <w:hyperlink r:id="rId5" w:history="1">
              <w:r w:rsidRPr="00622009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bm@oks-service.dk</w:t>
              </w:r>
            </w:hyperlink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2009">
              <w:rPr>
                <w:rFonts w:ascii="Arial" w:hAnsi="Arial" w:cs="Arial"/>
                <w:sz w:val="18"/>
                <w:szCs w:val="18"/>
                <w:lang w:val="en-US"/>
              </w:rPr>
              <w:t>Tlf. 40 13 37 67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Tilstede ved tilsynet fra virksomheden</w:t>
            </w:r>
          </w:p>
        </w:tc>
        <w:tc>
          <w:tcPr>
            <w:tcW w:w="1250" w:type="pct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Bruno Mortensen</w:t>
            </w:r>
          </w:p>
        </w:tc>
      </w:tr>
      <w:tr w:rsidR="00990B79" w:rsidRPr="00954549" w:rsidTr="00990B79">
        <w:trPr>
          <w:trHeight w:val="464"/>
        </w:trPr>
        <w:tc>
          <w:tcPr>
            <w:tcW w:w="2500" w:type="pct"/>
            <w:gridSpan w:val="2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 xml:space="preserve">Formål med tilsynet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 xml:space="preserve">Basistilsyn </w:t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6220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22009">
              <w:rPr>
                <w:rFonts w:ascii="Arial" w:hAnsi="Arial" w:cs="Arial"/>
                <w:sz w:val="18"/>
                <w:szCs w:val="18"/>
              </w:rPr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622009">
              <w:rPr>
                <w:rFonts w:ascii="Arial" w:hAnsi="Arial" w:cs="Arial"/>
                <w:sz w:val="18"/>
                <w:szCs w:val="18"/>
              </w:rPr>
              <w:t xml:space="preserve">  Tilsynskampagne  </w:t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6220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22009">
              <w:rPr>
                <w:rFonts w:ascii="Arial" w:hAnsi="Arial" w:cs="Arial"/>
                <w:sz w:val="18"/>
                <w:szCs w:val="18"/>
              </w:rPr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622009">
              <w:rPr>
                <w:rFonts w:ascii="Arial" w:hAnsi="Arial" w:cs="Arial"/>
                <w:sz w:val="18"/>
                <w:szCs w:val="18"/>
              </w:rPr>
              <w:t xml:space="preserve"> Delvist tilsyn </w:t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6220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22009">
              <w:rPr>
                <w:rFonts w:ascii="Arial" w:hAnsi="Arial" w:cs="Arial"/>
                <w:sz w:val="18"/>
                <w:szCs w:val="18"/>
              </w:rPr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20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990B79" w:rsidRPr="00954549" w:rsidTr="00990B79">
        <w:trPr>
          <w:trHeight w:val="452"/>
        </w:trPr>
        <w:tc>
          <w:tcPr>
            <w:tcW w:w="5000" w:type="pct"/>
            <w:gridSpan w:val="4"/>
            <w:shd w:val="clear" w:color="auto" w:fill="92D050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Beskrivelse af virksomheden</w:t>
            </w:r>
          </w:p>
        </w:tc>
      </w:tr>
      <w:tr w:rsidR="00990B79" w:rsidRPr="001C7AC4" w:rsidTr="00622009">
        <w:trPr>
          <w:trHeight w:val="3240"/>
        </w:trPr>
        <w:tc>
          <w:tcPr>
            <w:tcW w:w="5000" w:type="pct"/>
            <w:gridSpan w:val="4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Virksomheden blev etableret i 2001.</w:t>
            </w:r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Aktiviteter på virksomheden: Vaskeriets aktiviteter omfatter maskinvask af mopper og måtter samt privattøj, håndklæder og viskestykker. Vaskeriet har to vaskemaskiner og to tørretumblere. Vaskeriet er kun en mindre del af virksomheden, der primært</w:t>
            </w:r>
            <w:r w:rsidRPr="00622009">
              <w:rPr>
                <w:rFonts w:ascii="Arial" w:hAnsi="Arial" w:cs="Arial"/>
                <w:sz w:val="18"/>
                <w:szCs w:val="18"/>
              </w:rPr>
              <w:t xml:space="preserve"> beskæftiger sig med rengøring. </w:t>
            </w:r>
            <w:r w:rsidRPr="00622009">
              <w:rPr>
                <w:rFonts w:ascii="Arial" w:hAnsi="Arial" w:cs="Arial"/>
                <w:sz w:val="18"/>
                <w:szCs w:val="18"/>
              </w:rPr>
              <w:t>Ved tilsynet blev virksomhedens samlede miljøforhold gennemgået.</w:t>
            </w:r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 xml:space="preserve">Virksomheden er omfattet af pkt. E 60 på bilag 1 til brugerbetalingsbekendtgørelsen </w:t>
            </w:r>
            <w:r w:rsidRPr="00622009">
              <w:rPr>
                <w:rFonts w:ascii="Arial" w:hAnsi="Arial" w:cs="Arial"/>
                <w:sz w:val="18"/>
                <w:szCs w:val="18"/>
                <w:shd w:val="clear" w:color="auto" w:fill="F9F9FB"/>
              </w:rPr>
              <w:t>BEK nr. 1475 af 12/12/2017</w:t>
            </w:r>
            <w:r w:rsidRPr="00622009">
              <w:rPr>
                <w:rFonts w:ascii="Arial" w:hAnsi="Arial" w:cs="Arial"/>
                <w:sz w:val="18"/>
                <w:szCs w:val="18"/>
              </w:rPr>
              <w:t>: ”Renserier og erhvervsmæssigt drevne vaskerier”.</w:t>
            </w:r>
            <w:r w:rsidRPr="006220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009">
              <w:rPr>
                <w:rFonts w:ascii="Arial" w:hAnsi="Arial" w:cs="Arial"/>
                <w:sz w:val="18"/>
                <w:szCs w:val="18"/>
              </w:rPr>
              <w:t>Afstand til forureningsfølsomt område: Mere end 100 m</w:t>
            </w:r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Ansatte: 1 (Kim Mortensen)</w:t>
            </w:r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 xml:space="preserve">Arbejdstider: </w:t>
            </w:r>
          </w:p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Klargøringsaktiviteter starter ca. kl. 7.00. Almindelig drift er ca. kl. 9.00-15.00 på hverdage.</w:t>
            </w:r>
          </w:p>
        </w:tc>
      </w:tr>
      <w:tr w:rsidR="00990B79" w:rsidRPr="00954549" w:rsidTr="00990B79">
        <w:trPr>
          <w:trHeight w:val="452"/>
        </w:trPr>
        <w:tc>
          <w:tcPr>
            <w:tcW w:w="5000" w:type="pct"/>
            <w:gridSpan w:val="4"/>
            <w:shd w:val="clear" w:color="auto" w:fill="92D050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Egenkontrol/Rapportering</w:t>
            </w:r>
          </w:p>
        </w:tc>
      </w:tr>
      <w:tr w:rsidR="00990B79" w:rsidRPr="00954549" w:rsidTr="00990B79">
        <w:trPr>
          <w:trHeight w:val="464"/>
        </w:trPr>
        <w:tc>
          <w:tcPr>
            <w:tcW w:w="5000" w:type="pct"/>
            <w:gridSpan w:val="4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 xml:space="preserve">Virksomheden udfører egenkontrol med pejling af sandfang. </w:t>
            </w:r>
          </w:p>
        </w:tc>
      </w:tr>
      <w:tr w:rsidR="00990B79" w:rsidRPr="00954549" w:rsidTr="00990B79">
        <w:trPr>
          <w:trHeight w:val="464"/>
        </w:trPr>
        <w:tc>
          <w:tcPr>
            <w:tcW w:w="5000" w:type="pct"/>
            <w:gridSpan w:val="4"/>
            <w:shd w:val="clear" w:color="auto" w:fill="92D050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Jordforurening</w:t>
            </w:r>
          </w:p>
        </w:tc>
      </w:tr>
      <w:tr w:rsidR="00990B79" w:rsidRPr="00954549" w:rsidTr="00622009">
        <w:trPr>
          <w:trHeight w:val="926"/>
        </w:trPr>
        <w:tc>
          <w:tcPr>
            <w:tcW w:w="5000" w:type="pct"/>
            <w:gridSpan w:val="4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Ejendommen er forureningskortlagt på V2 af Region Hovedstaden den 01-03-2011.</w:t>
            </w:r>
            <w:r w:rsidRPr="006220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009">
              <w:rPr>
                <w:rFonts w:ascii="Arial" w:hAnsi="Arial" w:cs="Arial"/>
                <w:sz w:val="18"/>
                <w:szCs w:val="18"/>
              </w:rPr>
              <w:t>Forureningstype: Oliekomponenter, klorerede oplø</w:t>
            </w:r>
            <w:bookmarkStart w:id="3" w:name="_GoBack"/>
            <w:bookmarkEnd w:id="3"/>
            <w:r w:rsidRPr="00622009">
              <w:rPr>
                <w:rFonts w:ascii="Arial" w:hAnsi="Arial" w:cs="Arial"/>
                <w:sz w:val="18"/>
                <w:szCs w:val="18"/>
              </w:rPr>
              <w:t>sningsmidler og tungmetaller.</w:t>
            </w:r>
            <w:r w:rsidRPr="006220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009">
              <w:rPr>
                <w:rFonts w:ascii="Arial" w:hAnsi="Arial" w:cs="Arial"/>
                <w:sz w:val="18"/>
                <w:szCs w:val="18"/>
              </w:rPr>
              <w:t>Der er ikke konstateret ny jordforurening ved tilsynet.</w:t>
            </w:r>
          </w:p>
        </w:tc>
      </w:tr>
      <w:tr w:rsidR="00990B79" w:rsidRPr="00954549" w:rsidTr="00990B79">
        <w:trPr>
          <w:trHeight w:val="464"/>
        </w:trPr>
        <w:tc>
          <w:tcPr>
            <w:tcW w:w="5000" w:type="pct"/>
            <w:gridSpan w:val="4"/>
            <w:shd w:val="clear" w:color="auto" w:fill="92D050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sz w:val="18"/>
                <w:szCs w:val="18"/>
              </w:rPr>
              <w:t>Håndhævelser</w:t>
            </w:r>
          </w:p>
        </w:tc>
      </w:tr>
      <w:tr w:rsidR="00990B79" w:rsidRPr="00954549" w:rsidTr="00990B79">
        <w:trPr>
          <w:trHeight w:val="274"/>
        </w:trPr>
        <w:tc>
          <w:tcPr>
            <w:tcW w:w="5000" w:type="pct"/>
            <w:gridSpan w:val="4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Ingen håndhævelser</w:t>
            </w:r>
          </w:p>
        </w:tc>
      </w:tr>
      <w:tr w:rsidR="00990B79" w:rsidRPr="00954549" w:rsidTr="00990B79">
        <w:trPr>
          <w:trHeight w:val="133"/>
        </w:trPr>
        <w:tc>
          <w:tcPr>
            <w:tcW w:w="2500" w:type="pct"/>
            <w:gridSpan w:val="2"/>
            <w:shd w:val="clear" w:color="auto" w:fill="92D050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Tilsynsnotat fremsendt til virksomheden</w:t>
            </w:r>
          </w:p>
        </w:tc>
        <w:tc>
          <w:tcPr>
            <w:tcW w:w="2500" w:type="pct"/>
            <w:gridSpan w:val="2"/>
            <w:shd w:val="clear" w:color="auto" w:fill="92D050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Dato</w:t>
            </w:r>
          </w:p>
        </w:tc>
      </w:tr>
      <w:tr w:rsidR="00990B79" w:rsidRPr="00954549" w:rsidTr="00990B79">
        <w:trPr>
          <w:trHeight w:val="133"/>
        </w:trPr>
        <w:tc>
          <w:tcPr>
            <w:tcW w:w="2500" w:type="pct"/>
            <w:gridSpan w:val="2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 xml:space="preserve">Notat fremsendt til kommentering hos virksomheden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990B79" w:rsidRPr="00622009" w:rsidRDefault="00990B79" w:rsidP="00990B79">
            <w:pPr>
              <w:rPr>
                <w:rFonts w:ascii="Arial" w:hAnsi="Arial" w:cs="Arial"/>
                <w:sz w:val="18"/>
                <w:szCs w:val="18"/>
              </w:rPr>
            </w:pPr>
            <w:r w:rsidRPr="00622009">
              <w:rPr>
                <w:rFonts w:ascii="Arial" w:hAnsi="Arial" w:cs="Arial"/>
                <w:sz w:val="18"/>
                <w:szCs w:val="18"/>
              </w:rPr>
              <w:t>27-07-2020</w:t>
            </w:r>
          </w:p>
        </w:tc>
      </w:tr>
    </w:tbl>
    <w:p w:rsidR="00B809A9" w:rsidRDefault="00622009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4FD2"/>
    <w:multiLevelType w:val="hybridMultilevel"/>
    <w:tmpl w:val="7366952A"/>
    <w:lvl w:ilvl="0" w:tplc="D6A8A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79"/>
    <w:rsid w:val="00622009"/>
    <w:rsid w:val="00990B79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F69D"/>
  <w15:chartTrackingRefBased/>
  <w15:docId w15:val="{F18BAF7B-7CD1-4220-95CA-B4C61FE8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7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90B7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90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@oks-servic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2020-07-27T13:25:00Z</dcterms:created>
  <dcterms:modified xsi:type="dcterms:W3CDTF">2020-07-27T13:32:00Z</dcterms:modified>
</cp:coreProperties>
</file>