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0F63D5" w:rsidTr="00E94930">
        <w:trPr>
          <w:trHeight w:val="1417"/>
        </w:trPr>
        <w:tc>
          <w:tcPr>
            <w:tcW w:w="5670" w:type="dxa"/>
          </w:tcPr>
          <w:p w:rsidR="000F63D5" w:rsidRPr="000F63D5" w:rsidRDefault="000F63D5" w:rsidP="000F63D5">
            <w:pPr>
              <w:pStyle w:val="Modtager"/>
              <w:rPr>
                <w:rFonts w:ascii="Calibri" w:hAnsi="Calibri" w:cs="Calibri"/>
              </w:rPr>
            </w:pPr>
            <w:r w:rsidRPr="000F63D5">
              <w:rPr>
                <w:rFonts w:ascii="Calibri" w:hAnsi="Calibri" w:cs="Calibri"/>
              </w:rPr>
              <w:t>Helsingø</w:t>
            </w:r>
            <w:r>
              <w:rPr>
                <w:rFonts w:ascii="Calibri" w:hAnsi="Calibri" w:cs="Calibri"/>
              </w:rPr>
              <w:t>r</w:t>
            </w:r>
            <w:r w:rsidRPr="000F63D5">
              <w:rPr>
                <w:rFonts w:ascii="Calibri" w:hAnsi="Calibri" w:cs="Calibri"/>
              </w:rPr>
              <w:t xml:space="preserve"> Kraftvarmeværk A/S</w:t>
            </w:r>
          </w:p>
          <w:p w:rsidR="00964195" w:rsidRPr="000F63D5" w:rsidRDefault="000F63D5" w:rsidP="000F63D5">
            <w:pPr>
              <w:pStyle w:val="Modtager"/>
            </w:pPr>
            <w:r w:rsidRPr="000F63D5">
              <w:rPr>
                <w:rFonts w:ascii="Calibri" w:hAnsi="Calibri" w:cs="Calibri"/>
              </w:rPr>
              <w:t>Att.: Claus Bo Fr</w:t>
            </w:r>
            <w:r>
              <w:rPr>
                <w:rFonts w:ascii="Calibri" w:hAnsi="Calibri" w:cs="Calibri"/>
              </w:rPr>
              <w:t>e</w:t>
            </w:r>
            <w:r w:rsidRPr="000F63D5">
              <w:rPr>
                <w:rFonts w:ascii="Calibri" w:hAnsi="Calibri" w:cs="Calibri"/>
              </w:rPr>
              <w:t>deriksen</w:t>
            </w:r>
          </w:p>
        </w:tc>
      </w:tr>
    </w:tbl>
    <w:tbl>
      <w:tblPr>
        <w:tblpPr w:rightFromText="142" w:vertAnchor="page" w:horzAnchor="page" w:tblpX="6975" w:tblpY="2099"/>
        <w:tblOverlap w:val="never"/>
        <w:tblW w:w="0" w:type="auto"/>
        <w:tblLayout w:type="fixed"/>
        <w:tblCellMar>
          <w:left w:w="0" w:type="dxa"/>
          <w:right w:w="0" w:type="dxa"/>
        </w:tblCellMar>
        <w:tblLook w:val="0000" w:firstRow="0" w:lastRow="0" w:firstColumn="0" w:lastColumn="0" w:noHBand="0" w:noVBand="0"/>
      </w:tblPr>
      <w:tblGrid>
        <w:gridCol w:w="4196"/>
      </w:tblGrid>
      <w:tr w:rsidR="00964195" w:rsidRPr="000F63D5" w:rsidTr="00E94930">
        <w:trPr>
          <w:trHeight w:val="397"/>
        </w:trPr>
        <w:tc>
          <w:tcPr>
            <w:tcW w:w="4196" w:type="dxa"/>
            <w:vAlign w:val="bottom"/>
          </w:tcPr>
          <w:p w:rsidR="00964195" w:rsidRPr="000F63D5" w:rsidRDefault="000F63D5" w:rsidP="000F63D5">
            <w:pPr>
              <w:pStyle w:val="KolofonFed"/>
            </w:pPr>
            <w:r w:rsidRPr="000F63D5">
              <w:rPr>
                <w:rFonts w:ascii="Calibri" w:hAnsi="Calibri" w:cs="Calibri"/>
              </w:rPr>
              <w:t>Center for By Land og Vand</w:t>
            </w:r>
          </w:p>
        </w:tc>
      </w:tr>
    </w:tbl>
    <w:tbl>
      <w:tblPr>
        <w:tblpPr w:leftFromText="142" w:rightFromText="142" w:vertAnchor="page" w:horzAnchor="page" w:tblpX="8903" w:tblpY="25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0F63D5" w:rsidTr="00C97EEF">
        <w:trPr>
          <w:trHeight w:val="2835"/>
        </w:trPr>
        <w:tc>
          <w:tcPr>
            <w:tcW w:w="2268" w:type="dxa"/>
          </w:tcPr>
          <w:p w:rsidR="000F63D5" w:rsidRPr="000F63D5" w:rsidRDefault="000F63D5" w:rsidP="000F63D5">
            <w:pPr>
              <w:pStyle w:val="Kolofon"/>
              <w:rPr>
                <w:rFonts w:ascii="Calibri" w:hAnsi="Calibri" w:cs="Calibri"/>
              </w:rPr>
            </w:pPr>
            <w:r w:rsidRPr="000F63D5">
              <w:rPr>
                <w:rFonts w:ascii="Calibri" w:hAnsi="Calibri" w:cs="Calibri"/>
              </w:rPr>
              <w:t>Natur og Miljø</w:t>
            </w:r>
          </w:p>
          <w:p w:rsidR="000F63D5" w:rsidRPr="000F63D5" w:rsidRDefault="000F63D5" w:rsidP="000F63D5">
            <w:pPr>
              <w:pStyle w:val="Kolofon"/>
              <w:rPr>
                <w:rFonts w:ascii="Calibri" w:hAnsi="Calibri" w:cs="Calibri"/>
              </w:rPr>
            </w:pPr>
            <w:r w:rsidRPr="000F63D5">
              <w:rPr>
                <w:rFonts w:ascii="Calibri" w:hAnsi="Calibri" w:cs="Calibri"/>
              </w:rPr>
              <w:t>Prøvestensvej 52</w:t>
            </w:r>
          </w:p>
          <w:p w:rsidR="000F63D5" w:rsidRPr="000F63D5" w:rsidRDefault="000F63D5" w:rsidP="000F63D5">
            <w:pPr>
              <w:pStyle w:val="Kolofon"/>
              <w:rPr>
                <w:rFonts w:ascii="Calibri" w:hAnsi="Calibri" w:cs="Calibri"/>
              </w:rPr>
            </w:pPr>
            <w:r w:rsidRPr="000F63D5">
              <w:rPr>
                <w:rFonts w:ascii="Calibri" w:hAnsi="Calibri" w:cs="Calibri"/>
              </w:rPr>
              <w:t>3000 Helsingør</w:t>
            </w:r>
          </w:p>
          <w:p w:rsidR="000F63D5" w:rsidRPr="000F63D5" w:rsidRDefault="000F63D5" w:rsidP="000F63D5">
            <w:pPr>
              <w:pStyle w:val="KolofonAfstand"/>
            </w:pPr>
          </w:p>
          <w:p w:rsidR="000F63D5" w:rsidRPr="000F63D5" w:rsidRDefault="000F63D5" w:rsidP="000F63D5">
            <w:pPr>
              <w:pStyle w:val="Kolofon"/>
              <w:rPr>
                <w:rFonts w:ascii="Calibri" w:hAnsi="Calibri" w:cs="Calibri"/>
              </w:rPr>
            </w:pPr>
            <w:r w:rsidRPr="000F63D5">
              <w:rPr>
                <w:rFonts w:ascii="Calibri" w:hAnsi="Calibri" w:cs="Calibri"/>
              </w:rPr>
              <w:t>Cvr nr. 64 50 20 18</w:t>
            </w:r>
          </w:p>
          <w:p w:rsidR="000F63D5" w:rsidRPr="000F63D5" w:rsidRDefault="000F63D5" w:rsidP="000F63D5">
            <w:pPr>
              <w:pStyle w:val="Kolofon"/>
              <w:rPr>
                <w:rFonts w:ascii="Calibri" w:hAnsi="Calibri" w:cs="Calibri"/>
              </w:rPr>
            </w:pPr>
            <w:r w:rsidRPr="000F63D5">
              <w:rPr>
                <w:rFonts w:ascii="Calibri" w:hAnsi="Calibri" w:cs="Calibri"/>
              </w:rPr>
              <w:t>Dato 17.09.2018</w:t>
            </w:r>
          </w:p>
          <w:p w:rsidR="000F63D5" w:rsidRPr="000F63D5" w:rsidRDefault="000F63D5" w:rsidP="000F63D5">
            <w:pPr>
              <w:pStyle w:val="Kolofon"/>
              <w:rPr>
                <w:rFonts w:ascii="Calibri" w:hAnsi="Calibri" w:cs="Calibri"/>
              </w:rPr>
            </w:pPr>
            <w:r w:rsidRPr="000F63D5">
              <w:rPr>
                <w:rFonts w:ascii="Calibri" w:hAnsi="Calibri" w:cs="Calibri"/>
              </w:rPr>
              <w:t>Sagsnr. 18/1454</w:t>
            </w:r>
          </w:p>
          <w:p w:rsidR="000F63D5" w:rsidRPr="000F63D5" w:rsidRDefault="000F63D5" w:rsidP="000F63D5">
            <w:pPr>
              <w:pStyle w:val="KolofonAfstand"/>
            </w:pPr>
          </w:p>
          <w:p w:rsidR="000F63D5" w:rsidRPr="000F63D5" w:rsidRDefault="000F63D5" w:rsidP="000F63D5">
            <w:pPr>
              <w:pStyle w:val="Kolofon"/>
              <w:rPr>
                <w:rFonts w:ascii="Calibri" w:hAnsi="Calibri" w:cs="Calibri"/>
              </w:rPr>
            </w:pPr>
            <w:r w:rsidRPr="000F63D5">
              <w:rPr>
                <w:rFonts w:ascii="Calibri" w:hAnsi="Calibri" w:cs="Calibri"/>
              </w:rPr>
              <w:t>Sagsbehandler</w:t>
            </w:r>
          </w:p>
          <w:p w:rsidR="000F63D5" w:rsidRPr="000F63D5" w:rsidRDefault="000F63D5" w:rsidP="000F63D5">
            <w:pPr>
              <w:pStyle w:val="Kolofon"/>
              <w:rPr>
                <w:rFonts w:ascii="Calibri" w:hAnsi="Calibri" w:cs="Calibri"/>
              </w:rPr>
            </w:pPr>
            <w:r w:rsidRPr="000F63D5">
              <w:rPr>
                <w:rFonts w:ascii="Calibri" w:hAnsi="Calibri" w:cs="Calibri"/>
                <w:b/>
              </w:rPr>
              <w:t>Malene Kamstrup</w:t>
            </w:r>
          </w:p>
          <w:p w:rsidR="000F63D5" w:rsidRPr="000F63D5" w:rsidRDefault="000F63D5" w:rsidP="000F63D5">
            <w:pPr>
              <w:pStyle w:val="Kolofon"/>
              <w:rPr>
                <w:rFonts w:ascii="Calibri" w:hAnsi="Calibri" w:cs="Calibri"/>
              </w:rPr>
            </w:pPr>
            <w:r w:rsidRPr="000F63D5">
              <w:rPr>
                <w:rFonts w:ascii="Calibri" w:hAnsi="Calibri" w:cs="Calibri"/>
              </w:rPr>
              <w:t>Ingeniør</w:t>
            </w:r>
          </w:p>
          <w:p w:rsidR="000F63D5" w:rsidRPr="000F63D5" w:rsidRDefault="000F63D5" w:rsidP="000F63D5">
            <w:pPr>
              <w:pStyle w:val="Kolofon"/>
              <w:rPr>
                <w:rFonts w:ascii="Calibri" w:hAnsi="Calibri" w:cs="Calibri"/>
              </w:rPr>
            </w:pPr>
            <w:r w:rsidRPr="000F63D5">
              <w:rPr>
                <w:rFonts w:ascii="Calibri" w:hAnsi="Calibri" w:cs="Calibri"/>
              </w:rPr>
              <w:t>Tlf. 49 28 24 54</w:t>
            </w:r>
          </w:p>
          <w:p w:rsidR="000F63D5" w:rsidRPr="000F63D5" w:rsidRDefault="000F63D5" w:rsidP="000F63D5">
            <w:pPr>
              <w:pStyle w:val="Kolofon"/>
              <w:rPr>
                <w:rFonts w:ascii="Calibri" w:hAnsi="Calibri" w:cs="Calibri"/>
              </w:rPr>
            </w:pPr>
            <w:r w:rsidRPr="000F63D5">
              <w:rPr>
                <w:rFonts w:ascii="Calibri" w:hAnsi="Calibri" w:cs="Calibri"/>
              </w:rPr>
              <w:t>mka55@helsingor.dk</w:t>
            </w:r>
          </w:p>
          <w:p w:rsidR="00964195" w:rsidRPr="000F63D5" w:rsidRDefault="000F63D5" w:rsidP="000F63D5">
            <w:pPr>
              <w:pStyle w:val="Kolofon"/>
            </w:pPr>
            <w:r w:rsidRPr="000F63D5">
              <w:rPr>
                <w:rFonts w:ascii="Calibri" w:hAnsi="Calibri" w:cs="Calibri"/>
              </w:rPr>
              <w:t>www.helsingor.dk</w:t>
            </w:r>
          </w:p>
        </w:tc>
      </w:tr>
    </w:tbl>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0F63D5" w:rsidTr="00FB7144">
        <w:trPr>
          <w:trHeight w:val="2835"/>
        </w:trPr>
        <w:tc>
          <w:tcPr>
            <w:tcW w:w="2268" w:type="dxa"/>
            <w:vAlign w:val="bottom"/>
          </w:tcPr>
          <w:p w:rsidR="00964195" w:rsidRPr="000F63D5" w:rsidRDefault="00964195" w:rsidP="00FB7144">
            <w:pPr>
              <w:pStyle w:val="Kolofon"/>
            </w:pPr>
          </w:p>
        </w:tc>
      </w:tr>
    </w:tbl>
    <w:tbl>
      <w:tblPr>
        <w:tblpPr w:vertAnchor="page" w:horzAnchor="page" w:tblpX="1260" w:tblpY="14856"/>
        <w:tblOverlap w:val="never"/>
        <w:tblW w:w="0" w:type="auto"/>
        <w:tblLayout w:type="fixed"/>
        <w:tblCellMar>
          <w:left w:w="0" w:type="dxa"/>
          <w:right w:w="0" w:type="dxa"/>
        </w:tblCellMar>
        <w:tblLook w:val="0000" w:firstRow="0" w:lastRow="0" w:firstColumn="0" w:lastColumn="0" w:noHBand="0" w:noVBand="0"/>
      </w:tblPr>
      <w:tblGrid>
        <w:gridCol w:w="7371"/>
      </w:tblGrid>
      <w:tr w:rsidR="00CC21C1" w:rsidRPr="000F63D5" w:rsidTr="00B26D14">
        <w:trPr>
          <w:trHeight w:hRule="exact" w:val="851"/>
        </w:trPr>
        <w:tc>
          <w:tcPr>
            <w:tcW w:w="7371" w:type="dxa"/>
            <w:vAlign w:val="bottom"/>
          </w:tcPr>
          <w:p w:rsidR="00CC21C1" w:rsidRPr="000F63D5" w:rsidRDefault="00CC21C1" w:rsidP="00B26D14">
            <w:pPr>
              <w:pStyle w:val="Kampagne"/>
            </w:pPr>
          </w:p>
        </w:tc>
      </w:tr>
    </w:tbl>
    <w:p w:rsidR="000F63D5" w:rsidRDefault="000F63D5" w:rsidP="000F63D5">
      <w:pPr>
        <w:pStyle w:val="Overskrift1"/>
      </w:pPr>
      <w:r>
        <w:t>Ændrede vilkår om udledning af spildevand til Egebækken samt egenkontrol heraf</w:t>
      </w:r>
    </w:p>
    <w:p w:rsidR="000F63D5" w:rsidRPr="00015467" w:rsidRDefault="000F63D5" w:rsidP="000F63D5">
      <w:r>
        <w:t xml:space="preserve">I miljøgodkendelsen fra 2015 er der en række krav til det spildevand, I vil lede til Egebækken. I har 26. september 2017 og 8. august 2018 søgt om at få ændret nogle af vilkårene, så de kun gælder for processpildevandet. I dette brev præciserer vi at kravene til kvaliteten gælder for det samlede spildevand til Egebækken samt tilpasser nogle vilkår. </w:t>
      </w:r>
    </w:p>
    <w:p w:rsidR="000F63D5" w:rsidRDefault="000F63D5" w:rsidP="000F63D5"/>
    <w:p w:rsidR="000F63D5" w:rsidRPr="00015467" w:rsidRDefault="000F63D5" w:rsidP="000F63D5">
      <w:r>
        <w:t xml:space="preserve">I kommunens brev af 24. april 2018 </w:t>
      </w:r>
      <w:bookmarkStart w:id="0" w:name="_GoBack"/>
      <w:bookmarkEnd w:id="0"/>
      <w:r>
        <w:t xml:space="preserve">har vi foreslået en række ændringer og tilføjelser af miljøgodkendelsens vilkår for at leve op til bat-konklusionerne. Herunder har vi foreslået at ændre vilkår 29 således at I skal tage prøver af det ufortyndede og rensede spildevand fra røggassen. Prøverne skal således tages før processpildevandet ledes til bassinerne. I skal desuden tage en prøve hver måned.  </w:t>
      </w:r>
    </w:p>
    <w:p w:rsidR="000F63D5" w:rsidRPr="00627346" w:rsidRDefault="000F63D5" w:rsidP="000F63D5">
      <w:pPr>
        <w:rPr>
          <w:rFonts w:cstheme="minorHAnsi"/>
          <w:szCs w:val="22"/>
        </w:rPr>
      </w:pPr>
    </w:p>
    <w:p w:rsidR="000F63D5" w:rsidRPr="00627346" w:rsidRDefault="000F63D5" w:rsidP="000F63D5">
      <w:pPr>
        <w:rPr>
          <w:b/>
        </w:rPr>
      </w:pPr>
      <w:r w:rsidRPr="00627346">
        <w:rPr>
          <w:b/>
        </w:rPr>
        <w:t>Tungmetaller og miljøfremmede stoffer</w:t>
      </w:r>
    </w:p>
    <w:p w:rsidR="000F63D5" w:rsidRDefault="000F63D5" w:rsidP="000F63D5">
      <w:r w:rsidRPr="001B6D8E">
        <w:t>Vilkår 28</w:t>
      </w:r>
      <w:r>
        <w:t xml:space="preserve"> fastsætter grænser for en række tungmetaller og miljøfremmede stoffer. Disse krav var tænkt som krav til det blandede spillevand til Egebækken, altså overfladevand og processpildevand.</w:t>
      </w:r>
    </w:p>
    <w:p w:rsidR="000F63D5" w:rsidRDefault="000F63D5" w:rsidP="000F63D5"/>
    <w:p w:rsidR="000F63D5" w:rsidRDefault="000F63D5" w:rsidP="000F63D5">
      <w:r>
        <w:t xml:space="preserve">I forventer at bassinerne ikke bidrager væsentligt til rensning for tungmetaller, og kan ikke forudsige bassinernes effekt på de øvrige stoffer. I søger derfor om lov til at de meddelte grænser for metaller og miljøfremmede stoffer skal gælder for processpildevandet alene. </w:t>
      </w:r>
    </w:p>
    <w:p w:rsidR="000F63D5" w:rsidRDefault="000F63D5" w:rsidP="000F63D5"/>
    <w:p w:rsidR="000F63D5" w:rsidRDefault="000F63D5" w:rsidP="000F63D5">
      <w:proofErr w:type="spellStart"/>
      <w:r>
        <w:t>Urenset</w:t>
      </w:r>
      <w:proofErr w:type="spellEnd"/>
      <w:r>
        <w:t xml:space="preserve"> overfladevand i almindelighed indeholder relativ høje koncentrationer af tungmetaller og miljøfremmede stoffer, koncentrationer, der ofte er betydelig højere end de grænser, der er meddelt i vilkår 28. Grænserne i vilkår 28 er fastsat, så de sikrer, at organismer, der lever i vand ikke tager skade. Formålet med forsinkelses- og filterbassinet er at reducere koncentrationer af tungmetaller og miljøfremmede stoffer fra overfladevandet.</w:t>
      </w:r>
    </w:p>
    <w:p w:rsidR="000F63D5" w:rsidRDefault="000F63D5" w:rsidP="000F63D5"/>
    <w:p w:rsidR="000F63D5" w:rsidRDefault="000F63D5" w:rsidP="000F63D5">
      <w:r>
        <w:t>Bekendtgørelsen om spildevand til recipienter</w:t>
      </w:r>
      <w:r>
        <w:rPr>
          <w:rStyle w:val="Fodnotehenvisning"/>
        </w:rPr>
        <w:footnoteReference w:id="1"/>
      </w:r>
      <w:r>
        <w:t xml:space="preserve"> siger, at kommunen skal stille vilkår der sikrer at spildevand til vandløb ikke medfører en overskridelse af miljøkvalitetskrav. Dette krav gælder alle vandløb uanset om de er målsatte eller ej. I leder spildevand til Egebækken i toppen af vandløbet, og jeres spildevand er afgørende for kvaliteten af vandet i den øverste del af vandløbet. Bekendtgørelsen gælder også jeres overfladevand, da der ikke er tale om diffus forurening, men at I er den eneste forurener af overfladevandet.</w:t>
      </w:r>
    </w:p>
    <w:p w:rsidR="000F63D5" w:rsidRDefault="000F63D5" w:rsidP="000F63D5"/>
    <w:p w:rsidR="000F63D5" w:rsidRDefault="000F63D5" w:rsidP="000F63D5">
      <w:r>
        <w:t>Kommunen forventer, at udformningen og driften af jeres to bassiner vil sikre, at I overholder de i vilkår 28 fastsatte grænser. Kommunen fastholder derfor, at grænserne for tungmetaller og miljøfremmede stoffer gælder for værket samlede udledning af overfladevand og processpildevand til Egebækken.</w:t>
      </w:r>
    </w:p>
    <w:p w:rsidR="000F63D5" w:rsidRDefault="000F63D5" w:rsidP="000F63D5"/>
    <w:p w:rsidR="000F63D5" w:rsidRDefault="000F63D5" w:rsidP="000F63D5">
      <w:r>
        <w:t xml:space="preserve">Kommunen er dog tilfreds med at I planlægger at tage prøver af det ufortyndede processpildevand. På den måde kan I lettere vide om eventuelle variationer og overskridelser stammer fra processpildevandet eller overfladevandet.  </w:t>
      </w:r>
    </w:p>
    <w:p w:rsidR="000F63D5" w:rsidRDefault="000F63D5" w:rsidP="000F63D5">
      <w:pPr>
        <w:rPr>
          <w:b/>
        </w:rPr>
      </w:pPr>
    </w:p>
    <w:p w:rsidR="000F63D5" w:rsidRPr="00913756" w:rsidRDefault="000F63D5" w:rsidP="000F63D5">
      <w:pPr>
        <w:rPr>
          <w:b/>
        </w:rPr>
      </w:pPr>
      <w:r w:rsidRPr="00913756">
        <w:rPr>
          <w:b/>
        </w:rPr>
        <w:t>Temperatur</w:t>
      </w:r>
    </w:p>
    <w:p w:rsidR="000F63D5" w:rsidRPr="00015467" w:rsidRDefault="000F63D5" w:rsidP="000F63D5">
      <w:r>
        <w:t xml:space="preserve">Miljøgodkendelsens vilkår 28 siger at det udledte spildevand skal have en temperatur på 0 – 21,5 grader C. Miljøgodkendelsens vilkår 42 siger desuden, at det udledte spildevand højst må være 5 grader varmere end temperaturen i vandløbet. I behøver dog ikke køle vandet til mindre end 5 grader. </w:t>
      </w:r>
    </w:p>
    <w:p w:rsidR="000F63D5" w:rsidRDefault="000F63D5" w:rsidP="000F63D5"/>
    <w:p w:rsidR="000F63D5" w:rsidRPr="00627346" w:rsidRDefault="000F63D5" w:rsidP="000F63D5">
      <w:pPr>
        <w:rPr>
          <w:rFonts w:cstheme="minorHAnsi"/>
          <w:szCs w:val="22"/>
        </w:rPr>
      </w:pPr>
      <w:r w:rsidRPr="00627346">
        <w:rPr>
          <w:rFonts w:cstheme="minorHAnsi"/>
          <w:szCs w:val="22"/>
        </w:rPr>
        <w:t xml:space="preserve">I notat af 26. september 2017 søger I om at vilkår 28s krav til temperatur kan bortfalde, da det ikke er nødvendigt. </w:t>
      </w:r>
    </w:p>
    <w:p w:rsidR="000F63D5" w:rsidRPr="00627346" w:rsidRDefault="000F63D5" w:rsidP="000F63D5">
      <w:pPr>
        <w:rPr>
          <w:rFonts w:cstheme="minorHAnsi"/>
          <w:szCs w:val="22"/>
        </w:rPr>
      </w:pPr>
    </w:p>
    <w:p w:rsidR="000F63D5" w:rsidRPr="00627346" w:rsidRDefault="000F63D5" w:rsidP="000F63D5">
      <w:pPr>
        <w:autoSpaceDE w:val="0"/>
        <w:autoSpaceDN w:val="0"/>
        <w:adjustRightInd w:val="0"/>
        <w:rPr>
          <w:rFonts w:cstheme="minorHAnsi"/>
          <w:szCs w:val="22"/>
        </w:rPr>
      </w:pPr>
      <w:r>
        <w:rPr>
          <w:rFonts w:cstheme="minorHAnsi"/>
          <w:szCs w:val="22"/>
        </w:rPr>
        <w:t>I planlægger at placere</w:t>
      </w:r>
      <w:r w:rsidRPr="00627346">
        <w:rPr>
          <w:rFonts w:cstheme="minorHAnsi"/>
          <w:szCs w:val="22"/>
        </w:rPr>
        <w:t xml:space="preserve"> en termoføler 5-10 cm nede i sedimentet og en termoføler i spildevandet, der ledes til Egebækken. Termofølerne vil I koble til SRO af køleanlæggene</w:t>
      </w:r>
      <w:r>
        <w:rPr>
          <w:rFonts w:cstheme="minorHAnsi"/>
          <w:szCs w:val="22"/>
        </w:rPr>
        <w:t xml:space="preserve"> for processpildevandet</w:t>
      </w:r>
      <w:r w:rsidRPr="00627346">
        <w:rPr>
          <w:rFonts w:cstheme="minorHAnsi"/>
          <w:szCs w:val="22"/>
        </w:rPr>
        <w:t xml:space="preserve">. </w:t>
      </w:r>
    </w:p>
    <w:p w:rsidR="000F63D5" w:rsidRPr="00627346" w:rsidRDefault="000F63D5" w:rsidP="000F63D5">
      <w:pPr>
        <w:rPr>
          <w:rFonts w:cstheme="minorHAnsi"/>
          <w:szCs w:val="22"/>
        </w:rPr>
      </w:pPr>
    </w:p>
    <w:p w:rsidR="000F63D5" w:rsidRDefault="000F63D5" w:rsidP="000F63D5">
      <w:pPr>
        <w:rPr>
          <w:rFonts w:cstheme="minorHAnsi"/>
          <w:szCs w:val="22"/>
        </w:rPr>
      </w:pPr>
      <w:r w:rsidRPr="00627346">
        <w:rPr>
          <w:rFonts w:cstheme="minorHAnsi"/>
          <w:szCs w:val="22"/>
        </w:rPr>
        <w:t>Kommu</w:t>
      </w:r>
      <w:r>
        <w:rPr>
          <w:rFonts w:cstheme="minorHAnsi"/>
          <w:szCs w:val="22"/>
        </w:rPr>
        <w:t>nen er enig, så vi sletter</w:t>
      </w:r>
      <w:r w:rsidRPr="00627346">
        <w:rPr>
          <w:rFonts w:cstheme="minorHAnsi"/>
          <w:szCs w:val="22"/>
        </w:rPr>
        <w:t xml:space="preserve"> krav</w:t>
      </w:r>
      <w:r>
        <w:rPr>
          <w:rFonts w:cstheme="minorHAnsi"/>
          <w:szCs w:val="22"/>
        </w:rPr>
        <w:t>et til temperaturen i vilkår 28</w:t>
      </w:r>
      <w:r w:rsidRPr="00627346">
        <w:rPr>
          <w:rFonts w:cstheme="minorHAnsi"/>
          <w:szCs w:val="22"/>
        </w:rPr>
        <w:t>. På den måde vil vi desuden undgå usikkerhed om hvad der gælder i varme perioder.</w:t>
      </w:r>
      <w:r>
        <w:rPr>
          <w:rFonts w:cstheme="minorHAnsi"/>
          <w:szCs w:val="22"/>
        </w:rPr>
        <w:t xml:space="preserve"> </w:t>
      </w:r>
    </w:p>
    <w:p w:rsidR="000F63D5" w:rsidRDefault="000F63D5" w:rsidP="000F63D5">
      <w:pPr>
        <w:rPr>
          <w:rFonts w:cstheme="minorHAnsi"/>
          <w:szCs w:val="22"/>
        </w:rPr>
      </w:pPr>
    </w:p>
    <w:p w:rsidR="000F63D5" w:rsidRPr="00417194" w:rsidRDefault="000F63D5" w:rsidP="000F63D5">
      <w:pPr>
        <w:rPr>
          <w:b/>
        </w:rPr>
      </w:pPr>
      <w:r w:rsidRPr="00417194">
        <w:rPr>
          <w:b/>
        </w:rPr>
        <w:t>Ilt</w:t>
      </w:r>
    </w:p>
    <w:p w:rsidR="000F63D5" w:rsidRDefault="000F63D5" w:rsidP="000F63D5">
      <w:r>
        <w:t>Vilkår 28 siger, at spildevandets iltmætning skal være mindst 80%.</w:t>
      </w:r>
    </w:p>
    <w:p w:rsidR="000F63D5" w:rsidRDefault="000F63D5" w:rsidP="000F63D5">
      <w:r>
        <w:t xml:space="preserve">I oplyser, at I vil etablere en kompressor i </w:t>
      </w:r>
      <w:proofErr w:type="spellStart"/>
      <w:r>
        <w:t>soldhuset</w:t>
      </w:r>
      <w:proofErr w:type="spellEnd"/>
      <w:r>
        <w:t>. Kompressoren vil blæse en m</w:t>
      </w:r>
      <w:r>
        <w:rPr>
          <w:vertAlign w:val="superscript"/>
        </w:rPr>
        <w:t>3</w:t>
      </w:r>
      <w:r>
        <w:t xml:space="preserve"> luft pr. time ind i spildevandet ved udløbet til Egebækken, for at sikre, at I overholder kravet til ilt. </w:t>
      </w:r>
    </w:p>
    <w:p w:rsidR="000F63D5" w:rsidRDefault="000F63D5" w:rsidP="000F63D5"/>
    <w:p w:rsidR="000F63D5" w:rsidRDefault="000F63D5" w:rsidP="000F63D5">
      <w:r>
        <w:t>Vi fastholder derfor at kravet fra vilkår 28 fra 2015 til ilt gælder ved det fælles udløb til Egebækken.</w:t>
      </w:r>
    </w:p>
    <w:p w:rsidR="000F63D5" w:rsidRDefault="000F63D5" w:rsidP="000F63D5"/>
    <w:p w:rsidR="000F63D5" w:rsidRPr="00F073C9" w:rsidRDefault="000F63D5" w:rsidP="000F63D5">
      <w:pPr>
        <w:rPr>
          <w:b/>
        </w:rPr>
      </w:pPr>
      <w:r w:rsidRPr="00F073C9">
        <w:rPr>
          <w:b/>
        </w:rPr>
        <w:t>pH</w:t>
      </w:r>
    </w:p>
    <w:p w:rsidR="000F63D5" w:rsidRDefault="000F63D5" w:rsidP="000F63D5">
      <w:r>
        <w:t xml:space="preserve">Vilkår 28 siger, at pH skal være mellem 6,5 og 8,0, og at buffervirkningen skal være større end 3 </w:t>
      </w:r>
      <w:proofErr w:type="spellStart"/>
      <w:r>
        <w:t>meq</w:t>
      </w:r>
      <w:proofErr w:type="spellEnd"/>
      <w:r>
        <w:t>/l. Dette krav gælder ved udløbet af det blandede processpildevand og overfladevand.</w:t>
      </w:r>
    </w:p>
    <w:p w:rsidR="000F63D5" w:rsidRDefault="000F63D5" w:rsidP="000F63D5"/>
    <w:p w:rsidR="000F63D5" w:rsidRDefault="000F63D5" w:rsidP="000F63D5">
      <w:r>
        <w:t>I har dog ønsket, at kravet til pH skal gælde for det rensede processpildevand alene. Batkonklusionen stiller ikke krav til spildevandets pH.</w:t>
      </w:r>
    </w:p>
    <w:p w:rsidR="000F63D5" w:rsidRDefault="000F63D5" w:rsidP="000F63D5"/>
    <w:p w:rsidR="000F63D5" w:rsidRDefault="000F63D5" w:rsidP="000F63D5">
      <w:r>
        <w:t>Kommunen forventer, at overfladevandet vil ligge i det godkendte interval. Som for tungmetallerne fastholder vi a</w:t>
      </w:r>
      <w:r w:rsidRPr="00394132">
        <w:t>t jeres krav til pH gælder for både overfladevand og for processpildevandet.</w:t>
      </w:r>
    </w:p>
    <w:p w:rsidR="000F63D5" w:rsidRDefault="000F63D5" w:rsidP="000F63D5"/>
    <w:p w:rsidR="000F63D5" w:rsidRPr="00F073C9" w:rsidRDefault="000F63D5" w:rsidP="000F63D5">
      <w:r>
        <w:t xml:space="preserve">I tilfælde af at der er sket et uheld, hvor der er ledt forurenende stoffer til bassinerne, kan pH falde uden for det godkendte interval.  Det kunne være en brand, hvor I har brugt fjernvarmevand til at slukke ilden med. Eller et uheld med et udslip fra en lastbil. I har oplyst, at I har en ventil ved udløbet til Egebækken. I vil da lukke denne ventil, i sådanne tilfælde. Kommunen stiller vilkår herom.     </w:t>
      </w:r>
    </w:p>
    <w:p w:rsidR="000F63D5" w:rsidRDefault="000F63D5" w:rsidP="000F63D5"/>
    <w:p w:rsidR="000F63D5" w:rsidRPr="003A30C0" w:rsidRDefault="000F63D5" w:rsidP="000F63D5">
      <w:pPr>
        <w:rPr>
          <w:b/>
        </w:rPr>
      </w:pPr>
      <w:r w:rsidRPr="003A30C0">
        <w:rPr>
          <w:b/>
        </w:rPr>
        <w:t>Prøvetagning</w:t>
      </w:r>
    </w:p>
    <w:p w:rsidR="000F63D5" w:rsidRDefault="000F63D5" w:rsidP="000F63D5">
      <w:r>
        <w:t>Vilkår 29 fra 2015 og udkast til vilkår 18 fra april 2018 (bat 5) kræver at prøver af spildevand skal tages i henhold til bekendtgørelse om kvalitetskrav til miljømålinger</w:t>
      </w:r>
      <w:r>
        <w:rPr>
          <w:rStyle w:val="Fodnotehenvisning"/>
        </w:rPr>
        <w:footnoteReference w:id="2"/>
      </w:r>
      <w:r>
        <w:t>. Det vil sige at prøverne skal tages af et akkrediteret laboratorie og efter DS 5667-10.</w:t>
      </w:r>
      <w:r w:rsidRPr="00FF31D6">
        <w:t xml:space="preserve"> </w:t>
      </w:r>
      <w:r>
        <w:t xml:space="preserve">Bekendtgørelsens §10 stk. 1 giver dog </w:t>
      </w:r>
      <w:r w:rsidRPr="00194C5C">
        <w:t>kommunen mulighed for at dispensere fra kravet om at prøverne skal tages af et laborato</w:t>
      </w:r>
      <w:r>
        <w:t xml:space="preserve">rie. Jeres prøvetager overholder DS 5667-10. </w:t>
      </w:r>
    </w:p>
    <w:p w:rsidR="000F63D5" w:rsidRDefault="000F63D5" w:rsidP="000F63D5"/>
    <w:p w:rsidR="000F63D5" w:rsidRDefault="000F63D5" w:rsidP="000F63D5">
      <w:r>
        <w:t>I har søgt om at få lov til at udtage prøverne af processpildevandet selv. Kommunen accepterer dette, og forventer at I kan tage prøverne lige så samvittighedsfyldt som et laboratorie.</w:t>
      </w:r>
    </w:p>
    <w:p w:rsidR="000F63D5" w:rsidRDefault="000F63D5" w:rsidP="000F63D5"/>
    <w:p w:rsidR="000F63D5" w:rsidRPr="006D0E34" w:rsidRDefault="000F63D5" w:rsidP="000F63D5">
      <w:pPr>
        <w:rPr>
          <w:b/>
        </w:rPr>
      </w:pPr>
      <w:r w:rsidRPr="006D0E34">
        <w:rPr>
          <w:b/>
        </w:rPr>
        <w:t>Kommu</w:t>
      </w:r>
      <w:r w:rsidRPr="00281F5D">
        <w:rPr>
          <w:b/>
        </w:rPr>
        <w:t>nens afgørelse</w:t>
      </w:r>
    </w:p>
    <w:p w:rsidR="000F63D5" w:rsidRDefault="000F63D5" w:rsidP="000F63D5">
      <w:r>
        <w:t>Med hjemmel i miljøbeskyttelsesloven §33 og 72 meddeler Helsingør Kommune at ændre følgende vilkår som søgt:</w:t>
      </w:r>
    </w:p>
    <w:p w:rsidR="000F63D5" w:rsidRDefault="000F63D5" w:rsidP="000F63D5"/>
    <w:p w:rsidR="000F63D5" w:rsidRDefault="000F63D5" w:rsidP="000F63D5">
      <w:pPr>
        <w:pStyle w:val="Listeafsnit"/>
        <w:numPr>
          <w:ilvl w:val="0"/>
          <w:numId w:val="2"/>
        </w:numPr>
      </w:pPr>
      <w:r>
        <w:t>Kravet om temperatur i vilkår 28 af juli 2015 udgår.</w:t>
      </w:r>
    </w:p>
    <w:p w:rsidR="000F63D5" w:rsidRDefault="000F63D5" w:rsidP="000F63D5"/>
    <w:p w:rsidR="000F63D5" w:rsidRDefault="000F63D5" w:rsidP="000F63D5">
      <w:pPr>
        <w:pStyle w:val="Listeafsnit"/>
        <w:numPr>
          <w:ilvl w:val="0"/>
          <w:numId w:val="2"/>
        </w:numPr>
      </w:pPr>
      <w:r>
        <w:t xml:space="preserve">Til kontrol af det samlede spildevands kvalitet skal værket mindst hver måned udtage prøver af det sammenblandede spildevand før det ledes til Egebækken. Vandprøverne skal udtages og analyseres i henhold til gældende bekendtgørelse om kvalitetskrav til miljømålinger, og skal analyseres for de parametre, der fremgår af vilkår 28. </w:t>
      </w:r>
    </w:p>
    <w:p w:rsidR="000F63D5" w:rsidRDefault="000F63D5" w:rsidP="000F63D5">
      <w:pPr>
        <w:pStyle w:val="Listeafsnit"/>
      </w:pPr>
    </w:p>
    <w:p w:rsidR="000F63D5" w:rsidRDefault="000F63D5" w:rsidP="000F63D5">
      <w:pPr>
        <w:pStyle w:val="Listeafsnit"/>
      </w:pPr>
      <w:r>
        <w:t>Værket kan dog selv udtage prøverne, både af sammenblandet spildevand og af processpildevandet.</w:t>
      </w:r>
    </w:p>
    <w:p w:rsidR="000F63D5" w:rsidRDefault="000F63D5" w:rsidP="000F63D5"/>
    <w:p w:rsidR="000F63D5" w:rsidRDefault="000F63D5" w:rsidP="000F63D5">
      <w:pPr>
        <w:pStyle w:val="Listeafsnit"/>
        <w:numPr>
          <w:ilvl w:val="0"/>
          <w:numId w:val="2"/>
        </w:numPr>
      </w:pPr>
      <w:r>
        <w:t>For at minimere risikoen for at værket forurener Egebækken, skal værket montere en ventil ved udløbet til Egebækken. Værket skal lukke denne ventil hvis det skulle ske et uheld, hvor der er ledt forurenende stoffer til bassinerne. Det kunne være en brand, hvor I har brugt fjernvarmevand til at slukke ilden med. Eller et uheld med et udslip fra en lastbil.</w:t>
      </w:r>
    </w:p>
    <w:p w:rsidR="000F63D5" w:rsidRDefault="000F63D5" w:rsidP="000F63D5">
      <w:pPr>
        <w:pStyle w:val="Listeafsnit"/>
      </w:pPr>
    </w:p>
    <w:p w:rsidR="000F63D5" w:rsidRDefault="000F63D5" w:rsidP="000F63D5">
      <w:pPr>
        <w:pStyle w:val="Listeafsnit"/>
      </w:pPr>
      <w:r>
        <w:t xml:space="preserve">Sker et sådan uheld, skal kommunen orienteres inden for 24 timer.  </w:t>
      </w:r>
    </w:p>
    <w:p w:rsidR="000F63D5" w:rsidRDefault="000F63D5" w:rsidP="000F63D5"/>
    <w:p w:rsidR="00281F5D" w:rsidRPr="00543846" w:rsidRDefault="00281F5D" w:rsidP="00281F5D">
      <w:pPr>
        <w:rPr>
          <w:b/>
        </w:rPr>
      </w:pPr>
      <w:r w:rsidRPr="00543846">
        <w:rPr>
          <w:b/>
        </w:rPr>
        <w:t>Klagevejledning</w:t>
      </w:r>
    </w:p>
    <w:p w:rsidR="00281F5D" w:rsidRPr="00543846" w:rsidRDefault="00281F5D" w:rsidP="00281F5D">
      <w:r w:rsidRPr="00543846">
        <w:t>I kan klage over afgørelsen. Ønsker I at klage, skal I senest den</w:t>
      </w:r>
      <w:r w:rsidR="005D0EF4">
        <w:t xml:space="preserve"> 17</w:t>
      </w:r>
      <w:r>
        <w:t>. oktober 2018 have</w:t>
      </w:r>
      <w:r w:rsidRPr="00543846">
        <w:t xml:space="preserve"> indtastet klagen i</w:t>
      </w:r>
      <w:r>
        <w:t xml:space="preserve"> </w:t>
      </w:r>
      <w:hyperlink r:id="rId8" w:history="1">
        <w:r w:rsidRPr="00281F5D">
          <w:rPr>
            <w:rStyle w:val="Hyperlink"/>
            <w:rFonts w:eastAsia="Times New Roman" w:cs="Arial"/>
            <w:color w:val="auto"/>
            <w:u w:val="none"/>
            <w:lang w:eastAsia="da-DK"/>
          </w:rPr>
          <w:t>k</w:t>
        </w:r>
        <w:r w:rsidRPr="00281F5D">
          <w:rPr>
            <w:rStyle w:val="Hyperlink"/>
            <w:rFonts w:eastAsia="Times New Roman" w:cs="Arial"/>
            <w:color w:val="auto"/>
            <w:u w:val="none"/>
            <w:lang w:eastAsia="da-DK"/>
          </w:rPr>
          <w:t>lageportalen</w:t>
        </w:r>
      </w:hyperlink>
      <w:r>
        <w:t xml:space="preserve"> </w:t>
      </w:r>
      <w:r w:rsidRPr="00543846">
        <w:t>til Miljø- og Fødevareklagenævnet.</w:t>
      </w:r>
    </w:p>
    <w:p w:rsidR="00281F5D" w:rsidRPr="00543846" w:rsidRDefault="00281F5D" w:rsidP="00281F5D"/>
    <w:p w:rsidR="00281F5D" w:rsidRPr="00543846" w:rsidRDefault="00281F5D" w:rsidP="00281F5D">
      <w:r w:rsidRPr="00543846">
        <w:t>Visse interesseorganisationer kan også klage. Vi sender derfor kopi af afgørelsen til dem, der har ønsket det.</w:t>
      </w:r>
    </w:p>
    <w:p w:rsidR="00281F5D" w:rsidRPr="00543846" w:rsidRDefault="00281F5D" w:rsidP="00281F5D"/>
    <w:p w:rsidR="00281F5D" w:rsidRPr="00543846" w:rsidRDefault="00281F5D" w:rsidP="00281F5D">
      <w:r w:rsidRPr="00543846">
        <w:t>Enhver med en individuel interesse i sagen kan også klage. Vi offentliggør derfor afgørelsen på vores hjemmeside. Enhver kan desuden komme til at se kommunens dokumenter i denne sag.</w:t>
      </w:r>
    </w:p>
    <w:p w:rsidR="00281F5D" w:rsidRPr="00543846" w:rsidRDefault="00281F5D" w:rsidP="00281F5D"/>
    <w:p w:rsidR="00281F5D" w:rsidRPr="00543846" w:rsidRDefault="00281F5D" w:rsidP="00281F5D">
      <w:r w:rsidRPr="00543846">
        <w:t xml:space="preserve">Hvis </w:t>
      </w:r>
      <w:r>
        <w:t>k</w:t>
      </w:r>
      <w:r w:rsidRPr="00543846">
        <w:t>lagenævnet modtager en klage får</w:t>
      </w:r>
      <w:r>
        <w:t xml:space="preserve"> både</w:t>
      </w:r>
      <w:r w:rsidRPr="00543846">
        <w:t xml:space="preserve"> I</w:t>
      </w:r>
      <w:r>
        <w:t xml:space="preserve"> og vi</w:t>
      </w:r>
      <w:r w:rsidRPr="00543846">
        <w:t xml:space="preserve"> besked. Det koster for privatpersoner 900 kroner og for virksomheder og organisationer 1800 kroner at få klagen behandlet, og Klagenævnet sender en opkrævning. I får pengene tilbage, hvis I får helt eller delvist medhold i klagen.</w:t>
      </w:r>
    </w:p>
    <w:p w:rsidR="00281F5D" w:rsidRPr="00543846" w:rsidRDefault="00281F5D" w:rsidP="00281F5D"/>
    <w:p w:rsidR="00281F5D" w:rsidRPr="00543846" w:rsidRDefault="00281F5D" w:rsidP="00281F5D">
      <w:r w:rsidRPr="00543846">
        <w:t>Afgørelsen kan også bringes for domstolene inden</w:t>
      </w:r>
      <w:r>
        <w:t xml:space="preserve"> den 17. marts 2019</w:t>
      </w:r>
      <w:r w:rsidRPr="00543846">
        <w:t>.</w:t>
      </w:r>
    </w:p>
    <w:p w:rsidR="00281F5D" w:rsidRPr="00543846" w:rsidRDefault="00281F5D" w:rsidP="00281F5D"/>
    <w:p w:rsidR="00281F5D" w:rsidRDefault="00281F5D" w:rsidP="00281F5D">
      <w:r w:rsidRPr="00543846">
        <w:t>Kopi:</w:t>
      </w:r>
    </w:p>
    <w:p w:rsidR="00281F5D" w:rsidRPr="00664A42" w:rsidRDefault="00281F5D" w:rsidP="00281F5D">
      <w:pPr>
        <w:numPr>
          <w:ilvl w:val="0"/>
          <w:numId w:val="3"/>
        </w:numPr>
      </w:pPr>
      <w:r w:rsidRPr="00664A42">
        <w:t>Danmarks naturfredningsforening (</w:t>
      </w:r>
      <w:hyperlink r:id="rId9" w:history="1">
        <w:r w:rsidRPr="00664A42">
          <w:rPr>
            <w:rStyle w:val="Hyperlink"/>
          </w:rPr>
          <w:t>dn@dn.dk</w:t>
        </w:r>
      </w:hyperlink>
      <w:r w:rsidRPr="00664A42">
        <w:t>)</w:t>
      </w:r>
    </w:p>
    <w:p w:rsidR="00281F5D" w:rsidRDefault="00281F5D" w:rsidP="00281F5D">
      <w:pPr>
        <w:numPr>
          <w:ilvl w:val="0"/>
          <w:numId w:val="3"/>
        </w:numPr>
      </w:pPr>
      <w:r>
        <w:t>Styrelsen for Patientsikkerhed</w:t>
      </w:r>
      <w:r w:rsidRPr="00664A42">
        <w:t xml:space="preserve"> </w:t>
      </w:r>
      <w:r>
        <w:t>(</w:t>
      </w:r>
      <w:hyperlink r:id="rId10" w:history="1">
        <w:r w:rsidRPr="00DF0771">
          <w:rPr>
            <w:rStyle w:val="Hyperlink"/>
          </w:rPr>
          <w:t>stps@stps.dk</w:t>
        </w:r>
      </w:hyperlink>
      <w:r>
        <w:t>)</w:t>
      </w:r>
    </w:p>
    <w:p w:rsidR="000F63D5" w:rsidRPr="00752533" w:rsidRDefault="000F63D5" w:rsidP="000F63D5">
      <w:pPr>
        <w:rPr>
          <w:rFonts w:cstheme="minorHAnsi"/>
          <w:szCs w:val="22"/>
        </w:rPr>
      </w:pPr>
    </w:p>
    <w:p w:rsidR="000F63D5" w:rsidRPr="00752533" w:rsidRDefault="000F63D5" w:rsidP="000F63D5">
      <w:pPr>
        <w:rPr>
          <w:rFonts w:cstheme="minorHAnsi"/>
          <w:szCs w:val="22"/>
        </w:rPr>
      </w:pPr>
      <w:r w:rsidRPr="00752533">
        <w:rPr>
          <w:rFonts w:cstheme="minorHAnsi"/>
          <w:szCs w:val="22"/>
        </w:rPr>
        <w:t>Med venlig hilsen</w:t>
      </w:r>
    </w:p>
    <w:p w:rsidR="000F63D5" w:rsidRPr="00015467" w:rsidRDefault="000F63D5" w:rsidP="000F63D5">
      <w:r w:rsidRPr="00F7158F">
        <w:rPr>
          <w:noProof/>
          <w:lang w:eastAsia="da-DK"/>
        </w:rPr>
        <w:drawing>
          <wp:inline distT="0" distB="0" distL="0" distR="0" wp14:anchorId="1D2EE649" wp14:editId="2B45482D">
            <wp:extent cx="1892411" cy="467491"/>
            <wp:effectExtent l="0" t="0" r="0"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502" cy="477889"/>
                    </a:xfrm>
                    <a:prstGeom prst="rect">
                      <a:avLst/>
                    </a:prstGeom>
                    <a:noFill/>
                    <a:ln>
                      <a:noFill/>
                    </a:ln>
                  </pic:spPr>
                </pic:pic>
              </a:graphicData>
            </a:graphic>
          </wp:inline>
        </w:drawing>
      </w:r>
    </w:p>
    <w:p w:rsidR="000F63D5" w:rsidRDefault="000F63D5" w:rsidP="000F63D5">
      <w:pPr>
        <w:rPr>
          <w:rFonts w:ascii="Calibri" w:hAnsi="Calibri" w:cs="Calibri"/>
        </w:rPr>
      </w:pPr>
      <w:r w:rsidRPr="00015467">
        <w:rPr>
          <w:rFonts w:ascii="Calibri" w:hAnsi="Calibri" w:cs="Calibri"/>
        </w:rPr>
        <w:t>Malene Kamstrup</w:t>
      </w:r>
    </w:p>
    <w:p w:rsidR="000F63D5" w:rsidRPr="00015467" w:rsidRDefault="000F63D5" w:rsidP="000F63D5">
      <w:r>
        <w:rPr>
          <w:rFonts w:ascii="Calibri" w:hAnsi="Calibri" w:cs="Calibri"/>
        </w:rPr>
        <w:t>Ingeniør</w:t>
      </w:r>
    </w:p>
    <w:p w:rsidR="00E524FB" w:rsidRPr="000F63D5" w:rsidRDefault="00E524FB" w:rsidP="00C40F85">
      <w:pPr>
        <w:pStyle w:val="Overskrift1"/>
      </w:pPr>
    </w:p>
    <w:p w:rsidR="004A09AB" w:rsidRPr="000F63D5" w:rsidRDefault="004A09AB" w:rsidP="005C2578"/>
    <w:p w:rsidR="004A09AB" w:rsidRPr="000F63D5" w:rsidRDefault="004A09AB" w:rsidP="005C2578"/>
    <w:p w:rsidR="00E63AE4" w:rsidRPr="000F63D5" w:rsidRDefault="00E63AE4" w:rsidP="00B51C65"/>
    <w:sectPr w:rsidR="00E63AE4" w:rsidRPr="000F63D5" w:rsidSect="00EC2CE0">
      <w:headerReference w:type="even" r:id="rId12"/>
      <w:headerReference w:type="default" r:id="rId13"/>
      <w:footerReference w:type="even" r:id="rId14"/>
      <w:footerReference w:type="default" r:id="rId15"/>
      <w:headerReference w:type="first" r:id="rId16"/>
      <w:footerReference w:type="first" r:id="rId17"/>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3D5" w:rsidRPr="000F63D5" w:rsidRDefault="000F63D5" w:rsidP="00413091">
      <w:pPr>
        <w:spacing w:line="240" w:lineRule="auto"/>
      </w:pPr>
      <w:r w:rsidRPr="000F63D5">
        <w:separator/>
      </w:r>
    </w:p>
  </w:endnote>
  <w:endnote w:type="continuationSeparator" w:id="0">
    <w:p w:rsidR="000F63D5" w:rsidRPr="000F63D5" w:rsidRDefault="000F63D5" w:rsidP="00413091">
      <w:pPr>
        <w:spacing w:line="240" w:lineRule="auto"/>
      </w:pPr>
      <w:r w:rsidRPr="000F6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D5" w:rsidRDefault="000F63D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D5" w:rsidRDefault="000F63D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D5" w:rsidRDefault="000F63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3D5" w:rsidRPr="000F63D5" w:rsidRDefault="000F63D5" w:rsidP="00413091">
      <w:pPr>
        <w:spacing w:line="240" w:lineRule="auto"/>
      </w:pPr>
      <w:r w:rsidRPr="000F63D5">
        <w:separator/>
      </w:r>
    </w:p>
  </w:footnote>
  <w:footnote w:type="continuationSeparator" w:id="0">
    <w:p w:rsidR="000F63D5" w:rsidRPr="000F63D5" w:rsidRDefault="000F63D5" w:rsidP="00413091">
      <w:pPr>
        <w:spacing w:line="240" w:lineRule="auto"/>
      </w:pPr>
      <w:r w:rsidRPr="000F63D5">
        <w:continuationSeparator/>
      </w:r>
    </w:p>
  </w:footnote>
  <w:footnote w:id="1">
    <w:p w:rsidR="000F63D5" w:rsidRDefault="000F63D5" w:rsidP="000F63D5">
      <w:pPr>
        <w:pStyle w:val="Fodnotetekst"/>
      </w:pPr>
      <w:r>
        <w:rPr>
          <w:rStyle w:val="Fodnotehenvisning"/>
        </w:rPr>
        <w:footnoteRef/>
      </w:r>
      <w:r>
        <w:t xml:space="preserve"> Bekendtgørelse om krav til udledning af visse forurenende stoffer til vandløb, søer, overgangsvande, kystvande og havområder, 1433 af 21. december 2017</w:t>
      </w:r>
    </w:p>
  </w:footnote>
  <w:footnote w:id="2">
    <w:p w:rsidR="000F63D5" w:rsidRDefault="000F63D5" w:rsidP="000F63D5">
      <w:pPr>
        <w:pStyle w:val="Fodnotetekst"/>
      </w:pPr>
      <w:r>
        <w:rPr>
          <w:rStyle w:val="Fodnotehenvisning"/>
        </w:rPr>
        <w:footnoteRef/>
      </w:r>
      <w:r>
        <w:t xml:space="preserve"> Bekendtgørelse om kvalitetskrav til miljømålinger, nr. 974 af 27. juni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D5" w:rsidRDefault="000F63D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EC2CE0" w:rsidRPr="000F63D5" w:rsidTr="00B51C65">
      <w:trPr>
        <w:trHeight w:hRule="exact" w:val="397"/>
      </w:trPr>
      <w:tc>
        <w:tcPr>
          <w:tcW w:w="2268" w:type="dxa"/>
        </w:tcPr>
        <w:p w:rsidR="00EC2CE0" w:rsidRPr="000F63D5" w:rsidRDefault="00EC2CE0" w:rsidP="00B51C65">
          <w:pPr>
            <w:pStyle w:val="SidetalTop"/>
          </w:pPr>
          <w:r w:rsidRPr="000F63D5">
            <w:t xml:space="preserve">SIDE </w:t>
          </w:r>
          <w:r w:rsidRPr="000F63D5">
            <w:fldChar w:fldCharType="begin"/>
          </w:r>
          <w:r w:rsidRPr="000F63D5">
            <w:instrText>PAGE   \* MERGEFORMAT</w:instrText>
          </w:r>
          <w:r w:rsidRPr="000F63D5">
            <w:fldChar w:fldCharType="separate"/>
          </w:r>
          <w:r w:rsidR="00130F33">
            <w:rPr>
              <w:noProof/>
            </w:rPr>
            <w:t>4</w:t>
          </w:r>
          <w:r w:rsidRPr="000F63D5">
            <w:fldChar w:fldCharType="end"/>
          </w:r>
        </w:p>
      </w:tc>
    </w:tr>
    <w:tr w:rsidR="00EC2CE0" w:rsidRPr="000F63D5" w:rsidTr="00B51C65">
      <w:trPr>
        <w:trHeight w:hRule="exact" w:val="737"/>
      </w:trPr>
      <w:tc>
        <w:tcPr>
          <w:tcW w:w="2268" w:type="dxa"/>
        </w:tcPr>
        <w:p w:rsidR="00EC2CE0" w:rsidRPr="000F63D5" w:rsidRDefault="000F63D5" w:rsidP="000F63D5">
          <w:pPr>
            <w:pStyle w:val="Kolofon"/>
          </w:pPr>
          <w:r w:rsidRPr="000F63D5">
            <w:rPr>
              <w:rFonts w:ascii="Calibri" w:hAnsi="Calibri" w:cs="Calibri"/>
            </w:rPr>
            <w:t>Helsingør Kommune</w:t>
          </w:r>
        </w:p>
      </w:tc>
    </w:tr>
  </w:tbl>
  <w:p w:rsidR="00EC2CE0" w:rsidRPr="000F63D5" w:rsidRDefault="00EC2CE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CE0" w:rsidRPr="000F63D5" w:rsidRDefault="000F63D5">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rsidP="004C79E7">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sz w:val="20"/>
      </w:rPr>
    </w:pPr>
  </w:p>
  <w:p w:rsidR="00EC2CE0" w:rsidRPr="000F63D5" w:rsidRDefault="00EC2CE0">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FC704CD"/>
    <w:multiLevelType w:val="hybridMultilevel"/>
    <w:tmpl w:val="A36027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3.012"/>
    <w:docVar w:name="DocumentCreated" w:val="DocumentCreated"/>
    <w:docVar w:name="DocumentCreatedOK" w:val="DocumentCreatedOK"/>
    <w:docVar w:name="DocumentInitialized" w:val="OK"/>
    <w:docVar w:name="Encrypted_DocCaseNo" w:val="lTTN62llBThoqnEuoi4uNw=="/>
    <w:docVar w:name="IntegrationType" w:val="StandAlone"/>
    <w:docVar w:name="IsDocument" w:val=" "/>
  </w:docVars>
  <w:rsids>
    <w:rsidRoot w:val="000F63D5"/>
    <w:rsid w:val="000001A2"/>
    <w:rsid w:val="000006FB"/>
    <w:rsid w:val="000067DB"/>
    <w:rsid w:val="00007764"/>
    <w:rsid w:val="00023E46"/>
    <w:rsid w:val="00026378"/>
    <w:rsid w:val="00030DEC"/>
    <w:rsid w:val="0003186E"/>
    <w:rsid w:val="00036224"/>
    <w:rsid w:val="00036C45"/>
    <w:rsid w:val="00036DBA"/>
    <w:rsid w:val="00040E89"/>
    <w:rsid w:val="0005218E"/>
    <w:rsid w:val="00060B0F"/>
    <w:rsid w:val="00065EBC"/>
    <w:rsid w:val="00066A12"/>
    <w:rsid w:val="000715E2"/>
    <w:rsid w:val="00076DE4"/>
    <w:rsid w:val="0008370D"/>
    <w:rsid w:val="000861B1"/>
    <w:rsid w:val="000863D1"/>
    <w:rsid w:val="00086A69"/>
    <w:rsid w:val="000919FB"/>
    <w:rsid w:val="000A07F3"/>
    <w:rsid w:val="000A0D31"/>
    <w:rsid w:val="000A28ED"/>
    <w:rsid w:val="000B453D"/>
    <w:rsid w:val="000B5826"/>
    <w:rsid w:val="000F3608"/>
    <w:rsid w:val="000F63D5"/>
    <w:rsid w:val="001057B1"/>
    <w:rsid w:val="00105D58"/>
    <w:rsid w:val="001060F8"/>
    <w:rsid w:val="00106625"/>
    <w:rsid w:val="00106810"/>
    <w:rsid w:val="00110B0A"/>
    <w:rsid w:val="0011198B"/>
    <w:rsid w:val="00121C98"/>
    <w:rsid w:val="00124395"/>
    <w:rsid w:val="00130CFE"/>
    <w:rsid w:val="00130F33"/>
    <w:rsid w:val="0013448C"/>
    <w:rsid w:val="0013561C"/>
    <w:rsid w:val="00137BF1"/>
    <w:rsid w:val="00141ACD"/>
    <w:rsid w:val="00147220"/>
    <w:rsid w:val="00156D2F"/>
    <w:rsid w:val="00160A71"/>
    <w:rsid w:val="001675EF"/>
    <w:rsid w:val="001678F6"/>
    <w:rsid w:val="00176B53"/>
    <w:rsid w:val="00184A30"/>
    <w:rsid w:val="001864A9"/>
    <w:rsid w:val="00187C4D"/>
    <w:rsid w:val="001969F7"/>
    <w:rsid w:val="001A3BE7"/>
    <w:rsid w:val="001A4413"/>
    <w:rsid w:val="001A4CEA"/>
    <w:rsid w:val="001C0814"/>
    <w:rsid w:val="001C3133"/>
    <w:rsid w:val="001C38B9"/>
    <w:rsid w:val="001D23A7"/>
    <w:rsid w:val="001D2F7E"/>
    <w:rsid w:val="001D4423"/>
    <w:rsid w:val="001E0121"/>
    <w:rsid w:val="001F2201"/>
    <w:rsid w:val="001F266B"/>
    <w:rsid w:val="001F71D8"/>
    <w:rsid w:val="002027B8"/>
    <w:rsid w:val="0020773F"/>
    <w:rsid w:val="00215079"/>
    <w:rsid w:val="002157AB"/>
    <w:rsid w:val="002172DB"/>
    <w:rsid w:val="002173B8"/>
    <w:rsid w:val="00217823"/>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80DFD"/>
    <w:rsid w:val="00281F5D"/>
    <w:rsid w:val="00286059"/>
    <w:rsid w:val="00286CD4"/>
    <w:rsid w:val="0029120B"/>
    <w:rsid w:val="002939CB"/>
    <w:rsid w:val="0029518B"/>
    <w:rsid w:val="002A36CC"/>
    <w:rsid w:val="002A7AEC"/>
    <w:rsid w:val="002B67D3"/>
    <w:rsid w:val="002C0779"/>
    <w:rsid w:val="002C5557"/>
    <w:rsid w:val="002D1E0C"/>
    <w:rsid w:val="002E3170"/>
    <w:rsid w:val="002E4D31"/>
    <w:rsid w:val="002F20E5"/>
    <w:rsid w:val="003009AC"/>
    <w:rsid w:val="00313914"/>
    <w:rsid w:val="00313A10"/>
    <w:rsid w:val="00313FA5"/>
    <w:rsid w:val="003232BD"/>
    <w:rsid w:val="00336DDD"/>
    <w:rsid w:val="00340BA9"/>
    <w:rsid w:val="00351A1F"/>
    <w:rsid w:val="00355570"/>
    <w:rsid w:val="00375263"/>
    <w:rsid w:val="00376432"/>
    <w:rsid w:val="003841DB"/>
    <w:rsid w:val="003857E3"/>
    <w:rsid w:val="003921BB"/>
    <w:rsid w:val="00392643"/>
    <w:rsid w:val="0039339D"/>
    <w:rsid w:val="003A1CBA"/>
    <w:rsid w:val="003A4C3E"/>
    <w:rsid w:val="003B5F24"/>
    <w:rsid w:val="003B7D09"/>
    <w:rsid w:val="003B7E31"/>
    <w:rsid w:val="003D1603"/>
    <w:rsid w:val="003D4338"/>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0EF4"/>
    <w:rsid w:val="005D1F59"/>
    <w:rsid w:val="005D23AD"/>
    <w:rsid w:val="005D7D62"/>
    <w:rsid w:val="005E49ED"/>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C49"/>
    <w:rsid w:val="00875E4A"/>
    <w:rsid w:val="00876ADC"/>
    <w:rsid w:val="008819E3"/>
    <w:rsid w:val="00886A41"/>
    <w:rsid w:val="00887ECE"/>
    <w:rsid w:val="00887F6C"/>
    <w:rsid w:val="0089028F"/>
    <w:rsid w:val="00895030"/>
    <w:rsid w:val="0089532E"/>
    <w:rsid w:val="00897044"/>
    <w:rsid w:val="008A603C"/>
    <w:rsid w:val="008B0177"/>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7F67"/>
    <w:rsid w:val="00B80369"/>
    <w:rsid w:val="00B816BE"/>
    <w:rsid w:val="00B82B67"/>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08A"/>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83EA6"/>
    <w:rsid w:val="00E83FAF"/>
    <w:rsid w:val="00E94930"/>
    <w:rsid w:val="00EB02DD"/>
    <w:rsid w:val="00EB5C3E"/>
    <w:rsid w:val="00EB6784"/>
    <w:rsid w:val="00EC2CE0"/>
    <w:rsid w:val="00EC3B87"/>
    <w:rsid w:val="00ED2623"/>
    <w:rsid w:val="00EE0D2D"/>
    <w:rsid w:val="00EE3C44"/>
    <w:rsid w:val="00EE71BB"/>
    <w:rsid w:val="00EE7BE1"/>
    <w:rsid w:val="00EF0A87"/>
    <w:rsid w:val="00F03C20"/>
    <w:rsid w:val="00F073C3"/>
    <w:rsid w:val="00F10D35"/>
    <w:rsid w:val="00F1440E"/>
    <w:rsid w:val="00F1462E"/>
    <w:rsid w:val="00F14752"/>
    <w:rsid w:val="00F2284B"/>
    <w:rsid w:val="00F24046"/>
    <w:rsid w:val="00F27D10"/>
    <w:rsid w:val="00F36A05"/>
    <w:rsid w:val="00F42313"/>
    <w:rsid w:val="00F45F72"/>
    <w:rsid w:val="00F46057"/>
    <w:rsid w:val="00F47AAF"/>
    <w:rsid w:val="00F51592"/>
    <w:rsid w:val="00F52518"/>
    <w:rsid w:val="00F57392"/>
    <w:rsid w:val="00F61505"/>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E1B35"/>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DF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styleId="Fodnotetekst">
    <w:name w:val="footnote text"/>
    <w:basedOn w:val="Normal"/>
    <w:link w:val="FodnotetekstTegn"/>
    <w:uiPriority w:val="99"/>
    <w:semiHidden/>
    <w:unhideWhenUsed/>
    <w:rsid w:val="000F63D5"/>
    <w:pPr>
      <w:spacing w:line="240" w:lineRule="auto"/>
    </w:pPr>
    <w:rPr>
      <w:sz w:val="20"/>
    </w:rPr>
  </w:style>
  <w:style w:type="character" w:customStyle="1" w:styleId="FodnotetekstTegn">
    <w:name w:val="Fodnotetekst Tegn"/>
    <w:basedOn w:val="Standardskrifttypeiafsnit"/>
    <w:link w:val="Fodnotetekst"/>
    <w:uiPriority w:val="99"/>
    <w:semiHidden/>
    <w:rsid w:val="000F63D5"/>
    <w:rPr>
      <w:rFonts w:asciiTheme="minorHAnsi" w:hAnsiTheme="minorHAnsi"/>
    </w:rPr>
  </w:style>
  <w:style w:type="character" w:styleId="Fodnotehenvisning">
    <w:name w:val="footnote reference"/>
    <w:basedOn w:val="Standardskrifttypeiafsnit"/>
    <w:uiPriority w:val="99"/>
    <w:semiHidden/>
    <w:unhideWhenUsed/>
    <w:rsid w:val="000F6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ps@stps.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n@dn.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D7B1-FD45-469B-B754-CD690364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4</Pages>
  <Words>1219</Words>
  <Characters>6800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2018-09-17T10:25:00Z</dcterms:created>
  <dcterms:modified xsi:type="dcterms:W3CDTF">2018-09-17T10:25:00Z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{20583FE0-475D-4A2B-A5AE-590EF89701F1}</vt:lpwstr>
  </property>
</Properties>
</file>