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69F" w:rsidRPr="00CF669F" w:rsidRDefault="00CF669F" w:rsidP="00CF669F">
      <w:pPr>
        <w:rPr>
          <w:b/>
        </w:rPr>
      </w:pPr>
      <w:r w:rsidRPr="00CF669F">
        <w:rPr>
          <w:b/>
        </w:rPr>
        <w:t xml:space="preserve">Tilsynsrapport </w:t>
      </w:r>
      <w:bookmarkStart w:id="0" w:name="_GoBack"/>
      <w:bookmarkEnd w:id="0"/>
      <w:r w:rsidRPr="00CF669F">
        <w:rPr>
          <w:b/>
        </w:rPr>
        <w:tab/>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4A0" w:firstRow="1" w:lastRow="0" w:firstColumn="1" w:lastColumn="0" w:noHBand="0" w:noVBand="1"/>
      </w:tblPr>
      <w:tblGrid>
        <w:gridCol w:w="4395"/>
        <w:gridCol w:w="283"/>
        <w:gridCol w:w="1559"/>
        <w:gridCol w:w="3402"/>
      </w:tblGrid>
      <w:tr w:rsidR="00CF669F" w:rsidRPr="00CF669F" w:rsidTr="00A33CA4">
        <w:trPr>
          <w:cantSplit/>
          <w:trHeight w:val="362"/>
        </w:trPr>
        <w:tc>
          <w:tcPr>
            <w:tcW w:w="6237"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CF669F" w:rsidRPr="00CF669F" w:rsidRDefault="00CF669F" w:rsidP="00CF669F">
            <w:r w:rsidRPr="00CF669F">
              <w:rPr>
                <w:b/>
              </w:rPr>
              <w:t xml:space="preserve">Virksomhed: </w:t>
            </w:r>
            <w:r w:rsidRPr="00CF669F">
              <w:t>Peugeot Specialværksted</w:t>
            </w:r>
          </w:p>
        </w:tc>
        <w:tc>
          <w:tcPr>
            <w:tcW w:w="340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F669F" w:rsidRPr="00CF669F" w:rsidRDefault="00CF669F" w:rsidP="00CF669F">
            <w:r w:rsidRPr="00CF669F">
              <w:rPr>
                <w:b/>
              </w:rPr>
              <w:t xml:space="preserve">Tilsynsdato: </w:t>
            </w:r>
            <w:r w:rsidRPr="00CF669F">
              <w:t>30. april 2019</w:t>
            </w:r>
          </w:p>
        </w:tc>
      </w:tr>
      <w:tr w:rsidR="00CF669F" w:rsidRPr="00CF669F" w:rsidTr="00A33CA4">
        <w:trPr>
          <w:cantSplit/>
          <w:trHeight w:val="350"/>
        </w:trPr>
        <w:tc>
          <w:tcPr>
            <w:tcW w:w="4678" w:type="dxa"/>
            <w:gridSpan w:val="2"/>
            <w:tcBorders>
              <w:top w:val="single" w:sz="4" w:space="0" w:color="auto"/>
              <w:left w:val="single" w:sz="4" w:space="0" w:color="auto"/>
              <w:bottom w:val="single" w:sz="4" w:space="0" w:color="auto"/>
              <w:right w:val="nil"/>
            </w:tcBorders>
            <w:shd w:val="clear" w:color="auto" w:fill="F3F3F3"/>
            <w:vAlign w:val="center"/>
            <w:hideMark/>
          </w:tcPr>
          <w:p w:rsidR="00CF669F" w:rsidRPr="00CF669F" w:rsidRDefault="00CF669F" w:rsidP="00CF669F">
            <w:r w:rsidRPr="00CF669F">
              <w:rPr>
                <w:b/>
              </w:rPr>
              <w:t xml:space="preserve">Adresse: </w:t>
            </w:r>
            <w:r w:rsidRPr="00CF669F">
              <w:t>Nordre Fasanvej 204</w:t>
            </w:r>
          </w:p>
        </w:tc>
        <w:tc>
          <w:tcPr>
            <w:tcW w:w="1559" w:type="dxa"/>
            <w:tcBorders>
              <w:top w:val="single" w:sz="4" w:space="0" w:color="auto"/>
              <w:left w:val="nil"/>
              <w:bottom w:val="single" w:sz="4" w:space="0" w:color="auto"/>
              <w:right w:val="single" w:sz="4" w:space="0" w:color="auto"/>
            </w:tcBorders>
            <w:shd w:val="clear" w:color="auto" w:fill="F3F3F3"/>
            <w:vAlign w:val="center"/>
            <w:hideMark/>
          </w:tcPr>
          <w:p w:rsidR="00CF669F" w:rsidRPr="00CF669F" w:rsidRDefault="00CF669F" w:rsidP="00CF669F">
            <w:pPr>
              <w:rPr>
                <w:b/>
              </w:rPr>
            </w:pPr>
            <w:proofErr w:type="gramStart"/>
            <w:r w:rsidRPr="00CF669F">
              <w:rPr>
                <w:b/>
              </w:rPr>
              <w:t>Matr. nr.</w:t>
            </w:r>
            <w:proofErr w:type="gramEnd"/>
            <w:r w:rsidRPr="00CF669F">
              <w:rPr>
                <w:b/>
              </w:rPr>
              <w:t xml:space="preserve">: </w:t>
            </w:r>
            <w:r w:rsidRPr="00CF669F">
              <w:t>14gt</w:t>
            </w:r>
          </w:p>
        </w:tc>
        <w:tc>
          <w:tcPr>
            <w:tcW w:w="340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F669F" w:rsidRPr="00CF669F" w:rsidRDefault="00CF669F" w:rsidP="00CF669F">
            <w:r w:rsidRPr="00CF669F">
              <w:rPr>
                <w:b/>
              </w:rPr>
              <w:t xml:space="preserve">CVR-nr.: </w:t>
            </w:r>
            <w:r w:rsidRPr="00CF669F">
              <w:t>13815798</w:t>
            </w:r>
          </w:p>
        </w:tc>
      </w:tr>
      <w:tr w:rsidR="00CF669F" w:rsidRPr="00CF669F" w:rsidTr="00A33CA4">
        <w:trPr>
          <w:cantSplit/>
          <w:trHeight w:val="344"/>
        </w:trPr>
        <w:tc>
          <w:tcPr>
            <w:tcW w:w="6237"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CF669F" w:rsidRPr="00CF669F" w:rsidRDefault="00CF669F" w:rsidP="00CF669F">
            <w:r w:rsidRPr="00CF669F">
              <w:rPr>
                <w:b/>
              </w:rPr>
              <w:t xml:space="preserve">Kontaktperson: </w:t>
            </w:r>
            <w:r w:rsidRPr="00CF669F">
              <w:t>John Børge</w:t>
            </w:r>
          </w:p>
        </w:tc>
        <w:tc>
          <w:tcPr>
            <w:tcW w:w="340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F669F" w:rsidRPr="00CF669F" w:rsidRDefault="00CF669F" w:rsidP="00CF669F">
            <w:pPr>
              <w:rPr>
                <w:b/>
              </w:rPr>
            </w:pPr>
            <w:r w:rsidRPr="00CF669F">
              <w:rPr>
                <w:b/>
              </w:rPr>
              <w:t xml:space="preserve">P-nr.: </w:t>
            </w:r>
            <w:r w:rsidRPr="00CF669F">
              <w:t>1000630081</w:t>
            </w:r>
          </w:p>
        </w:tc>
      </w:tr>
      <w:tr w:rsidR="00CF669F" w:rsidRPr="00CF669F" w:rsidTr="00A33CA4">
        <w:trPr>
          <w:cantSplit/>
          <w:trHeight w:val="341"/>
        </w:trPr>
        <w:tc>
          <w:tcPr>
            <w:tcW w:w="6237"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CF669F" w:rsidRPr="00CF669F" w:rsidRDefault="00CF669F" w:rsidP="00CF669F">
            <w:r w:rsidRPr="00CF669F">
              <w:rPr>
                <w:b/>
              </w:rPr>
              <w:t xml:space="preserve">Tlf.: </w:t>
            </w:r>
            <w:r w:rsidRPr="00CF669F">
              <w:t>35851023</w:t>
            </w:r>
          </w:p>
        </w:tc>
        <w:tc>
          <w:tcPr>
            <w:tcW w:w="340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F669F" w:rsidRPr="00CF669F" w:rsidRDefault="00CF669F" w:rsidP="00CF669F">
            <w:proofErr w:type="spellStart"/>
            <w:r w:rsidRPr="00CF669F">
              <w:rPr>
                <w:b/>
              </w:rPr>
              <w:t>Journalnr</w:t>
            </w:r>
            <w:proofErr w:type="spellEnd"/>
            <w:r w:rsidRPr="00CF669F">
              <w:rPr>
                <w:b/>
              </w:rPr>
              <w:t xml:space="preserve">: </w:t>
            </w:r>
            <w:r w:rsidRPr="00CF669F">
              <w:t>09.00.00-K08-16-19</w:t>
            </w:r>
          </w:p>
        </w:tc>
      </w:tr>
      <w:tr w:rsidR="00CF669F" w:rsidRPr="00CF669F" w:rsidTr="00A33CA4">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F669F" w:rsidRPr="00CF669F" w:rsidRDefault="00CF669F" w:rsidP="00CF669F">
            <w:pPr>
              <w:rPr>
                <w:b/>
              </w:rPr>
            </w:pPr>
            <w:r w:rsidRPr="00CF669F">
              <w:rPr>
                <w:b/>
              </w:rPr>
              <w:t>Virksomhedstype</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CF669F" w:rsidRPr="00CF669F" w:rsidRDefault="00CF669F" w:rsidP="00CF669F">
            <w:r w:rsidRPr="00CF669F">
              <w:t>Virksomheden er omfattet af ”Autoværkstedbekendtgørelsen”.</w:t>
            </w:r>
          </w:p>
        </w:tc>
      </w:tr>
      <w:tr w:rsidR="00CF669F" w:rsidRPr="00CF669F" w:rsidTr="00A33CA4">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F669F" w:rsidRPr="00CF669F" w:rsidRDefault="00CF669F" w:rsidP="00CF669F">
            <w:pPr>
              <w:rPr>
                <w:b/>
              </w:rPr>
            </w:pPr>
            <w:r w:rsidRPr="00CF669F">
              <w:rPr>
                <w:b/>
              </w:rPr>
              <w:t>Formålet med tilsynet</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CF669F" w:rsidRPr="00CF669F" w:rsidRDefault="00CF669F" w:rsidP="00CF669F">
            <w:r w:rsidRPr="00CF669F">
              <w:t>Basis tilsyn og kampagne</w:t>
            </w:r>
          </w:p>
          <w:p w:rsidR="00CF669F" w:rsidRPr="00CF669F" w:rsidRDefault="00CF669F" w:rsidP="00CF669F">
            <w:pPr>
              <w:rPr>
                <w:b/>
              </w:rPr>
            </w:pPr>
            <w:r w:rsidRPr="00CF669F">
              <w:t>Gennemgang af virksomhedens miljøforhold samt kampagnetilsyn (opbevaring, håndtering og bortskaffelse af farligt affald).</w:t>
            </w:r>
          </w:p>
        </w:tc>
      </w:tr>
      <w:tr w:rsidR="00CF669F" w:rsidRPr="00CF669F" w:rsidTr="00A33CA4">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F669F" w:rsidRPr="00CF669F" w:rsidRDefault="00CF669F" w:rsidP="00CF669F">
            <w:pPr>
              <w:rPr>
                <w:b/>
              </w:rPr>
            </w:pPr>
            <w:r w:rsidRPr="00CF669F">
              <w:rPr>
                <w:b/>
              </w:rPr>
              <w:t>Tilsynet blev foretaget som:</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CF669F" w:rsidRPr="00CF669F" w:rsidRDefault="00CF669F" w:rsidP="00CF669F">
            <w:r w:rsidRPr="00CF669F">
              <w:t>Varslet tilsyn</w:t>
            </w:r>
          </w:p>
        </w:tc>
      </w:tr>
      <w:tr w:rsidR="00CF669F" w:rsidRPr="00CF669F" w:rsidTr="00A33CA4">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tcPr>
          <w:p w:rsidR="00CF669F" w:rsidRPr="00CF669F" w:rsidRDefault="00CF669F" w:rsidP="00CF669F">
            <w:pPr>
              <w:rPr>
                <w:b/>
              </w:rPr>
            </w:pPr>
            <w:r w:rsidRPr="00CF669F">
              <w:rPr>
                <w:b/>
              </w:rPr>
              <w:t>Jordforurening</w:t>
            </w:r>
          </w:p>
          <w:p w:rsidR="00CF669F" w:rsidRPr="00CF669F" w:rsidRDefault="00CF669F" w:rsidP="00CF669F">
            <w:pPr>
              <w:rPr>
                <w:b/>
              </w:rPr>
            </w:pP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CF669F" w:rsidRPr="00CF669F" w:rsidRDefault="00CF669F" w:rsidP="00CF669F">
            <w:r w:rsidRPr="00CF669F">
              <w:t>Der er ikke konstateret synlig jordforurening ved tilsynet.</w:t>
            </w:r>
          </w:p>
        </w:tc>
      </w:tr>
      <w:tr w:rsidR="00CF669F" w:rsidRPr="00CF669F" w:rsidTr="00A33CA4">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F669F" w:rsidRPr="00CF669F" w:rsidRDefault="00CF669F" w:rsidP="00CF669F">
            <w:pPr>
              <w:rPr>
                <w:b/>
              </w:rPr>
            </w:pPr>
            <w:r w:rsidRPr="00CF669F">
              <w:rPr>
                <w:b/>
              </w:rPr>
              <w:t>Håndhævelsesskridt</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CF669F" w:rsidRPr="00CF669F" w:rsidRDefault="00CF669F" w:rsidP="00CF669F">
            <w:r w:rsidRPr="00CF669F">
              <w:t xml:space="preserve">Henstilling om korrekt opbevaring af farligt affald og kemikalier. </w:t>
            </w:r>
          </w:p>
          <w:p w:rsidR="00CF669F" w:rsidRPr="00CF669F" w:rsidRDefault="00CF669F" w:rsidP="00CF669F">
            <w:r w:rsidRPr="00CF669F">
              <w:t>Spildolie, motorolie og andre kemikalier bliver opbevaret indendørs på fast underlag uden afløb til kloak. Der dog en risiko for at kemikalierne kan ved lækage eller spild løbe ud af værkstedet og ende i jorden eller kloak. Det blev henstillet, at kemikalierne skal opbevares på en måde, som eliminere den risiko. Forholdene skal være bragt i orden inden 1. juli 2019.</w:t>
            </w:r>
          </w:p>
        </w:tc>
      </w:tr>
      <w:tr w:rsidR="00CF669F" w:rsidRPr="00CF669F" w:rsidTr="00A33CA4">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F669F" w:rsidRPr="00CF669F" w:rsidRDefault="00CF669F" w:rsidP="00CF669F">
            <w:pPr>
              <w:rPr>
                <w:b/>
              </w:rPr>
            </w:pPr>
            <w:r w:rsidRPr="00CF669F">
              <w:rPr>
                <w:b/>
              </w:rPr>
              <w:t>Konklusion på virksomhedens egenkontrol</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CF669F" w:rsidRPr="00CF669F" w:rsidRDefault="00CF669F" w:rsidP="00CF669F">
            <w:r w:rsidRPr="00CF669F">
              <w:t>Dokumentation for korrekt bortskaffelse af olie- og kemikalieaffald kunne ikke fremvises på tilsynet. Dokumentationen skal fremsendes senest d. 20. maj 2019.</w:t>
            </w:r>
          </w:p>
        </w:tc>
      </w:tr>
    </w:tbl>
    <w:p w:rsidR="00CF669F" w:rsidRPr="00CF669F" w:rsidRDefault="00CF669F" w:rsidP="00CF669F"/>
    <w:p w:rsidR="008D51B2" w:rsidRDefault="00CF669F"/>
    <w:sectPr w:rsidR="008D51B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9F"/>
    <w:rsid w:val="002C1C17"/>
    <w:rsid w:val="003C2223"/>
    <w:rsid w:val="00824709"/>
    <w:rsid w:val="00CF669F"/>
    <w:rsid w:val="00D602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97FC"/>
  <w15:chartTrackingRefBased/>
  <w15:docId w15:val="{70473050-3DE6-4036-ABD9-E6FF4677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1086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Frederiksberg Kommune</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Hosainzadeh</dc:creator>
  <cp:keywords/>
  <dc:description/>
  <cp:lastModifiedBy>Reza Hosainzadeh</cp:lastModifiedBy>
  <cp:revision>1</cp:revision>
  <dcterms:created xsi:type="dcterms:W3CDTF">2024-07-11T09:03:00Z</dcterms:created>
  <dcterms:modified xsi:type="dcterms:W3CDTF">2024-07-11T09:04:00Z</dcterms:modified>
</cp:coreProperties>
</file>