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47CA4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47CA4">
        <w:rPr>
          <w:rFonts w:ascii="Arial" w:hAnsi="Arial" w:cs="Arial"/>
          <w:b/>
          <w:sz w:val="32"/>
          <w:szCs w:val="32"/>
        </w:rPr>
        <w:t>Tilsynsrapport</w:t>
      </w:r>
      <w:r w:rsidR="00F76C8D" w:rsidRPr="00D47CA4">
        <w:rPr>
          <w:rFonts w:ascii="Arial" w:hAnsi="Arial" w:cs="Arial"/>
          <w:b/>
          <w:sz w:val="32"/>
          <w:szCs w:val="32"/>
        </w:rPr>
        <w:t xml:space="preserve"> </w:t>
      </w:r>
      <w:r w:rsidRPr="00D47CA4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47CA4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EF553B" w:rsidRPr="00D47CA4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47CA4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D47CA4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D47CA4">
        <w:rPr>
          <w:rFonts w:ascii="Arial" w:hAnsi="Arial" w:cs="Arial"/>
          <w:color w:val="000000"/>
          <w:sz w:val="20"/>
        </w:rPr>
        <w:t>.</w:t>
      </w:r>
    </w:p>
    <w:p w:rsidR="00E95D99" w:rsidRPr="00D47CA4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47CA4">
        <w:rPr>
          <w:rFonts w:ascii="Arial" w:hAnsi="Arial" w:cs="Arial"/>
          <w:color w:val="000000"/>
          <w:sz w:val="20"/>
        </w:rPr>
        <w:t>Vi vil gerne tydeliggøre overfor dig, hvilke oplysninger, der er tale om. Oplysningerne fremgår af nedenstående tabel.</w:t>
      </w:r>
    </w:p>
    <w:p w:rsidR="00367912" w:rsidRPr="00D47CA4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098"/>
      </w:tblGrid>
      <w:tr w:rsidR="00E95D99" w:rsidRPr="00D47CA4" w:rsidTr="00D47CA4">
        <w:trPr>
          <w:trHeight w:val="120"/>
        </w:trPr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BA58A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Stald Cedergården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BA58A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Esbjergvej 103</w:t>
            </w:r>
            <w:r w:rsidR="00B17AA5">
              <w:rPr>
                <w:rFonts w:ascii="Arial" w:eastAsia="Calibri" w:hAnsi="Arial" w:cs="Arial"/>
                <w:sz w:val="20"/>
              </w:rPr>
              <w:t>, 6000 Kolding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BA58A5" w:rsidP="008B4339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BA58A5">
              <w:rPr>
                <w:rFonts w:ascii="Arial" w:eastAsia="Calibri" w:hAnsi="Arial" w:cs="Arial"/>
                <w:sz w:val="20"/>
              </w:rPr>
              <w:t>26215951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BA58A5" w:rsidP="00BA58A5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21. oktober</w:t>
            </w:r>
            <w:r w:rsidR="008B4339">
              <w:rPr>
                <w:rFonts w:ascii="Arial" w:eastAsia="Calibri" w:hAnsi="Arial" w:cs="Arial"/>
                <w:color w:val="000000"/>
                <w:sz w:val="20"/>
              </w:rPr>
              <w:t xml:space="preserve"> 2019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D47CA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56175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</w:t>
            </w:r>
            <w:r w:rsidR="00D47CA4" w:rsidRPr="00D47CA4">
              <w:rPr>
                <w:rFonts w:ascii="Arial" w:eastAsia="Calibri" w:hAnsi="Arial" w:cs="Arial"/>
                <w:sz w:val="20"/>
              </w:rPr>
              <w:t>tilsyn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B4183" w:rsidRPr="00D47CA4" w:rsidRDefault="00BA58A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Rideskole</w:t>
            </w:r>
            <w:bookmarkStart w:id="4" w:name="_GoBack"/>
            <w:bookmarkEnd w:id="4"/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56175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At ejendommen overholder produktionstilladelsen samt gældende lovgivning</w:t>
            </w:r>
            <w:r w:rsidR="00D47CA4" w:rsidRPr="00D47CA4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65617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47CA4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47CA4" w:rsidRDefault="00F221EE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Ja</w:t>
            </w:r>
          </w:p>
          <w:p w:rsidR="00E95D99" w:rsidRPr="00D47CA4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D47CA4">
        <w:tc>
          <w:tcPr>
            <w:tcW w:w="3856" w:type="dxa"/>
            <w:shd w:val="clear" w:color="auto" w:fill="DAEEF3"/>
            <w:vAlign w:val="center"/>
          </w:tcPr>
          <w:p w:rsidR="00E95D99" w:rsidRPr="00D47CA4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DA55BA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D47CA4">
              <w:rPr>
                <w:rFonts w:ascii="Arial" w:eastAsia="Calibri" w:hAnsi="Arial" w:cs="Arial"/>
                <w:sz w:val="20"/>
              </w:rPr>
              <w:t>I</w:t>
            </w:r>
            <w:r w:rsidR="006E0926" w:rsidRPr="00D47CA4">
              <w:rPr>
                <w:rFonts w:ascii="Arial" w:eastAsia="Calibri" w:hAnsi="Arial" w:cs="Arial"/>
                <w:sz w:val="20"/>
              </w:rPr>
              <w:t>n</w:t>
            </w:r>
            <w:r w:rsidRPr="00D47CA4">
              <w:rPr>
                <w:rFonts w:ascii="Arial" w:eastAsia="Calibri" w:hAnsi="Arial" w:cs="Arial"/>
                <w:sz w:val="20"/>
              </w:rPr>
              <w:t>gen bemærkninger</w:t>
            </w:r>
          </w:p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BA58A5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17A9D"/>
    <w:rsid w:val="00121061"/>
    <w:rsid w:val="001332A6"/>
    <w:rsid w:val="0014046D"/>
    <w:rsid w:val="00157352"/>
    <w:rsid w:val="00162900"/>
    <w:rsid w:val="001735EB"/>
    <w:rsid w:val="00173AF0"/>
    <w:rsid w:val="001761CF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3C00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E7A48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413D9"/>
    <w:rsid w:val="00652FE4"/>
    <w:rsid w:val="00653D88"/>
    <w:rsid w:val="00656024"/>
    <w:rsid w:val="00656175"/>
    <w:rsid w:val="00663957"/>
    <w:rsid w:val="00676475"/>
    <w:rsid w:val="006A0A91"/>
    <w:rsid w:val="006A50F9"/>
    <w:rsid w:val="006A7A12"/>
    <w:rsid w:val="006B0ABC"/>
    <w:rsid w:val="006B3B80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4339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32396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17AA5"/>
    <w:rsid w:val="00B26DDD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457B"/>
    <w:rsid w:val="00BA58A5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47CA4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4C4B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221EE"/>
    <w:rsid w:val="00F346B8"/>
    <w:rsid w:val="00F46E40"/>
    <w:rsid w:val="00F53FD6"/>
    <w:rsid w:val="00F544C2"/>
    <w:rsid w:val="00F62366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69f"/>
    </o:shapedefaults>
    <o:shapelayout v:ext="edit">
      <o:idmap v:ext="edit" data="1"/>
    </o:shapelayout>
  </w:shapeDefaults>
  <w:decimalSymbol w:val=","/>
  <w:listSeparator w:val=";"/>
  <w14:docId w14:val="028CA9B7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F74E-1C1B-49A2-B24F-479BE0F2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126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895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Marianne Yde</dc:creator>
  <cp:lastModifiedBy>Marianne Yde</cp:lastModifiedBy>
  <cp:revision>3</cp:revision>
  <cp:lastPrinted>2003-10-27T11:43:00Z</cp:lastPrinted>
  <dcterms:created xsi:type="dcterms:W3CDTF">2019-10-23T07:47:00Z</dcterms:created>
  <dcterms:modified xsi:type="dcterms:W3CDTF">2019-10-23T07:48:00Z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{40179DAC-4D98-4761-982B-F28613D60155}</vt:lpwstr>
  </property>
</Properties>
</file>