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62" w:rsidRPr="008B6E22" w:rsidRDefault="00AD5962" w:rsidP="00AD5962">
      <w:pPr>
        <w:pStyle w:val="KKadresse"/>
        <w:rPr>
          <w:b/>
          <w:color w:val="000000" w:themeColor="text1"/>
          <w:sz w:val="38"/>
          <w:szCs w:val="38"/>
        </w:rPr>
      </w:pPr>
      <w:bookmarkStart w:id="0" w:name="_GoBack"/>
      <w:bookmarkEnd w:id="0"/>
      <w:r w:rsidRPr="003D6C5B">
        <w:rPr>
          <w:b/>
          <w:color w:val="000000" w:themeColor="text1"/>
          <w:sz w:val="38"/>
          <w:szCs w:val="38"/>
        </w:rPr>
        <w:t xml:space="preserve">Tilsynsrapport: </w:t>
      </w:r>
      <w:r w:rsidR="00BF7B62" w:rsidRPr="003D6C5B">
        <w:rPr>
          <w:b/>
          <w:color w:val="000000" w:themeColor="text1"/>
          <w:sz w:val="38"/>
          <w:szCs w:val="38"/>
        </w:rPr>
        <w:t>OJT Tankstore Ap</w:t>
      </w:r>
      <w:r w:rsidR="003D6C5B" w:rsidRPr="003D6C5B">
        <w:rPr>
          <w:b/>
          <w:color w:val="000000" w:themeColor="text1"/>
          <w:sz w:val="38"/>
          <w:szCs w:val="38"/>
        </w:rPr>
        <w:t>S</w:t>
      </w:r>
      <w:r w:rsidR="00BF7B62" w:rsidRPr="003D6C5B">
        <w:rPr>
          <w:b/>
          <w:color w:val="000000" w:themeColor="text1"/>
          <w:sz w:val="38"/>
          <w:szCs w:val="38"/>
        </w:rPr>
        <w:t xml:space="preserve"> / Flux Water</w:t>
      </w:r>
      <w:r w:rsidR="003D6C5B" w:rsidRPr="003D6C5B">
        <w:rPr>
          <w:b/>
          <w:color w:val="000000" w:themeColor="text1"/>
          <w:sz w:val="38"/>
          <w:szCs w:val="38"/>
        </w:rPr>
        <w:t xml:space="preserve"> A/S</w:t>
      </w:r>
    </w:p>
    <w:p w:rsidR="00AD5962" w:rsidRDefault="00AD5962" w:rsidP="00AD5962">
      <w:pPr>
        <w:rPr>
          <w:color w:val="000000" w:themeColor="text1"/>
        </w:rPr>
      </w:pPr>
    </w:p>
    <w:p w:rsidR="00AD5962" w:rsidRPr="006C316C" w:rsidRDefault="00AD5962" w:rsidP="00AD5962">
      <w:pPr>
        <w:rPr>
          <w:color w:val="000000" w:themeColor="text1"/>
        </w:rPr>
      </w:pPr>
      <w:r w:rsidRPr="008B6E22">
        <w:rPr>
          <w:color w:val="000000" w:themeColor="text1"/>
        </w:rPr>
        <w:t>Center for Miljøbeskyttelse</w:t>
      </w:r>
      <w:r>
        <w:rPr>
          <w:color w:val="000000" w:themeColor="text1"/>
        </w:rPr>
        <w:t xml:space="preserve"> har d. </w:t>
      </w:r>
      <w:r w:rsidR="00BF7B62" w:rsidRPr="00567142">
        <w:rPr>
          <w:color w:val="000000" w:themeColor="text1"/>
        </w:rPr>
        <w:t>9. april 2019</w:t>
      </w:r>
      <w:r w:rsidRPr="00567142">
        <w:rPr>
          <w:color w:val="000000" w:themeColor="text1"/>
        </w:rPr>
        <w:t xml:space="preserve"> været</w:t>
      </w:r>
      <w:r w:rsidRPr="008B6E22">
        <w:rPr>
          <w:color w:val="000000" w:themeColor="text1"/>
        </w:rPr>
        <w:t xml:space="preserve"> på tilsyn</w:t>
      </w:r>
      <w:r>
        <w:rPr>
          <w:color w:val="000000" w:themeColor="text1"/>
        </w:rPr>
        <w:t>:</w:t>
      </w:r>
      <w:r>
        <w:rPr>
          <w:color w:val="000000" w:themeColor="text1"/>
        </w:rPr>
        <w:br/>
      </w:r>
    </w:p>
    <w:tbl>
      <w:tblPr>
        <w:tblStyle w:val="Tabel-Gitter"/>
        <w:tblpPr w:leftFromText="141" w:rightFromText="141" w:vertAnchor="text" w:tblpY="1"/>
        <w:tblW w:w="6941" w:type="dxa"/>
        <w:tblLook w:val="04A0" w:firstRow="1" w:lastRow="0" w:firstColumn="1" w:lastColumn="0" w:noHBand="0" w:noVBand="1"/>
      </w:tblPr>
      <w:tblGrid>
        <w:gridCol w:w="2419"/>
        <w:gridCol w:w="4522"/>
      </w:tblGrid>
      <w:tr w:rsidR="00AD5962" w:rsidRPr="0030094E" w:rsidTr="00BF7B62">
        <w:tc>
          <w:tcPr>
            <w:tcW w:w="2419" w:type="dxa"/>
          </w:tcPr>
          <w:p w:rsidR="00AD5962" w:rsidRPr="0030094E" w:rsidRDefault="00AD5962" w:rsidP="00A12694">
            <w:pPr>
              <w:rPr>
                <w:rFonts w:cs="Times New Roman"/>
                <w:lang w:eastAsia="da-DK"/>
              </w:rPr>
            </w:pPr>
            <w:r>
              <w:rPr>
                <w:rFonts w:cs="Times New Roman"/>
                <w:lang w:eastAsia="da-DK"/>
              </w:rPr>
              <w:t>Virksomhed:</w:t>
            </w:r>
          </w:p>
        </w:tc>
        <w:tc>
          <w:tcPr>
            <w:tcW w:w="4522" w:type="dxa"/>
          </w:tcPr>
          <w:p w:rsidR="00AD5962" w:rsidRPr="00567142" w:rsidRDefault="00BF7B62" w:rsidP="00A12694">
            <w:r w:rsidRPr="00567142">
              <w:t>OJT Tankstore Ap</w:t>
            </w:r>
            <w:r w:rsidR="00E853B9">
              <w:t>S</w:t>
            </w:r>
            <w:r w:rsidRPr="00567142">
              <w:t xml:space="preserve"> / Flux Water</w:t>
            </w:r>
            <w:r w:rsidR="00E853B9">
              <w:t xml:space="preserve"> A/S</w:t>
            </w:r>
          </w:p>
        </w:tc>
      </w:tr>
      <w:tr w:rsidR="00AD5962" w:rsidRPr="0030094E" w:rsidTr="00BF7B62">
        <w:tc>
          <w:tcPr>
            <w:tcW w:w="2419" w:type="dxa"/>
          </w:tcPr>
          <w:p w:rsidR="00AD5962" w:rsidRPr="0030094E" w:rsidRDefault="00AD5962" w:rsidP="00A12694">
            <w:pPr>
              <w:rPr>
                <w:rFonts w:cs="Times New Roman"/>
                <w:lang w:eastAsia="da-DK"/>
              </w:rPr>
            </w:pPr>
            <w:r w:rsidRPr="0030094E">
              <w:rPr>
                <w:rFonts w:cs="Times New Roman"/>
                <w:lang w:eastAsia="da-DK"/>
              </w:rPr>
              <w:t>Adresse:</w:t>
            </w:r>
          </w:p>
        </w:tc>
        <w:tc>
          <w:tcPr>
            <w:tcW w:w="4522" w:type="dxa"/>
          </w:tcPr>
          <w:p w:rsidR="00AD5962" w:rsidRPr="00567142" w:rsidRDefault="00BF7B62" w:rsidP="00A12694">
            <w:r w:rsidRPr="00567142">
              <w:t xml:space="preserve">G-vej 3, Prøvestenen. 2300 Kbh. S. </w:t>
            </w:r>
          </w:p>
        </w:tc>
      </w:tr>
      <w:tr w:rsidR="00AD5962" w:rsidRPr="0030094E" w:rsidTr="00BF7B62">
        <w:tc>
          <w:tcPr>
            <w:tcW w:w="2419" w:type="dxa"/>
          </w:tcPr>
          <w:p w:rsidR="00AD5962" w:rsidRPr="0030094E" w:rsidRDefault="00AD5962" w:rsidP="00A12694">
            <w:pPr>
              <w:rPr>
                <w:rFonts w:cs="Times New Roman"/>
                <w:lang w:eastAsia="da-DK"/>
              </w:rPr>
            </w:pPr>
            <w:r w:rsidRPr="0030094E">
              <w:rPr>
                <w:rFonts w:cs="Times New Roman"/>
                <w:lang w:eastAsia="da-DK"/>
              </w:rPr>
              <w:t>CVR nr. / P nr.</w:t>
            </w:r>
          </w:p>
        </w:tc>
        <w:tc>
          <w:tcPr>
            <w:tcW w:w="4522" w:type="dxa"/>
          </w:tcPr>
          <w:p w:rsidR="00AD5962" w:rsidRPr="00567142" w:rsidRDefault="001658C9" w:rsidP="00A12694">
            <w:r w:rsidRPr="00567142">
              <w:t>37151106</w:t>
            </w:r>
            <w:r w:rsidR="00BF7B62" w:rsidRPr="00567142">
              <w:t xml:space="preserve"> </w:t>
            </w:r>
            <w:r w:rsidR="00AD5962" w:rsidRPr="00567142">
              <w:t xml:space="preserve">/ </w:t>
            </w:r>
            <w:r w:rsidR="001F1D4F" w:rsidRPr="00567142">
              <w:t>1020806814</w:t>
            </w:r>
          </w:p>
        </w:tc>
      </w:tr>
      <w:tr w:rsidR="00AD5962" w:rsidRPr="0030094E" w:rsidTr="00BF7B62">
        <w:tc>
          <w:tcPr>
            <w:tcW w:w="2419" w:type="dxa"/>
          </w:tcPr>
          <w:p w:rsidR="00AD5962" w:rsidRPr="0030094E" w:rsidRDefault="00AD5962" w:rsidP="00A12694">
            <w:pPr>
              <w:rPr>
                <w:rFonts w:cs="Times New Roman"/>
                <w:lang w:eastAsia="da-DK"/>
              </w:rPr>
            </w:pPr>
            <w:r w:rsidRPr="0030094E">
              <w:rPr>
                <w:rFonts w:cs="Times New Roman"/>
                <w:lang w:eastAsia="da-DK"/>
              </w:rPr>
              <w:t>Deltagere:</w:t>
            </w:r>
          </w:p>
        </w:tc>
        <w:tc>
          <w:tcPr>
            <w:tcW w:w="4522" w:type="dxa"/>
          </w:tcPr>
          <w:p w:rsidR="001F1D4F" w:rsidRPr="00567142" w:rsidRDefault="001F1D4F" w:rsidP="00A12694">
            <w:r w:rsidRPr="00567142">
              <w:t>Lars Kastholm, Flux Water A/S</w:t>
            </w:r>
          </w:p>
          <w:p w:rsidR="001F1D4F" w:rsidRPr="00567142" w:rsidRDefault="001F1D4F" w:rsidP="00A12694">
            <w:r w:rsidRPr="00567142">
              <w:t>Poul Jørgensen, OJT Tankstore ApS</w:t>
            </w:r>
          </w:p>
          <w:p w:rsidR="00BF7B62" w:rsidRPr="00567142" w:rsidRDefault="00BF7B62" w:rsidP="00A12694">
            <w:r w:rsidRPr="00567142">
              <w:t xml:space="preserve">Thomas Eilkær, </w:t>
            </w:r>
            <w:r w:rsidR="001F1D4F" w:rsidRPr="00567142">
              <w:t>Norlex</w:t>
            </w:r>
          </w:p>
          <w:p w:rsidR="00BF7B62" w:rsidRPr="00567142" w:rsidRDefault="00BF7B62" w:rsidP="00A12694">
            <w:r w:rsidRPr="00567142">
              <w:t>Poul Jørgensen, OJT Tankstore Ap</w:t>
            </w:r>
            <w:r w:rsidR="00567142">
              <w:t>S</w:t>
            </w:r>
          </w:p>
          <w:p w:rsidR="00AD5962" w:rsidRPr="00567142" w:rsidRDefault="00BF7B62" w:rsidP="00A12694">
            <w:r w:rsidRPr="00567142">
              <w:t>Lisa Bizzarro</w:t>
            </w:r>
            <w:r w:rsidR="00AD5962" w:rsidRPr="00567142">
              <w:rPr>
                <w:lang w:eastAsia="da-DK"/>
              </w:rPr>
              <w:t>, Center for Miljøbeskyttelse</w:t>
            </w:r>
          </w:p>
        </w:tc>
      </w:tr>
      <w:tr w:rsidR="00AD5962" w:rsidRPr="0030094E" w:rsidTr="00BF7B62">
        <w:tc>
          <w:tcPr>
            <w:tcW w:w="2419" w:type="dxa"/>
          </w:tcPr>
          <w:p w:rsidR="00AD5962" w:rsidRPr="0030094E" w:rsidRDefault="00AD5962" w:rsidP="00A12694">
            <w:pPr>
              <w:rPr>
                <w:rFonts w:cs="Times New Roman"/>
                <w:lang w:eastAsia="da-DK"/>
              </w:rPr>
            </w:pPr>
            <w:r w:rsidRPr="0030094E">
              <w:rPr>
                <w:rFonts w:cs="Times New Roman"/>
                <w:lang w:eastAsia="da-DK"/>
              </w:rPr>
              <w:t>Virksomheden er:</w:t>
            </w:r>
          </w:p>
        </w:tc>
        <w:tc>
          <w:tcPr>
            <w:tcW w:w="4522" w:type="dxa"/>
          </w:tcPr>
          <w:p w:rsidR="00AD5962" w:rsidRPr="00567142" w:rsidRDefault="00AD5962" w:rsidP="00A12694">
            <w:pPr>
              <w:rPr>
                <w:lang w:eastAsia="da-DK"/>
              </w:rPr>
            </w:pPr>
            <w:r w:rsidRPr="00567142">
              <w:t xml:space="preserve">Omfattet af </w:t>
            </w:r>
            <w:r w:rsidR="00BF7B62" w:rsidRPr="00567142">
              <w:t>miljøgodkendelse af november 2017</w:t>
            </w:r>
          </w:p>
        </w:tc>
      </w:tr>
      <w:tr w:rsidR="00AD5962" w:rsidRPr="0030094E" w:rsidTr="00BF7B62">
        <w:tc>
          <w:tcPr>
            <w:tcW w:w="2419" w:type="dxa"/>
          </w:tcPr>
          <w:p w:rsidR="00AD5962" w:rsidRPr="0030094E" w:rsidRDefault="00AD5962" w:rsidP="00A12694">
            <w:pPr>
              <w:rPr>
                <w:rFonts w:cs="Times New Roman"/>
                <w:lang w:eastAsia="da-DK"/>
              </w:rPr>
            </w:pPr>
            <w:r w:rsidRPr="0030094E">
              <w:rPr>
                <w:rFonts w:cs="Times New Roman"/>
                <w:lang w:eastAsia="da-DK"/>
              </w:rPr>
              <w:t>Tilsynet blev foretaget som:</w:t>
            </w:r>
          </w:p>
        </w:tc>
        <w:tc>
          <w:tcPr>
            <w:tcW w:w="4522" w:type="dxa"/>
          </w:tcPr>
          <w:p w:rsidR="00AD5962" w:rsidRPr="00567142" w:rsidRDefault="00AD5962" w:rsidP="00A12694">
            <w:pPr>
              <w:rPr>
                <w:lang w:eastAsia="da-DK"/>
              </w:rPr>
            </w:pPr>
            <w:r w:rsidRPr="00567142">
              <w:rPr>
                <w:lang w:eastAsia="da-DK"/>
              </w:rPr>
              <w:t xml:space="preserve">Varslet tilsyn </w:t>
            </w:r>
          </w:p>
        </w:tc>
      </w:tr>
      <w:tr w:rsidR="00AD5962" w:rsidRPr="0030094E" w:rsidTr="00BF7B62">
        <w:tc>
          <w:tcPr>
            <w:tcW w:w="2419" w:type="dxa"/>
          </w:tcPr>
          <w:p w:rsidR="00AD5962" w:rsidRPr="0030094E" w:rsidRDefault="00AD5962" w:rsidP="00A12694">
            <w:pPr>
              <w:rPr>
                <w:rFonts w:cs="Times New Roman"/>
                <w:lang w:eastAsia="da-DK"/>
              </w:rPr>
            </w:pPr>
            <w:r w:rsidRPr="0030094E">
              <w:rPr>
                <w:rFonts w:cs="Times New Roman"/>
                <w:lang w:eastAsia="da-DK"/>
              </w:rPr>
              <w:t>Formålet med tilsynet var at:</w:t>
            </w:r>
          </w:p>
        </w:tc>
        <w:tc>
          <w:tcPr>
            <w:tcW w:w="4522" w:type="dxa"/>
          </w:tcPr>
          <w:p w:rsidR="00AD5962" w:rsidRPr="00567142" w:rsidRDefault="00AD5962" w:rsidP="00A12694">
            <w:pPr>
              <w:rPr>
                <w:lang w:eastAsia="da-DK"/>
              </w:rPr>
            </w:pPr>
            <w:r w:rsidRPr="00567142">
              <w:rPr>
                <w:lang w:eastAsia="da-DK"/>
              </w:rPr>
              <w:t xml:space="preserve">Gennemgå virksomhedens </w:t>
            </w:r>
            <w:r w:rsidR="00567142" w:rsidRPr="00567142">
              <w:rPr>
                <w:lang w:eastAsia="da-DK"/>
              </w:rPr>
              <w:t xml:space="preserve">eksisterende </w:t>
            </w:r>
            <w:r w:rsidR="00BF7B62" w:rsidRPr="00567142">
              <w:rPr>
                <w:lang w:eastAsia="da-DK"/>
              </w:rPr>
              <w:t>m</w:t>
            </w:r>
            <w:r w:rsidRPr="00567142">
              <w:rPr>
                <w:lang w:eastAsia="da-DK"/>
              </w:rPr>
              <w:t>iljøgodkendelse</w:t>
            </w:r>
            <w:r w:rsidR="00567142" w:rsidRPr="00567142">
              <w:rPr>
                <w:lang w:eastAsia="da-DK"/>
              </w:rPr>
              <w:t xml:space="preserve"> og gennemgå de foreløbige anlægsændringer, der er udført i forbindelse med udvidelse og ændring af virksomhedens aktivitet. </w:t>
            </w:r>
          </w:p>
          <w:p w:rsidR="00BF7B62" w:rsidRPr="00567142" w:rsidRDefault="00BF7B62" w:rsidP="00A12694">
            <w:pPr>
              <w:rPr>
                <w:lang w:eastAsia="da-DK"/>
              </w:rPr>
            </w:pPr>
          </w:p>
        </w:tc>
      </w:tr>
      <w:tr w:rsidR="00AD5962" w:rsidRPr="0030094E" w:rsidTr="00BF7B62">
        <w:tc>
          <w:tcPr>
            <w:tcW w:w="2419" w:type="dxa"/>
          </w:tcPr>
          <w:p w:rsidR="00AD5962" w:rsidRPr="0030094E" w:rsidRDefault="00AD5962" w:rsidP="00A12694">
            <w:pPr>
              <w:rPr>
                <w:rFonts w:cs="Times New Roman"/>
                <w:lang w:eastAsia="da-DK"/>
              </w:rPr>
            </w:pPr>
            <w:r w:rsidRPr="0030094E">
              <w:rPr>
                <w:rFonts w:cs="Times New Roman"/>
                <w:lang w:eastAsia="da-DK"/>
              </w:rPr>
              <w:t>Jordforurening:</w:t>
            </w:r>
          </w:p>
        </w:tc>
        <w:tc>
          <w:tcPr>
            <w:tcW w:w="4522" w:type="dxa"/>
          </w:tcPr>
          <w:p w:rsidR="00AD5962" w:rsidRPr="00567142" w:rsidRDefault="00AD5962" w:rsidP="00A12694">
            <w:pPr>
              <w:rPr>
                <w:lang w:eastAsia="da-DK"/>
              </w:rPr>
            </w:pPr>
            <w:r w:rsidRPr="00567142">
              <w:rPr>
                <w:lang w:eastAsia="da-DK"/>
              </w:rPr>
              <w:t>Der blev ikke observeret ny jordforurening på tilsynet</w:t>
            </w:r>
          </w:p>
        </w:tc>
      </w:tr>
      <w:tr w:rsidR="00AD5962" w:rsidRPr="0030094E" w:rsidTr="00BF7B62">
        <w:tc>
          <w:tcPr>
            <w:tcW w:w="2419" w:type="dxa"/>
          </w:tcPr>
          <w:p w:rsidR="00AD5962" w:rsidRPr="0030094E" w:rsidRDefault="00AD5962" w:rsidP="00A12694">
            <w:pPr>
              <w:rPr>
                <w:rFonts w:cs="Times New Roman"/>
                <w:lang w:eastAsia="da-DK"/>
              </w:rPr>
            </w:pPr>
            <w:r w:rsidRPr="0030094E">
              <w:rPr>
                <w:rFonts w:cs="Times New Roman"/>
                <w:lang w:eastAsia="da-DK"/>
              </w:rPr>
              <w:t>Resultat af seneste egenkontrol:</w:t>
            </w:r>
          </w:p>
        </w:tc>
        <w:tc>
          <w:tcPr>
            <w:tcW w:w="4522" w:type="dxa"/>
          </w:tcPr>
          <w:p w:rsidR="00AD5962" w:rsidRPr="00567142" w:rsidRDefault="00AD5962" w:rsidP="00A12694">
            <w:pPr>
              <w:rPr>
                <w:lang w:eastAsia="da-DK"/>
              </w:rPr>
            </w:pPr>
            <w:r w:rsidRPr="00567142">
              <w:rPr>
                <w:lang w:eastAsia="da-DK"/>
              </w:rPr>
              <w:t>Ingen bemærkninger</w:t>
            </w:r>
          </w:p>
          <w:p w:rsidR="00AD5962" w:rsidRPr="00567142" w:rsidRDefault="00AD5962" w:rsidP="00A12694">
            <w:pPr>
              <w:rPr>
                <w:lang w:eastAsia="da-DK"/>
              </w:rPr>
            </w:pPr>
          </w:p>
        </w:tc>
      </w:tr>
      <w:tr w:rsidR="00AD5962" w:rsidRPr="0030094E" w:rsidTr="00BF7B62">
        <w:tc>
          <w:tcPr>
            <w:tcW w:w="2419" w:type="dxa"/>
          </w:tcPr>
          <w:p w:rsidR="00AD5962" w:rsidRPr="0030094E" w:rsidRDefault="00AD5962" w:rsidP="00A12694">
            <w:pPr>
              <w:rPr>
                <w:rFonts w:cs="Times New Roman"/>
                <w:lang w:eastAsia="da-DK"/>
              </w:rPr>
            </w:pPr>
            <w:r w:rsidRPr="0030094E">
              <w:rPr>
                <w:rFonts w:cs="Times New Roman"/>
                <w:lang w:eastAsia="da-DK"/>
              </w:rPr>
              <w:t>Konklusion på tilsynet:</w:t>
            </w:r>
          </w:p>
        </w:tc>
        <w:tc>
          <w:tcPr>
            <w:tcW w:w="4522" w:type="dxa"/>
          </w:tcPr>
          <w:p w:rsidR="00AD5962" w:rsidRPr="00567142" w:rsidRDefault="00AD5962" w:rsidP="00A12694">
            <w:pPr>
              <w:rPr>
                <w:bCs/>
                <w:lang w:eastAsia="da-DK"/>
              </w:rPr>
            </w:pPr>
            <w:r w:rsidRPr="00567142">
              <w:rPr>
                <w:bCs/>
                <w:lang w:eastAsia="da-DK"/>
              </w:rPr>
              <w:t>Tilsynet gav anledning til følgende bemærkninger</w:t>
            </w:r>
            <w:r w:rsidR="00567142" w:rsidRPr="00567142">
              <w:rPr>
                <w:bCs/>
                <w:lang w:eastAsia="da-DK"/>
              </w:rPr>
              <w:t>:</w:t>
            </w:r>
          </w:p>
          <w:p w:rsidR="00AD5962" w:rsidRDefault="00AD5962" w:rsidP="00567142">
            <w:pPr>
              <w:rPr>
                <w:lang w:eastAsia="da-DK"/>
              </w:rPr>
            </w:pPr>
          </w:p>
          <w:p w:rsidR="00E73517" w:rsidRDefault="00E73517" w:rsidP="00E73517">
            <w:pPr>
              <w:spacing w:after="120"/>
            </w:pPr>
            <w:r>
              <w:t xml:space="preserve">Belægninger var ved tilsynet i god stand og tank 101 i OJT Tankstore ApS’ Anlæg 3 inspiceres systematisk efter Eemua 159 standard. </w:t>
            </w:r>
          </w:p>
          <w:p w:rsidR="00E73517" w:rsidRDefault="00E73517" w:rsidP="00567142">
            <w:pPr>
              <w:rPr>
                <w:lang w:eastAsia="da-DK"/>
              </w:rPr>
            </w:pPr>
          </w:p>
          <w:p w:rsidR="00567142" w:rsidRDefault="00567142" w:rsidP="00567142">
            <w:pPr>
              <w:rPr>
                <w:lang w:eastAsia="da-DK"/>
              </w:rPr>
            </w:pPr>
            <w:r w:rsidRPr="00567142">
              <w:rPr>
                <w:lang w:eastAsia="da-DK"/>
              </w:rPr>
              <w:t xml:space="preserve">Virksomheden udvider og fornyer deres aktivitet med et affaldsbehandlingsanlæg (listepunkt 5.1 d)). Der er ved at blive udarbejdet en ny miljøgodkendelse og er virksomheden ved at få miljøcertificering. I den forbindelse er alle driftsinstrukser og </w:t>
            </w:r>
            <w:r w:rsidRPr="00567142">
              <w:rPr>
                <w:lang w:eastAsia="da-DK"/>
              </w:rPr>
              <w:lastRenderedPageBreak/>
              <w:t xml:space="preserve">procedurer under revision og tilpasses de nye forhold.  </w:t>
            </w:r>
          </w:p>
          <w:p w:rsidR="00567142" w:rsidRDefault="00567142" w:rsidP="00567142">
            <w:pPr>
              <w:rPr>
                <w:lang w:eastAsia="da-DK"/>
              </w:rPr>
            </w:pPr>
          </w:p>
          <w:p w:rsidR="00567142" w:rsidRDefault="00567142" w:rsidP="00567142">
            <w:pPr>
              <w:rPr>
                <w:lang w:eastAsia="da-DK"/>
              </w:rPr>
            </w:pPr>
            <w:r>
              <w:rPr>
                <w:lang w:eastAsia="da-DK"/>
              </w:rPr>
              <w:t>Ved tilsynet blev det aftalt</w:t>
            </w:r>
            <w:r w:rsidR="00E73517">
              <w:rPr>
                <w:lang w:eastAsia="da-DK"/>
              </w:rPr>
              <w:t>,</w:t>
            </w:r>
            <w:r>
              <w:rPr>
                <w:lang w:eastAsia="da-DK"/>
              </w:rPr>
              <w:t xml:space="preserve"> at Center for Miljøbeskyttelse kommer på tilsyn, når det nye affaldsbehandlingsanlæg, inkl</w:t>
            </w:r>
            <w:r w:rsidR="00DF33AA">
              <w:rPr>
                <w:lang w:eastAsia="da-DK"/>
              </w:rPr>
              <w:t>.</w:t>
            </w:r>
            <w:r>
              <w:rPr>
                <w:lang w:eastAsia="da-DK"/>
              </w:rPr>
              <w:t xml:space="preserve"> den renoverede tankgår</w:t>
            </w:r>
            <w:r w:rsidR="00DF33AA">
              <w:rPr>
                <w:lang w:eastAsia="da-DK"/>
              </w:rPr>
              <w:t>d</w:t>
            </w:r>
            <w:r>
              <w:rPr>
                <w:lang w:eastAsia="da-DK"/>
              </w:rPr>
              <w:t xml:space="preserve"> er</w:t>
            </w:r>
            <w:r w:rsidR="00DF33AA">
              <w:rPr>
                <w:lang w:eastAsia="da-DK"/>
              </w:rPr>
              <w:t xml:space="preserve"> færdigetableret.</w:t>
            </w:r>
            <w:r>
              <w:rPr>
                <w:lang w:eastAsia="da-DK"/>
              </w:rPr>
              <w:t xml:space="preserve"> </w:t>
            </w:r>
          </w:p>
          <w:p w:rsidR="00DF33AA" w:rsidRDefault="00DF33AA" w:rsidP="00567142">
            <w:pPr>
              <w:rPr>
                <w:lang w:eastAsia="da-DK"/>
              </w:rPr>
            </w:pPr>
          </w:p>
          <w:p w:rsidR="00DF33AA" w:rsidRPr="00567142" w:rsidRDefault="00DF33AA" w:rsidP="00567142">
            <w:pPr>
              <w:rPr>
                <w:lang w:eastAsia="da-DK"/>
              </w:rPr>
            </w:pPr>
            <w:r w:rsidRPr="00DF33AA">
              <w:rPr>
                <w:lang w:eastAsia="da-DK"/>
              </w:rPr>
              <w:t>Miljørisikovurdering</w:t>
            </w:r>
            <w:r>
              <w:rPr>
                <w:lang w:eastAsia="da-DK"/>
              </w:rPr>
              <w:t xml:space="preserve"> blev vurderet til 2,06 for den eksisterende aktivitet.</w:t>
            </w:r>
          </w:p>
          <w:p w:rsidR="00567142" w:rsidRPr="00567142" w:rsidRDefault="00567142" w:rsidP="00567142">
            <w:pPr>
              <w:rPr>
                <w:lang w:eastAsia="da-DK"/>
              </w:rPr>
            </w:pPr>
          </w:p>
        </w:tc>
      </w:tr>
    </w:tbl>
    <w:p w:rsidR="00AD5962" w:rsidRDefault="00AD5962" w:rsidP="00AD5962">
      <w:pPr>
        <w:rPr>
          <w:b/>
        </w:rPr>
      </w:pPr>
      <w:r>
        <w:rPr>
          <w:b/>
        </w:rPr>
        <w:lastRenderedPageBreak/>
        <w:br w:type="textWrapping" w:clear="all"/>
      </w:r>
    </w:p>
    <w:p w:rsidR="00AD5962" w:rsidRDefault="00AD5962" w:rsidP="00AD5962">
      <w:pPr>
        <w:rPr>
          <w:b/>
        </w:rPr>
      </w:pPr>
      <w:r>
        <w:rPr>
          <w:b/>
        </w:rPr>
        <w:t>Offentliggørelse af tilsynsrapporten</w:t>
      </w:r>
    </w:p>
    <w:p w:rsidR="00AD5962" w:rsidRPr="00391E9C" w:rsidRDefault="00567142" w:rsidP="00AD5962">
      <w:r>
        <w:t>Tilsynsoplysninger</w:t>
      </w:r>
      <w:r w:rsidR="00AD5962">
        <w:t xml:space="preserve"> offentliggøres</w:t>
      </w:r>
      <w:r w:rsidR="00AD5962">
        <w:rPr>
          <w:rStyle w:val="Fodnotehenvisning"/>
        </w:rPr>
        <w:footnoteReference w:id="1"/>
      </w:r>
      <w:r w:rsidR="00AD5962">
        <w:t xml:space="preserve"> senest 4 måneder efter tilsynsbesøget har fundet sted. </w:t>
      </w:r>
      <w:r w:rsidR="00AD5962" w:rsidRPr="00A62039">
        <w:t xml:space="preserve">Offentliggørelsen sker via </w:t>
      </w:r>
      <w:r w:rsidR="00AD5962">
        <w:t xml:space="preserve">Digital Miljø Administration på </w:t>
      </w:r>
      <w:hyperlink r:id="rId9" w:history="1">
        <w:r w:rsidR="00AD5962" w:rsidRPr="003D38A9">
          <w:rPr>
            <w:rStyle w:val="Hyperlink"/>
          </w:rPr>
          <w:t>https://dma.mst.dk/</w:t>
        </w:r>
      </w:hyperlink>
      <w:r w:rsidR="00AD5962">
        <w:t xml:space="preserve"> .</w:t>
      </w:r>
    </w:p>
    <w:p w:rsidR="00AD5962" w:rsidRDefault="00AD5962" w:rsidP="00AD5962">
      <w:pPr>
        <w:rPr>
          <w:b/>
        </w:rPr>
      </w:pPr>
    </w:p>
    <w:p w:rsidR="00AD5962" w:rsidRPr="004762EB" w:rsidRDefault="00AD5962" w:rsidP="00AD5962">
      <w:pPr>
        <w:rPr>
          <w:b/>
        </w:rPr>
      </w:pPr>
      <w:r w:rsidRPr="00F630A9">
        <w:rPr>
          <w:b/>
        </w:rPr>
        <w:t xml:space="preserve">Brugerbetaling på miljøområdet </w:t>
      </w:r>
      <w:r>
        <w:rPr>
          <w:b/>
        </w:rPr>
        <w:br/>
      </w:r>
      <w:r w:rsidRPr="00F630A9">
        <w:t>Der vil en gang årligt blive opkrævet gebyr for tilsyn, sagsbehandling m.v. Opkrævninger sker ved udgangen af november måned og dækker over perioden 1. november til 31. oktober. Center for Miljøbeskyttelses afgørelse om fastsættelse af gebyr kan ikke påklages</w:t>
      </w:r>
      <w:r w:rsidRPr="00F630A9">
        <w:rPr>
          <w:rStyle w:val="Fodnotehenvisning"/>
          <w:color w:val="000000" w:themeColor="text1"/>
        </w:rPr>
        <w:footnoteReference w:id="2"/>
      </w:r>
      <w:r w:rsidRPr="00F630A9">
        <w:t>.</w:t>
      </w:r>
    </w:p>
    <w:p w:rsidR="00AD5962" w:rsidRDefault="00AD5962" w:rsidP="00AD5962">
      <w:pPr>
        <w:rPr>
          <w:b/>
          <w:bCs/>
        </w:rPr>
      </w:pPr>
    </w:p>
    <w:p w:rsidR="00AD5962" w:rsidRPr="00F630A9" w:rsidRDefault="00AD5962" w:rsidP="00AD5962">
      <w:r w:rsidRPr="00F630A9">
        <w:rPr>
          <w:b/>
          <w:bCs/>
        </w:rPr>
        <w:t xml:space="preserve">Miljørisikovurdering af virksomheden </w:t>
      </w:r>
      <w:r>
        <w:br/>
        <w:t>Københavns Kommune skal efter tilsynet foretage en r</w:t>
      </w:r>
      <w:r w:rsidRPr="00F630A9">
        <w:t>isikovurdering</w:t>
      </w:r>
      <w:r>
        <w:t xml:space="preserve"> som grundlag for</w:t>
      </w:r>
      <w:r w:rsidRPr="00F630A9">
        <w:t xml:space="preserve"> den fremtidige tilsynsfrekvens</w:t>
      </w:r>
      <w:r w:rsidRPr="00F630A9">
        <w:rPr>
          <w:rStyle w:val="Fodnotehenvisning"/>
          <w:color w:val="000000" w:themeColor="text1"/>
        </w:rPr>
        <w:footnoteReference w:id="3"/>
      </w:r>
      <w:r w:rsidRPr="00F630A9">
        <w:t>.</w:t>
      </w:r>
      <w:r>
        <w:t xml:space="preserve"> Heri indgår </w:t>
      </w:r>
      <w:r w:rsidRPr="00F630A9">
        <w:t>virksomhedens miljøarbejde, regelefterlevelse og potentiel miljøforurening.</w:t>
      </w:r>
      <w:r w:rsidR="00DF33AA">
        <w:t xml:space="preserve"> </w:t>
      </w:r>
    </w:p>
    <w:p w:rsidR="00AD5962" w:rsidRPr="000739BB" w:rsidRDefault="00AD5962" w:rsidP="00AD5962">
      <w:pPr>
        <w:keepNext/>
        <w:keepLines/>
        <w:rPr>
          <w:szCs w:val="24"/>
        </w:rPr>
      </w:pPr>
      <w:bookmarkStart w:id="1" w:name="kkHilsen"/>
      <w:r>
        <w:rPr>
          <w:szCs w:val="24"/>
        </w:rPr>
        <w:br/>
      </w:r>
      <w:r w:rsidRPr="000739BB">
        <w:rPr>
          <w:szCs w:val="24"/>
        </w:rPr>
        <w:t>Med venlig hilsen</w:t>
      </w:r>
      <w:bookmarkEnd w:id="1"/>
    </w:p>
    <w:p w:rsidR="00AD5962" w:rsidRPr="000739BB" w:rsidRDefault="00AD5962" w:rsidP="00AD5962">
      <w:pPr>
        <w:keepNext/>
        <w:keepLines/>
        <w:rPr>
          <w:szCs w:val="24"/>
        </w:rPr>
      </w:pPr>
    </w:p>
    <w:p w:rsidR="00AD5962" w:rsidRDefault="00AD5962" w:rsidP="00AD5962">
      <w:pPr>
        <w:keepNext/>
        <w:keepLines/>
        <w:tabs>
          <w:tab w:val="left" w:pos="4020"/>
        </w:tabs>
        <w:rPr>
          <w:szCs w:val="24"/>
        </w:rPr>
      </w:pPr>
    </w:p>
    <w:p w:rsidR="00DF33AA" w:rsidRPr="000739BB" w:rsidRDefault="00DF33AA" w:rsidP="00AD5962">
      <w:pPr>
        <w:keepNext/>
        <w:keepLines/>
        <w:tabs>
          <w:tab w:val="left" w:pos="4020"/>
        </w:tabs>
        <w:rPr>
          <w:szCs w:val="24"/>
        </w:rPr>
      </w:pPr>
      <w:r>
        <w:rPr>
          <w:szCs w:val="24"/>
        </w:rPr>
        <w:t>Lisa Bizzarro</w:t>
      </w:r>
      <w:r w:rsidR="00504602">
        <w:rPr>
          <w:szCs w:val="24"/>
        </w:rPr>
        <w:br/>
        <w:t>Miljøsagsbehandler</w:t>
      </w:r>
    </w:p>
    <w:p w:rsidR="00AD5962" w:rsidRPr="000739BB" w:rsidRDefault="00AD5962" w:rsidP="00AD5962">
      <w:pPr>
        <w:keepNext/>
        <w:keepLines/>
        <w:rPr>
          <w:szCs w:val="24"/>
        </w:rPr>
      </w:pPr>
    </w:p>
    <w:p w:rsidR="00AD5962" w:rsidRPr="000739BB" w:rsidRDefault="00AD5962" w:rsidP="00AD5962">
      <w:pPr>
        <w:keepNext/>
        <w:keepLines/>
        <w:rPr>
          <w:szCs w:val="24"/>
        </w:rPr>
      </w:pPr>
    </w:p>
    <w:p w:rsidR="00AD5962" w:rsidRPr="000739BB" w:rsidRDefault="00AD5962" w:rsidP="00AD5962">
      <w:pPr>
        <w:keepNext/>
        <w:keepLines/>
        <w:rPr>
          <w:szCs w:val="24"/>
        </w:rPr>
      </w:pPr>
      <w:bookmarkStart w:id="2" w:name="kkLangEmail"/>
      <w:bookmarkEnd w:id="2"/>
    </w:p>
    <w:p w:rsidR="00AD5962" w:rsidRDefault="00AD5962" w:rsidP="00AD5962">
      <w:pPr>
        <w:rPr>
          <w:szCs w:val="24"/>
        </w:rPr>
      </w:pPr>
    </w:p>
    <w:p w:rsidR="00AD5962" w:rsidRDefault="00AD5962" w:rsidP="00AD5962">
      <w:pPr>
        <w:rPr>
          <w:color w:val="000000" w:themeColor="text1"/>
          <w:szCs w:val="24"/>
        </w:rPr>
      </w:pPr>
      <w:r>
        <w:rPr>
          <w:color w:val="000000" w:themeColor="text1"/>
          <w:szCs w:val="24"/>
        </w:rPr>
        <w:br w:type="page"/>
      </w:r>
    </w:p>
    <w:p w:rsidR="00AD5962" w:rsidRDefault="00AD5962" w:rsidP="00AD5962">
      <w:pPr>
        <w:rPr>
          <w:color w:val="000000" w:themeColor="text1"/>
          <w:szCs w:val="24"/>
        </w:rPr>
        <w:sectPr w:rsidR="00AD5962" w:rsidSect="00B22DE9">
          <w:headerReference w:type="even" r:id="rId10"/>
          <w:headerReference w:type="default" r:id="rId11"/>
          <w:footerReference w:type="even" r:id="rId12"/>
          <w:footerReference w:type="default" r:id="rId13"/>
          <w:headerReference w:type="first" r:id="rId14"/>
          <w:footerReference w:type="first" r:id="rId15"/>
          <w:pgSz w:w="11906" w:h="16838" w:code="9"/>
          <w:pgMar w:top="2268" w:right="3402" w:bottom="1134" w:left="1701" w:header="425" w:footer="709" w:gutter="0"/>
          <w:cols w:space="708"/>
          <w:titlePg/>
          <w:docGrid w:linePitch="360"/>
        </w:sectPr>
      </w:pPr>
    </w:p>
    <w:p w:rsidR="00AD5962" w:rsidRDefault="00AD5962" w:rsidP="00AD5962">
      <w:pPr>
        <w:rPr>
          <w:color w:val="000000" w:themeColor="text1"/>
          <w:szCs w:val="24"/>
        </w:rPr>
      </w:pPr>
    </w:p>
    <w:p w:rsidR="00AD5962" w:rsidRDefault="00AD5962" w:rsidP="00AD5962">
      <w:pPr>
        <w:rPr>
          <w:color w:val="000000" w:themeColor="text1"/>
          <w:szCs w:val="24"/>
        </w:rPr>
      </w:pPr>
    </w:p>
    <w:tbl>
      <w:tblPr>
        <w:tblStyle w:val="Tabel-Gitter"/>
        <w:tblW w:w="14312" w:type="dxa"/>
        <w:tblLayout w:type="fixed"/>
        <w:tblLook w:val="04A0" w:firstRow="1" w:lastRow="0" w:firstColumn="1" w:lastColumn="0" w:noHBand="0" w:noVBand="1"/>
      </w:tblPr>
      <w:tblGrid>
        <w:gridCol w:w="9322"/>
        <w:gridCol w:w="4990"/>
      </w:tblGrid>
      <w:tr w:rsidR="00AD5962" w:rsidRPr="00AD5962" w:rsidTr="00AD5962">
        <w:tc>
          <w:tcPr>
            <w:tcW w:w="9322" w:type="dxa"/>
          </w:tcPr>
          <w:p w:rsidR="00AD5962" w:rsidRPr="00AD5962" w:rsidRDefault="00AD5962" w:rsidP="00A12694">
            <w:pPr>
              <w:spacing w:after="120"/>
              <w:rPr>
                <w:b/>
              </w:rPr>
            </w:pPr>
            <w:r w:rsidRPr="00AD5962">
              <w:rPr>
                <w:b/>
              </w:rPr>
              <w:t>Vilkår</w:t>
            </w:r>
            <w:r>
              <w:rPr>
                <w:b/>
              </w:rPr>
              <w:t>.</w:t>
            </w:r>
            <w:r w:rsidRPr="00AD5962">
              <w:rPr>
                <w:b/>
              </w:rPr>
              <w:t xml:space="preserve"> Miljøgodkendelse </w:t>
            </w:r>
            <w:r>
              <w:rPr>
                <w:b/>
              </w:rPr>
              <w:t>af n</w:t>
            </w:r>
            <w:r w:rsidRPr="00AD5962">
              <w:rPr>
                <w:b/>
              </w:rPr>
              <w:t>ovember 2017</w:t>
            </w:r>
          </w:p>
        </w:tc>
        <w:tc>
          <w:tcPr>
            <w:tcW w:w="4990" w:type="dxa"/>
          </w:tcPr>
          <w:p w:rsidR="00AD5962" w:rsidRPr="00291EE1" w:rsidRDefault="00AD5962" w:rsidP="00A12694">
            <w:pPr>
              <w:spacing w:after="120"/>
              <w:rPr>
                <w:b/>
              </w:rPr>
            </w:pPr>
            <w:r w:rsidRPr="00291EE1">
              <w:rPr>
                <w:b/>
              </w:rPr>
              <w:t>Bemærkninger</w:t>
            </w:r>
          </w:p>
        </w:tc>
      </w:tr>
      <w:tr w:rsidR="00AD5962" w:rsidRPr="0036731A" w:rsidTr="00AD5962">
        <w:tc>
          <w:tcPr>
            <w:tcW w:w="9322" w:type="dxa"/>
          </w:tcPr>
          <w:p w:rsidR="00AD5962" w:rsidRPr="0036731A" w:rsidRDefault="00AD5962" w:rsidP="00A12694">
            <w:pPr>
              <w:spacing w:after="120"/>
              <w:rPr>
                <w:b/>
              </w:rPr>
            </w:pPr>
            <w:r w:rsidRPr="0036731A">
              <w:rPr>
                <w:b/>
              </w:rPr>
              <w:t xml:space="preserve">Generelt </w:t>
            </w:r>
          </w:p>
        </w:tc>
        <w:tc>
          <w:tcPr>
            <w:tcW w:w="4990" w:type="dxa"/>
          </w:tcPr>
          <w:p w:rsidR="00AD5962" w:rsidRPr="00291EE1" w:rsidRDefault="00AD5962" w:rsidP="00A12694">
            <w:pPr>
              <w:spacing w:after="120"/>
            </w:pPr>
          </w:p>
        </w:tc>
      </w:tr>
      <w:tr w:rsidR="00AD5962" w:rsidRPr="0036731A" w:rsidTr="00AD5962">
        <w:trPr>
          <w:trHeight w:val="693"/>
        </w:trPr>
        <w:tc>
          <w:tcPr>
            <w:tcW w:w="9322" w:type="dxa"/>
          </w:tcPr>
          <w:p w:rsidR="00AD5962" w:rsidRPr="0036731A" w:rsidRDefault="00AD5962" w:rsidP="00AD5962">
            <w:pPr>
              <w:pStyle w:val="Listeafsnit"/>
              <w:numPr>
                <w:ilvl w:val="0"/>
                <w:numId w:val="2"/>
              </w:numPr>
              <w:spacing w:after="120"/>
              <w:ind w:left="426"/>
              <w:rPr>
                <w:szCs w:val="24"/>
              </w:rPr>
            </w:pPr>
            <w:r w:rsidRPr="0036731A">
              <w:rPr>
                <w:szCs w:val="24"/>
              </w:rPr>
              <w:t xml:space="preserve">Inden d. </w:t>
            </w:r>
            <w:r>
              <w:rPr>
                <w:szCs w:val="24"/>
              </w:rPr>
              <w:t>4</w:t>
            </w:r>
            <w:r w:rsidRPr="0036731A">
              <w:rPr>
                <w:szCs w:val="24"/>
              </w:rPr>
              <w:t xml:space="preserve">. </w:t>
            </w:r>
            <w:r>
              <w:rPr>
                <w:szCs w:val="24"/>
              </w:rPr>
              <w:t>december</w:t>
            </w:r>
            <w:r w:rsidRPr="0036731A">
              <w:rPr>
                <w:szCs w:val="24"/>
              </w:rPr>
              <w:t xml:space="preserve"> 2017 skal virksomheden redegøre for, at virksomheden og dens anlæg er sikret mod sandsynlige skader som følge af stormflod, orkan eller andre voldsomme meteorologiske fænomener.</w:t>
            </w:r>
          </w:p>
        </w:tc>
        <w:tc>
          <w:tcPr>
            <w:tcW w:w="4990" w:type="dxa"/>
          </w:tcPr>
          <w:p w:rsidR="00AD5962" w:rsidRDefault="00291EE1" w:rsidP="00A12694">
            <w:pPr>
              <w:spacing w:after="120"/>
            </w:pPr>
            <w:r>
              <w:t>En ny redegørelse fremsende</w:t>
            </w:r>
            <w:r w:rsidR="00F10529">
              <w:t xml:space="preserve">s efter det nye anlæg er færdigetableret. </w:t>
            </w:r>
          </w:p>
          <w:p w:rsidR="00F10529" w:rsidRPr="00291EE1" w:rsidRDefault="00F10529" w:rsidP="00A12694">
            <w:pPr>
              <w:spacing w:after="120"/>
            </w:pPr>
            <w:r>
              <w:t>Kort med vurdering af havvandsudbredelse efter vandstandsstigninger er vedhæftet tilsynsnotatet.</w:t>
            </w:r>
          </w:p>
        </w:tc>
      </w:tr>
      <w:tr w:rsidR="00AD5962" w:rsidRPr="00FC3ED5" w:rsidTr="00AD5962">
        <w:tc>
          <w:tcPr>
            <w:tcW w:w="9322" w:type="dxa"/>
          </w:tcPr>
          <w:p w:rsidR="00AD5962" w:rsidRPr="00FC3ED5" w:rsidRDefault="00AD5962" w:rsidP="00A12694">
            <w:pPr>
              <w:spacing w:after="120"/>
              <w:rPr>
                <w:b/>
              </w:rPr>
            </w:pPr>
            <w:r w:rsidRPr="0036731A">
              <w:rPr>
                <w:b/>
              </w:rPr>
              <w:t>Indretning og drift</w:t>
            </w:r>
            <w:r w:rsidRPr="00FC3ED5">
              <w:rPr>
                <w:b/>
              </w:rPr>
              <w:t xml:space="preserve"> </w:t>
            </w:r>
          </w:p>
        </w:tc>
        <w:tc>
          <w:tcPr>
            <w:tcW w:w="4990" w:type="dxa"/>
          </w:tcPr>
          <w:p w:rsidR="00AD5962" w:rsidRPr="00291EE1" w:rsidRDefault="00AD5962" w:rsidP="00A12694">
            <w:pPr>
              <w:spacing w:after="120"/>
            </w:pPr>
          </w:p>
        </w:tc>
      </w:tr>
      <w:tr w:rsidR="00AD5962" w:rsidRPr="00FC3ED5" w:rsidTr="00AD5962">
        <w:tc>
          <w:tcPr>
            <w:tcW w:w="9322" w:type="dxa"/>
          </w:tcPr>
          <w:p w:rsidR="00AD5962" w:rsidRPr="00293C2C" w:rsidRDefault="00AD5962" w:rsidP="00AD5962">
            <w:pPr>
              <w:pStyle w:val="Listeafsnit"/>
              <w:numPr>
                <w:ilvl w:val="0"/>
                <w:numId w:val="2"/>
              </w:numPr>
              <w:spacing w:after="120"/>
              <w:ind w:left="426"/>
              <w:rPr>
                <w:szCs w:val="24"/>
              </w:rPr>
            </w:pPr>
            <w:bookmarkStart w:id="6" w:name="_Ref484758125"/>
            <w:r w:rsidRPr="00293C2C">
              <w:rPr>
                <w:szCs w:val="24"/>
              </w:rPr>
              <w:t>Pladsen til aflæsning af affald og spuling af slamsugere skal indrettes med tæt og stabil belægning med hældning mod modtagetanken.</w:t>
            </w:r>
            <w:bookmarkEnd w:id="6"/>
          </w:p>
        </w:tc>
        <w:tc>
          <w:tcPr>
            <w:tcW w:w="4990" w:type="dxa"/>
          </w:tcPr>
          <w:p w:rsidR="00AD5962" w:rsidRPr="00291EE1" w:rsidRDefault="00AD5962" w:rsidP="00A12694">
            <w:pPr>
              <w:spacing w:after="120"/>
            </w:pPr>
            <w:r w:rsidRPr="00291EE1">
              <w:t>Kontrolleret. Ingen bemærkninger.</w:t>
            </w:r>
          </w:p>
        </w:tc>
      </w:tr>
      <w:tr w:rsidR="00AD5962" w:rsidRPr="00FC3ED5" w:rsidTr="00AD5962">
        <w:tc>
          <w:tcPr>
            <w:tcW w:w="9322" w:type="dxa"/>
          </w:tcPr>
          <w:p w:rsidR="00AD5962" w:rsidRPr="00293C2C" w:rsidRDefault="00AD5962" w:rsidP="00AD5962">
            <w:pPr>
              <w:pStyle w:val="Listeafsnit"/>
              <w:numPr>
                <w:ilvl w:val="0"/>
                <w:numId w:val="2"/>
              </w:numPr>
              <w:spacing w:after="120"/>
              <w:ind w:left="426"/>
              <w:rPr>
                <w:szCs w:val="24"/>
              </w:rPr>
            </w:pPr>
            <w:bookmarkStart w:id="7" w:name="_Ref484758129"/>
            <w:r w:rsidRPr="00293C2C">
              <w:rPr>
                <w:szCs w:val="24"/>
              </w:rPr>
              <w:t>Pladsen skal indrettes således at stænk fra spuling af slamsugere kan holdes på arealet med fald mod modtagetanken.</w:t>
            </w:r>
            <w:bookmarkEnd w:id="7"/>
          </w:p>
        </w:tc>
        <w:tc>
          <w:tcPr>
            <w:tcW w:w="4990" w:type="dxa"/>
          </w:tcPr>
          <w:p w:rsidR="00AD5962" w:rsidRPr="00291EE1" w:rsidRDefault="00AD5962" w:rsidP="00A12694">
            <w:pPr>
              <w:spacing w:after="120"/>
            </w:pPr>
            <w:r w:rsidRPr="00291EE1">
              <w:t>Kontrolleret. Ingen bemærkninger.</w:t>
            </w:r>
          </w:p>
        </w:tc>
      </w:tr>
      <w:tr w:rsidR="00AD5962" w:rsidRPr="00FC3ED5" w:rsidTr="00AD5962">
        <w:tc>
          <w:tcPr>
            <w:tcW w:w="9322" w:type="dxa"/>
          </w:tcPr>
          <w:p w:rsidR="00AD5962" w:rsidRPr="00F52F63" w:rsidRDefault="00AD5962" w:rsidP="00AD5962">
            <w:pPr>
              <w:pStyle w:val="Listeafsnit"/>
              <w:numPr>
                <w:ilvl w:val="0"/>
                <w:numId w:val="2"/>
              </w:numPr>
              <w:spacing w:after="120"/>
              <w:ind w:left="426"/>
              <w:rPr>
                <w:szCs w:val="24"/>
              </w:rPr>
            </w:pPr>
            <w:r w:rsidRPr="00F52F63">
              <w:rPr>
                <w:szCs w:val="24"/>
              </w:rPr>
              <w:t>Virksomheden skal altid være bemandet, når den er åben for aflevering af farligt affald.</w:t>
            </w:r>
          </w:p>
        </w:tc>
        <w:tc>
          <w:tcPr>
            <w:tcW w:w="4990" w:type="dxa"/>
          </w:tcPr>
          <w:p w:rsidR="00AD5962" w:rsidRDefault="00F10529" w:rsidP="00A12694">
            <w:pPr>
              <w:spacing w:after="120"/>
            </w:pPr>
            <w:r>
              <w:t>Porten til aflæsseområdet er altid aflåst udenfor åbningstid og pladsen er altid bemandet, da der er modtagekontrol.</w:t>
            </w:r>
          </w:p>
          <w:p w:rsidR="00AD5962" w:rsidRPr="00291EE1" w:rsidRDefault="00F10529" w:rsidP="005E15B4">
            <w:pPr>
              <w:spacing w:after="120"/>
            </w:pPr>
            <w:r>
              <w:t>Ved modtage</w:t>
            </w:r>
            <w:r w:rsidR="005E15B4">
              <w:t>lse</w:t>
            </w:r>
            <w:r>
              <w:t xml:space="preserve"> vejes det modtagne affald</w:t>
            </w:r>
            <w:r w:rsidR="0043019D">
              <w:t xml:space="preserve">. Der </w:t>
            </w:r>
            <w:r w:rsidR="005E15B4">
              <w:t>udtages en prøve med deklarationsnummer på label.</w:t>
            </w:r>
          </w:p>
        </w:tc>
      </w:tr>
      <w:tr w:rsidR="00AD5962" w:rsidRPr="00FC3ED5" w:rsidTr="00AD5962">
        <w:tc>
          <w:tcPr>
            <w:tcW w:w="9322" w:type="dxa"/>
          </w:tcPr>
          <w:p w:rsidR="00AD5962" w:rsidRPr="00F52F63" w:rsidRDefault="00AD5962" w:rsidP="00AD5962">
            <w:pPr>
              <w:pStyle w:val="Listeafsnit"/>
              <w:widowControl w:val="0"/>
              <w:numPr>
                <w:ilvl w:val="0"/>
                <w:numId w:val="2"/>
              </w:numPr>
              <w:spacing w:after="120"/>
              <w:ind w:left="426"/>
              <w:rPr>
                <w:szCs w:val="24"/>
              </w:rPr>
            </w:pPr>
            <w:r w:rsidRPr="00F52F63">
              <w:rPr>
                <w:szCs w:val="24"/>
              </w:rPr>
              <w:lastRenderedPageBreak/>
              <w:t>Uden for arbejdstid skal alle oplag af farligt affald være utilgængelige for uvedkommende ved indhegning af aktiviteterne med et minimum 1,8 meter højt hegn med aflåste porte eller ved aflåsning af relevante bygninger og containere.</w:t>
            </w:r>
          </w:p>
        </w:tc>
        <w:tc>
          <w:tcPr>
            <w:tcW w:w="4990" w:type="dxa"/>
          </w:tcPr>
          <w:p w:rsidR="00AD5962" w:rsidRPr="00291EE1" w:rsidRDefault="005E15B4" w:rsidP="00A12694">
            <w:pPr>
              <w:widowControl w:val="0"/>
              <w:spacing w:after="120"/>
            </w:pPr>
            <w:r w:rsidRPr="00291EE1">
              <w:t>Kontrolleret. Ingen bemærkninger.</w:t>
            </w:r>
          </w:p>
          <w:p w:rsidR="00AD5962" w:rsidRPr="00291EE1" w:rsidRDefault="00AD5962" w:rsidP="00A12694">
            <w:pPr>
              <w:widowControl w:val="0"/>
              <w:spacing w:after="120"/>
            </w:pPr>
          </w:p>
          <w:p w:rsidR="00AD5962" w:rsidRPr="00291EE1" w:rsidRDefault="00AD5962" w:rsidP="00A12694">
            <w:pPr>
              <w:widowControl w:val="0"/>
              <w:spacing w:after="120"/>
            </w:pPr>
          </w:p>
        </w:tc>
      </w:tr>
      <w:tr w:rsidR="00AD5962" w:rsidRPr="00FC3ED5" w:rsidTr="00AD5962">
        <w:trPr>
          <w:trHeight w:val="3433"/>
        </w:trPr>
        <w:tc>
          <w:tcPr>
            <w:tcW w:w="9322" w:type="dxa"/>
          </w:tcPr>
          <w:p w:rsidR="00AD5962" w:rsidRPr="00293C2C" w:rsidRDefault="00AD5962" w:rsidP="00AD5962">
            <w:pPr>
              <w:pStyle w:val="Listeafsnit"/>
              <w:widowControl w:val="0"/>
              <w:numPr>
                <w:ilvl w:val="0"/>
                <w:numId w:val="2"/>
              </w:numPr>
              <w:spacing w:after="120"/>
              <w:ind w:left="426"/>
              <w:rPr>
                <w:szCs w:val="24"/>
              </w:rPr>
            </w:pPr>
            <w:r w:rsidRPr="00293C2C">
              <w:rPr>
                <w:szCs w:val="24"/>
              </w:rPr>
              <w:t>Virksomheden skal have nedskrevne driftsinstrukser og -procedurer vedrørende:</w:t>
            </w:r>
          </w:p>
          <w:p w:rsidR="00AD5962" w:rsidRPr="00293C2C" w:rsidRDefault="00AD5962" w:rsidP="00A12694">
            <w:pPr>
              <w:widowControl w:val="0"/>
              <w:ind w:left="426"/>
              <w:rPr>
                <w:szCs w:val="24"/>
              </w:rPr>
            </w:pPr>
            <w:r w:rsidRPr="00293C2C">
              <w:rPr>
                <w:szCs w:val="24"/>
              </w:rPr>
              <w:t>– Modtagelse, oplagring, omlastning, omemballering og/eller sortering af farligt affald, herunder sikkerhedsforanstaltninger i forbindelse hermed.</w:t>
            </w:r>
          </w:p>
          <w:p w:rsidR="00AD5962" w:rsidRPr="00293C2C" w:rsidRDefault="00AD5962" w:rsidP="00A12694">
            <w:pPr>
              <w:widowControl w:val="0"/>
              <w:ind w:left="426"/>
              <w:rPr>
                <w:szCs w:val="24"/>
              </w:rPr>
            </w:pPr>
            <w:r w:rsidRPr="00293C2C">
              <w:rPr>
                <w:szCs w:val="24"/>
              </w:rPr>
              <w:t>– Betjening af de enkelte anlæg, pumper mv.</w:t>
            </w:r>
          </w:p>
          <w:p w:rsidR="00AD5962" w:rsidRPr="00293C2C" w:rsidRDefault="00AD5962" w:rsidP="00A12694">
            <w:pPr>
              <w:widowControl w:val="0"/>
              <w:ind w:left="426"/>
              <w:rPr>
                <w:szCs w:val="24"/>
              </w:rPr>
            </w:pPr>
            <w:r w:rsidRPr="00293C2C">
              <w:rPr>
                <w:szCs w:val="24"/>
              </w:rPr>
              <w:t>– Procedurer for rengøring af emballage, køretøjer, tanke, andet udstyr, befæstede arealer samt tankgårde, sumpe, brønde og evt. andre opsamlingssteder.</w:t>
            </w:r>
          </w:p>
          <w:p w:rsidR="00AD5962" w:rsidRPr="00293C2C" w:rsidRDefault="00AD5962" w:rsidP="00A12694">
            <w:pPr>
              <w:widowControl w:val="0"/>
              <w:ind w:left="426"/>
              <w:rPr>
                <w:szCs w:val="24"/>
              </w:rPr>
            </w:pPr>
            <w:r w:rsidRPr="00293C2C">
              <w:rPr>
                <w:szCs w:val="24"/>
              </w:rPr>
              <w:t>– Virksomhedens egenkontrol.</w:t>
            </w:r>
          </w:p>
          <w:p w:rsidR="00AD5962" w:rsidRPr="00293C2C" w:rsidRDefault="00AD5962" w:rsidP="00A12694">
            <w:pPr>
              <w:widowControl w:val="0"/>
              <w:ind w:left="426"/>
              <w:rPr>
                <w:szCs w:val="24"/>
              </w:rPr>
            </w:pPr>
            <w:r w:rsidRPr="00293C2C">
              <w:rPr>
                <w:szCs w:val="24"/>
              </w:rPr>
              <w:t>– Procedurer i forbindelse med driftsforstyrrelser og uheld.</w:t>
            </w:r>
          </w:p>
          <w:p w:rsidR="00AD5962" w:rsidRPr="00293C2C" w:rsidRDefault="00AD5962" w:rsidP="00A12694">
            <w:pPr>
              <w:widowControl w:val="0"/>
              <w:spacing w:after="120"/>
              <w:ind w:left="426"/>
              <w:rPr>
                <w:szCs w:val="24"/>
              </w:rPr>
            </w:pPr>
            <w:r w:rsidRPr="00293C2C">
              <w:rPr>
                <w:szCs w:val="24"/>
              </w:rPr>
              <w:t>Instrukser og procedurer skal fremsendes til tilsynsmyndighedens orientering senest 1 måned efter modtagelsen af godkendelsen eller idriftsættelsen af virksomheden.</w:t>
            </w:r>
          </w:p>
          <w:p w:rsidR="00AD5962" w:rsidRDefault="00AD5962" w:rsidP="00A12694">
            <w:pPr>
              <w:widowControl w:val="0"/>
              <w:spacing w:after="120"/>
              <w:ind w:left="426"/>
            </w:pPr>
            <w:r w:rsidRPr="00293C2C">
              <w:rPr>
                <w:szCs w:val="24"/>
              </w:rPr>
              <w:t>Instrukser og procedurer skal være tilgængelige for personalet.</w:t>
            </w:r>
          </w:p>
        </w:tc>
        <w:tc>
          <w:tcPr>
            <w:tcW w:w="4990" w:type="dxa"/>
          </w:tcPr>
          <w:p w:rsidR="00AD5962" w:rsidRPr="00291EE1" w:rsidRDefault="005E15B4" w:rsidP="005E15B4">
            <w:pPr>
              <w:widowControl w:val="0"/>
              <w:spacing w:after="120"/>
            </w:pPr>
            <w:r w:rsidRPr="00567142">
              <w:rPr>
                <w:lang w:eastAsia="da-DK"/>
              </w:rPr>
              <w:t>Virksomheden udvider og fornyer deres aktivitet med et affaldsbehandlingsanlæg (listepunkt 5.1 d)). Der er ved at blive udarbejdet en ny miljøgodkendelse og er virksomheden ved at få miljøcertificering. I den forbindelse er alle driftsinstrukser og procedurer under revision og tilpasses de nye forhold.</w:t>
            </w:r>
          </w:p>
        </w:tc>
      </w:tr>
      <w:tr w:rsidR="00AD5962" w:rsidRPr="00FC3ED5" w:rsidTr="00AD5962">
        <w:tc>
          <w:tcPr>
            <w:tcW w:w="9322" w:type="dxa"/>
          </w:tcPr>
          <w:p w:rsidR="00AD5962" w:rsidRPr="00FC3ED5" w:rsidRDefault="00AD5962" w:rsidP="00A12694">
            <w:pPr>
              <w:spacing w:after="120"/>
              <w:rPr>
                <w:b/>
              </w:rPr>
            </w:pPr>
            <w:r w:rsidRPr="00FC3ED5">
              <w:rPr>
                <w:b/>
              </w:rPr>
              <w:t xml:space="preserve">Modtagelse og oplagring af farligt affald </w:t>
            </w:r>
          </w:p>
        </w:tc>
        <w:tc>
          <w:tcPr>
            <w:tcW w:w="4990" w:type="dxa"/>
          </w:tcPr>
          <w:p w:rsidR="00AD5962" w:rsidRPr="00291EE1" w:rsidRDefault="00AD5962" w:rsidP="00A12694">
            <w:pPr>
              <w:spacing w:after="120"/>
            </w:pPr>
          </w:p>
        </w:tc>
      </w:tr>
      <w:tr w:rsidR="00AD5962" w:rsidRPr="00FC3ED5" w:rsidTr="00AD5962">
        <w:tc>
          <w:tcPr>
            <w:tcW w:w="9322" w:type="dxa"/>
          </w:tcPr>
          <w:p w:rsidR="00AD5962" w:rsidRPr="001845E8" w:rsidRDefault="00AD5962" w:rsidP="00AD5962">
            <w:pPr>
              <w:pStyle w:val="Listeafsnit"/>
              <w:numPr>
                <w:ilvl w:val="0"/>
                <w:numId w:val="2"/>
              </w:numPr>
              <w:spacing w:after="120"/>
              <w:ind w:left="426"/>
              <w:rPr>
                <w:szCs w:val="24"/>
              </w:rPr>
            </w:pPr>
            <w:r w:rsidRPr="001845E8">
              <w:rPr>
                <w:szCs w:val="24"/>
              </w:rPr>
              <w:t xml:space="preserve">Affald skal modtages ved omlastning til en grube (”modtagetanken”), hvorfra det pumpes til tank 101 i OJTs anlæg 3. Arealet for omlæsning i modtagetanken skal være indrettet jf. vilkår </w:t>
            </w:r>
            <w:r>
              <w:fldChar w:fldCharType="begin"/>
            </w:r>
            <w:r>
              <w:instrText xml:space="preserve"> REF _Ref484758125 \r \h  \* MERGEFORMAT </w:instrText>
            </w:r>
            <w:r>
              <w:fldChar w:fldCharType="separate"/>
            </w:r>
            <w:r w:rsidR="00A73931">
              <w:t>2</w:t>
            </w:r>
            <w:r>
              <w:fldChar w:fldCharType="end"/>
            </w:r>
            <w:r>
              <w:t xml:space="preserve"> og </w:t>
            </w:r>
            <w:r>
              <w:fldChar w:fldCharType="begin"/>
            </w:r>
            <w:r>
              <w:instrText xml:space="preserve"> REF _Ref484758129 \r \h  \* MERGEFORMAT </w:instrText>
            </w:r>
            <w:r>
              <w:fldChar w:fldCharType="separate"/>
            </w:r>
            <w:r w:rsidR="00A73931">
              <w:t>3</w:t>
            </w:r>
            <w:r>
              <w:fldChar w:fldCharType="end"/>
            </w:r>
            <w:r>
              <w:rPr>
                <w:szCs w:val="24"/>
              </w:rPr>
              <w:t>.</w:t>
            </w:r>
          </w:p>
        </w:tc>
        <w:tc>
          <w:tcPr>
            <w:tcW w:w="4990" w:type="dxa"/>
          </w:tcPr>
          <w:p w:rsidR="00AD5962" w:rsidRPr="00291EE1" w:rsidRDefault="005E15B4" w:rsidP="00A12694">
            <w:pPr>
              <w:spacing w:after="120"/>
            </w:pPr>
            <w:r>
              <w:t>Rørføring etableres i forbindelse med udvidelse af anlægget.</w:t>
            </w:r>
          </w:p>
          <w:p w:rsidR="00AD5962" w:rsidRPr="00291EE1" w:rsidRDefault="00AD5962" w:rsidP="00A12694">
            <w:pPr>
              <w:spacing w:after="120"/>
            </w:pPr>
          </w:p>
        </w:tc>
      </w:tr>
      <w:tr w:rsidR="00AD5962" w:rsidRPr="00FC3ED5" w:rsidTr="00AD5962">
        <w:tc>
          <w:tcPr>
            <w:tcW w:w="9322" w:type="dxa"/>
          </w:tcPr>
          <w:p w:rsidR="00AD5962" w:rsidRPr="001845E8" w:rsidRDefault="00AD5962" w:rsidP="00AD5962">
            <w:pPr>
              <w:pStyle w:val="Listeafsnit"/>
              <w:numPr>
                <w:ilvl w:val="0"/>
                <w:numId w:val="2"/>
              </w:numPr>
              <w:spacing w:after="120"/>
              <w:ind w:left="426"/>
              <w:rPr>
                <w:bCs/>
                <w:szCs w:val="24"/>
              </w:rPr>
            </w:pPr>
            <w:r w:rsidRPr="001845E8">
              <w:rPr>
                <w:szCs w:val="24"/>
              </w:rPr>
              <w:lastRenderedPageBreak/>
              <w:t>Ved modtagelsen af farligt affald skal virksomheden straks kontrollere og vurdere emballeringen, oplysninger om affaldets klassificering og art samt eventuel deklarering og mærkning af affaldet. Hvis virksomheden vurderer, at oplysningerne er utilstrækkelige, skal den umiddelbart, så vidt det er muligt, indhente de nødvendige oplysninger.</w:t>
            </w:r>
          </w:p>
        </w:tc>
        <w:tc>
          <w:tcPr>
            <w:tcW w:w="4990" w:type="dxa"/>
          </w:tcPr>
          <w:p w:rsidR="00AD5962" w:rsidRDefault="005E15B4" w:rsidP="00A12694">
            <w:pPr>
              <w:spacing w:after="120"/>
            </w:pPr>
            <w:r>
              <w:t>Der modtages kun flydende affald, uden emballering.</w:t>
            </w:r>
          </w:p>
          <w:p w:rsidR="005E15B4" w:rsidRPr="00291EE1" w:rsidRDefault="005E15B4" w:rsidP="00A12694">
            <w:pPr>
              <w:spacing w:after="120"/>
            </w:pPr>
            <w:r>
              <w:t>Affaldets klassificering kontrolleres og der udtages en prøve ved modtagelsen.</w:t>
            </w:r>
          </w:p>
        </w:tc>
      </w:tr>
      <w:tr w:rsidR="00AD5962" w:rsidRPr="00FC3ED5" w:rsidTr="00AD5962">
        <w:tc>
          <w:tcPr>
            <w:tcW w:w="9322" w:type="dxa"/>
          </w:tcPr>
          <w:p w:rsidR="00AD5962" w:rsidRPr="001845E8" w:rsidRDefault="00AD5962" w:rsidP="00AD5962">
            <w:pPr>
              <w:pStyle w:val="Listeafsnit"/>
              <w:numPr>
                <w:ilvl w:val="0"/>
                <w:numId w:val="2"/>
              </w:numPr>
              <w:spacing w:after="120"/>
              <w:ind w:left="426"/>
              <w:rPr>
                <w:bCs/>
                <w:szCs w:val="24"/>
              </w:rPr>
            </w:pPr>
            <w:r w:rsidRPr="001845E8">
              <w:rPr>
                <w:szCs w:val="24"/>
              </w:rPr>
              <w:t xml:space="preserve">Hvis virksomheden modtager affald, der ikke er omfattet af virksomhedens miljøgodkendelse, og som det ikke umiddelbart er muligt at henvise til en anden affaldsmodtager, skal affaldet placeres </w:t>
            </w:r>
            <w:r>
              <w:rPr>
                <w:szCs w:val="24"/>
              </w:rPr>
              <w:t>på aflæsse-/spulepladsen</w:t>
            </w:r>
            <w:r w:rsidRPr="001845E8">
              <w:rPr>
                <w:szCs w:val="24"/>
              </w:rPr>
              <w:t>. Virksomheden skal herefter hurtigst muligt kontakte tilsynsmyndigheden og orientere om affaldet.</w:t>
            </w:r>
          </w:p>
        </w:tc>
        <w:tc>
          <w:tcPr>
            <w:tcW w:w="4990" w:type="dxa"/>
          </w:tcPr>
          <w:p w:rsidR="00E428F9" w:rsidRPr="00291EE1" w:rsidRDefault="005E15B4" w:rsidP="00A12694">
            <w:pPr>
              <w:spacing w:after="120"/>
            </w:pPr>
            <w:r>
              <w:t>Affald der modtages er forhåndsgodkendt og analyseresultat</w:t>
            </w:r>
            <w:r w:rsidR="00EE4F47">
              <w:t xml:space="preserve"> af affaldsfraktionen er fremsendt og modtaget inden affaldet ankommer til Flux Water A/S.</w:t>
            </w:r>
          </w:p>
          <w:p w:rsidR="00E428F9" w:rsidRPr="00291EE1" w:rsidRDefault="00E428F9" w:rsidP="00A12694">
            <w:pPr>
              <w:spacing w:after="120"/>
            </w:pPr>
          </w:p>
        </w:tc>
      </w:tr>
      <w:tr w:rsidR="00AD5962" w:rsidRPr="00FC3ED5" w:rsidTr="00AD5962">
        <w:tc>
          <w:tcPr>
            <w:tcW w:w="9322" w:type="dxa"/>
          </w:tcPr>
          <w:p w:rsidR="00AD5962" w:rsidRPr="001845E8" w:rsidRDefault="00AD5962" w:rsidP="00AD5962">
            <w:pPr>
              <w:pStyle w:val="Listeafsnit"/>
              <w:numPr>
                <w:ilvl w:val="0"/>
                <w:numId w:val="2"/>
              </w:numPr>
              <w:spacing w:after="120"/>
              <w:ind w:left="426"/>
              <w:rPr>
                <w:bCs/>
                <w:szCs w:val="24"/>
              </w:rPr>
            </w:pPr>
            <w:r w:rsidRPr="001845E8">
              <w:rPr>
                <w:szCs w:val="24"/>
              </w:rPr>
              <w:t xml:space="preserve">Hvis virksomheden modtager farligt affald, der ikke kan identificeres, skal affaldet placeres </w:t>
            </w:r>
            <w:r>
              <w:rPr>
                <w:szCs w:val="24"/>
              </w:rPr>
              <w:t xml:space="preserve">på aflæsse-/spulepladsen </w:t>
            </w:r>
            <w:r w:rsidRPr="001845E8">
              <w:rPr>
                <w:szCs w:val="24"/>
              </w:rPr>
              <w:t>adskilt fra de øvrige oplag, mens der pågår nærmere undersøgelser eller eventuelle analyser heraf, eller mens virksomheden indhenter tilsynsmyndighedens stillingtagen til sagen.</w:t>
            </w:r>
          </w:p>
        </w:tc>
        <w:tc>
          <w:tcPr>
            <w:tcW w:w="4990" w:type="dxa"/>
          </w:tcPr>
          <w:p w:rsidR="00E428F9" w:rsidRPr="00291EE1" w:rsidRDefault="00EE4F47" w:rsidP="00A12694">
            <w:pPr>
              <w:spacing w:after="120"/>
            </w:pPr>
            <w:r>
              <w:t>Affaldsfraktioner der modtages er forhåndsgodkendt. I forbindelse med udvidelse af det eksisterende anlæg, dedikeres en modtagetank til ”affaldsvand” som efter modtagekontrol mistænkes at være en anden fraktion end den forhåndsgodkendte.</w:t>
            </w:r>
          </w:p>
        </w:tc>
      </w:tr>
      <w:tr w:rsidR="00AD5962" w:rsidRPr="00FC3ED5" w:rsidTr="00AD5962">
        <w:trPr>
          <w:trHeight w:val="2257"/>
        </w:trPr>
        <w:tc>
          <w:tcPr>
            <w:tcW w:w="9322" w:type="dxa"/>
          </w:tcPr>
          <w:p w:rsidR="00AD5962" w:rsidRPr="008D556C" w:rsidRDefault="00AD5962" w:rsidP="00AD5962">
            <w:pPr>
              <w:pStyle w:val="Listeafsnit"/>
              <w:numPr>
                <w:ilvl w:val="0"/>
                <w:numId w:val="2"/>
              </w:numPr>
              <w:spacing w:after="120"/>
              <w:ind w:left="426"/>
              <w:rPr>
                <w:szCs w:val="24"/>
              </w:rPr>
            </w:pPr>
            <w:bookmarkStart w:id="8" w:name="_Ref483577511"/>
            <w:r w:rsidRPr="008D556C">
              <w:rPr>
                <w:szCs w:val="24"/>
              </w:rPr>
              <w:lastRenderedPageBreak/>
              <w:t>Virksomheden må kun modtage og opbevare nedenstående arter af farligt affald. Det maksimale oplag er begrænset af tankens kapacitet</w:t>
            </w:r>
            <w:bookmarkEnd w:id="8"/>
          </w:p>
          <w:tbl>
            <w:tblPr>
              <w:tblStyle w:val="Tabel-Gitter"/>
              <w:tblW w:w="858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89"/>
            </w:tblGrid>
            <w:tr w:rsidR="00AD5962" w:rsidRPr="00AB04A9" w:rsidTr="00E428F9">
              <w:trPr>
                <w:trHeight w:val="1390"/>
              </w:trPr>
              <w:tc>
                <w:tcPr>
                  <w:tcW w:w="5000" w:type="pct"/>
                </w:tcPr>
                <w:p w:rsidR="00AD5962" w:rsidRPr="00AB04A9" w:rsidRDefault="00AD5962" w:rsidP="00A12694">
                  <w:pPr>
                    <w:rPr>
                      <w:rFonts w:cs="Times New Roman"/>
                      <w:i/>
                      <w:color w:val="000000"/>
                    </w:rPr>
                  </w:pPr>
                  <w:r w:rsidRPr="00AB04A9">
                    <w:rPr>
                      <w:rFonts w:cs="Times New Roman"/>
                      <w:i/>
                      <w:color w:val="000000"/>
                    </w:rPr>
                    <w:t>13 01 00 Olieaffald og affald fra flydende brændestoffer</w:t>
                  </w:r>
                </w:p>
                <w:p w:rsidR="00AD5962" w:rsidRPr="00AB04A9" w:rsidRDefault="00AD5962" w:rsidP="00A12694">
                  <w:pPr>
                    <w:rPr>
                      <w:rFonts w:cs="Times New Roman"/>
                      <w:color w:val="000000"/>
                    </w:rPr>
                  </w:pPr>
                  <w:r w:rsidRPr="00AB04A9">
                    <w:rPr>
                      <w:rFonts w:cs="Times New Roman"/>
                      <w:color w:val="000000"/>
                    </w:rPr>
                    <w:t>13 01 10 Mineralske, ikke-chlorerede hydraulikolier</w:t>
                  </w:r>
                </w:p>
                <w:p w:rsidR="00AD5962" w:rsidRPr="00AB04A9" w:rsidRDefault="00AD5962" w:rsidP="00A12694">
                  <w:pPr>
                    <w:rPr>
                      <w:rFonts w:cs="Times New Roman"/>
                      <w:color w:val="000000"/>
                    </w:rPr>
                  </w:pPr>
                  <w:r w:rsidRPr="00AB04A9">
                    <w:rPr>
                      <w:rFonts w:cs="Times New Roman"/>
                      <w:color w:val="000000"/>
                    </w:rPr>
                    <w:t>13 01 11 Syntetiske hydraulikolier</w:t>
                  </w:r>
                </w:p>
                <w:p w:rsidR="00AD5962" w:rsidRPr="00AB04A9" w:rsidRDefault="00AD5962" w:rsidP="00A12694">
                  <w:pPr>
                    <w:rPr>
                      <w:rFonts w:cs="Times New Roman"/>
                      <w:color w:val="000000"/>
                    </w:rPr>
                  </w:pPr>
                  <w:r w:rsidRPr="00AB04A9">
                    <w:rPr>
                      <w:rFonts w:cs="Times New Roman"/>
                      <w:color w:val="000000"/>
                    </w:rPr>
                    <w:t>13 01 12 Let bionedbrydelige hydraulikolier</w:t>
                  </w:r>
                </w:p>
                <w:p w:rsidR="00AD5962" w:rsidRPr="00AB04A9" w:rsidRDefault="00AD5962" w:rsidP="00A12694">
                  <w:r w:rsidRPr="00AB04A9">
                    <w:rPr>
                      <w:rFonts w:cs="Times New Roman"/>
                      <w:color w:val="000000"/>
                    </w:rPr>
                    <w:t>13 01 13 Andre hydraulikolier</w:t>
                  </w:r>
                </w:p>
              </w:tc>
            </w:tr>
            <w:tr w:rsidR="00AD5962" w:rsidRPr="00AB04A9" w:rsidTr="00E428F9">
              <w:trPr>
                <w:trHeight w:val="1107"/>
              </w:trPr>
              <w:tc>
                <w:tcPr>
                  <w:tcW w:w="5000" w:type="pct"/>
                </w:tcPr>
                <w:p w:rsidR="00AD5962" w:rsidRPr="00AB04A9" w:rsidRDefault="00AD5962" w:rsidP="00A12694">
                  <w:pPr>
                    <w:rPr>
                      <w:rFonts w:cs="Times New Roman"/>
                      <w:i/>
                      <w:color w:val="000000"/>
                    </w:rPr>
                  </w:pPr>
                  <w:r w:rsidRPr="00AB04A9">
                    <w:rPr>
                      <w:rFonts w:cs="Times New Roman"/>
                      <w:i/>
                      <w:color w:val="000000"/>
                    </w:rPr>
                    <w:t>13 04 Bundolie (fra skibe)</w:t>
                  </w:r>
                </w:p>
                <w:p w:rsidR="00AD5962" w:rsidRPr="00AB04A9" w:rsidRDefault="00AD5962" w:rsidP="00A12694">
                  <w:r w:rsidRPr="00AB04A9">
                    <w:rPr>
                      <w:rFonts w:cs="Times New Roman"/>
                      <w:color w:val="000000"/>
                    </w:rPr>
                    <w:t>13 04 01Bundolie fra sejlads på indre vandveje</w:t>
                  </w:r>
                </w:p>
                <w:p w:rsidR="00AD5962" w:rsidRPr="00AB04A9" w:rsidRDefault="00AD5962" w:rsidP="00A12694">
                  <w:r w:rsidRPr="00AB04A9">
                    <w:rPr>
                      <w:rFonts w:cs="Times New Roman"/>
                      <w:color w:val="000000"/>
                    </w:rPr>
                    <w:t>13 04 02Affald fra modtageanlæg for bundolie</w:t>
                  </w:r>
                </w:p>
                <w:p w:rsidR="00AD5962" w:rsidRPr="00AB04A9" w:rsidRDefault="00AD5962" w:rsidP="00A12694">
                  <w:r w:rsidRPr="00AB04A9">
                    <w:rPr>
                      <w:rFonts w:cs="Times New Roman"/>
                      <w:color w:val="000000"/>
                    </w:rPr>
                    <w:t>13 04 03 Bundolie fra anden sejlads</w:t>
                  </w:r>
                </w:p>
              </w:tc>
            </w:tr>
            <w:tr w:rsidR="00AD5962" w:rsidRPr="00AB04A9" w:rsidTr="00E428F9">
              <w:trPr>
                <w:trHeight w:val="1934"/>
              </w:trPr>
              <w:tc>
                <w:tcPr>
                  <w:tcW w:w="5000" w:type="pct"/>
                </w:tcPr>
                <w:p w:rsidR="00AD5962" w:rsidRPr="00AB04A9" w:rsidRDefault="00AD5962" w:rsidP="00A12694">
                  <w:pPr>
                    <w:rPr>
                      <w:rFonts w:cs="Times New Roman"/>
                      <w:i/>
                      <w:color w:val="000000"/>
                    </w:rPr>
                  </w:pPr>
                  <w:r w:rsidRPr="00AB04A9">
                    <w:rPr>
                      <w:rFonts w:cs="Times New Roman"/>
                      <w:i/>
                      <w:color w:val="000000"/>
                    </w:rPr>
                    <w:t>13 05 Materiale fra olieseparatorer</w:t>
                  </w:r>
                </w:p>
                <w:p w:rsidR="00AD5962" w:rsidRPr="00AB04A9" w:rsidRDefault="00AD5962" w:rsidP="00A12694">
                  <w:pPr>
                    <w:rPr>
                      <w:rFonts w:cs="Times New Roman"/>
                      <w:color w:val="000000"/>
                    </w:rPr>
                  </w:pPr>
                  <w:r w:rsidRPr="00AB04A9">
                    <w:rPr>
                      <w:rFonts w:cs="Times New Roman"/>
                      <w:color w:val="000000"/>
                    </w:rPr>
                    <w:t>13 05 01 Fast affald fra sandfang</w:t>
                  </w:r>
                </w:p>
                <w:p w:rsidR="00AD5962" w:rsidRPr="00AB04A9" w:rsidRDefault="00AD5962" w:rsidP="00A12694">
                  <w:pPr>
                    <w:rPr>
                      <w:rFonts w:cs="Times New Roman"/>
                      <w:color w:val="000000"/>
                    </w:rPr>
                  </w:pPr>
                  <w:r w:rsidRPr="00AB04A9">
                    <w:rPr>
                      <w:rFonts w:cs="Times New Roman"/>
                      <w:color w:val="000000"/>
                    </w:rPr>
                    <w:t>13 05 02 Slam fra olieseparatorer</w:t>
                  </w:r>
                </w:p>
                <w:p w:rsidR="00AD5962" w:rsidRPr="00AB04A9" w:rsidRDefault="00AD5962" w:rsidP="00A12694">
                  <w:pPr>
                    <w:rPr>
                      <w:rFonts w:cs="Times New Roman"/>
                      <w:color w:val="000000"/>
                    </w:rPr>
                  </w:pPr>
                  <w:r w:rsidRPr="00AB04A9">
                    <w:rPr>
                      <w:rFonts w:cs="Times New Roman"/>
                      <w:color w:val="000000"/>
                    </w:rPr>
                    <w:t>13 05 03 Slam fra olieudskillere</w:t>
                  </w:r>
                </w:p>
                <w:p w:rsidR="00AD5962" w:rsidRPr="00AB04A9" w:rsidRDefault="00AD5962" w:rsidP="00A12694">
                  <w:pPr>
                    <w:rPr>
                      <w:rFonts w:cs="Times New Roman"/>
                      <w:color w:val="000000"/>
                    </w:rPr>
                  </w:pPr>
                  <w:r w:rsidRPr="00AB04A9">
                    <w:rPr>
                      <w:rFonts w:cs="Times New Roman"/>
                      <w:color w:val="000000"/>
                    </w:rPr>
                    <w:t>13 05 06 Olie fra olieseparatorer</w:t>
                  </w:r>
                </w:p>
                <w:p w:rsidR="00AD5962" w:rsidRPr="00AB04A9" w:rsidRDefault="00AD5962" w:rsidP="00A12694">
                  <w:pPr>
                    <w:rPr>
                      <w:rFonts w:cs="Times New Roman"/>
                      <w:color w:val="000000"/>
                    </w:rPr>
                  </w:pPr>
                  <w:r w:rsidRPr="00AB04A9">
                    <w:rPr>
                      <w:rFonts w:cs="Times New Roman"/>
                      <w:color w:val="000000"/>
                    </w:rPr>
                    <w:t>13 05 07 Olieholdigt vand fra olieseparatorer</w:t>
                  </w:r>
                </w:p>
                <w:p w:rsidR="00AD5962" w:rsidRPr="00AB04A9" w:rsidRDefault="00AD5962" w:rsidP="00A12694">
                  <w:r w:rsidRPr="00AB04A9">
                    <w:rPr>
                      <w:rFonts w:cs="Times New Roman"/>
                      <w:color w:val="000000"/>
                    </w:rPr>
                    <w:t>13 05 08 Blandet affald fra sandfang</w:t>
                  </w:r>
                  <w:r>
                    <w:rPr>
                      <w:rFonts w:cs="Times New Roman"/>
                      <w:color w:val="000000"/>
                    </w:rPr>
                    <w:t xml:space="preserve"> </w:t>
                  </w:r>
                  <w:r w:rsidRPr="00AB04A9">
                    <w:rPr>
                      <w:rFonts w:cs="Times New Roman"/>
                      <w:color w:val="000000"/>
                    </w:rPr>
                    <w:t>og olieseparatorer</w:t>
                  </w:r>
                </w:p>
              </w:tc>
            </w:tr>
            <w:tr w:rsidR="00AD5962" w:rsidRPr="00AB04A9" w:rsidTr="00E428F9">
              <w:trPr>
                <w:trHeight w:val="276"/>
              </w:trPr>
              <w:tc>
                <w:tcPr>
                  <w:tcW w:w="5000" w:type="pct"/>
                  <w:vMerge w:val="restart"/>
                </w:tcPr>
                <w:p w:rsidR="00AD5962" w:rsidRPr="00AB04A9" w:rsidRDefault="00AD5962" w:rsidP="00A12694">
                  <w:pPr>
                    <w:rPr>
                      <w:rFonts w:cs="Times New Roman"/>
                      <w:i/>
                      <w:color w:val="000000"/>
                    </w:rPr>
                  </w:pPr>
                  <w:r w:rsidRPr="00AB04A9">
                    <w:rPr>
                      <w:rFonts w:cs="Times New Roman"/>
                      <w:i/>
                      <w:color w:val="000000"/>
                    </w:rPr>
                    <w:t>13 08 Andet olieaffald, ikke andet steds specificeret</w:t>
                  </w:r>
                </w:p>
                <w:p w:rsidR="00AD5962" w:rsidRPr="00AB04A9" w:rsidRDefault="00AD5962" w:rsidP="00A12694">
                  <w:r w:rsidRPr="00AB04A9">
                    <w:rPr>
                      <w:rFonts w:cs="Times New Roman"/>
                      <w:color w:val="000000"/>
                    </w:rPr>
                    <w:t>13 08 02 Andre emulsioner</w:t>
                  </w:r>
                </w:p>
                <w:p w:rsidR="00AD5962" w:rsidRPr="00AB04A9" w:rsidRDefault="00AD5962" w:rsidP="00A12694">
                  <w:r w:rsidRPr="00AB04A9">
                    <w:rPr>
                      <w:rFonts w:cs="Times New Roman"/>
                      <w:color w:val="000000"/>
                    </w:rPr>
                    <w:t>13 08 99 Andet affald, ikke andetsteds specificeret</w:t>
                  </w:r>
                </w:p>
              </w:tc>
            </w:tr>
            <w:tr w:rsidR="00AD5962" w:rsidRPr="00AB04A9" w:rsidTr="00E428F9">
              <w:trPr>
                <w:trHeight w:val="276"/>
              </w:trPr>
              <w:tc>
                <w:tcPr>
                  <w:tcW w:w="5000" w:type="pct"/>
                  <w:vMerge/>
                </w:tcPr>
                <w:p w:rsidR="00AD5962" w:rsidRPr="00AB04A9" w:rsidRDefault="00AD5962" w:rsidP="00A12694"/>
              </w:tc>
            </w:tr>
            <w:tr w:rsidR="00AD5962" w:rsidRPr="00AB04A9" w:rsidTr="00E428F9">
              <w:trPr>
                <w:trHeight w:val="352"/>
              </w:trPr>
              <w:tc>
                <w:tcPr>
                  <w:tcW w:w="5000" w:type="pct"/>
                  <w:vMerge/>
                </w:tcPr>
                <w:p w:rsidR="00AD5962" w:rsidRPr="00AB04A9" w:rsidRDefault="00AD5962" w:rsidP="00A12694"/>
              </w:tc>
            </w:tr>
            <w:tr w:rsidR="00AD5962" w:rsidRPr="00AB04A9" w:rsidTr="00E428F9">
              <w:trPr>
                <w:trHeight w:val="544"/>
              </w:trPr>
              <w:tc>
                <w:tcPr>
                  <w:tcW w:w="5000" w:type="pct"/>
                </w:tcPr>
                <w:p w:rsidR="00AD5962" w:rsidRPr="00AB04A9" w:rsidRDefault="00AD5962" w:rsidP="00A12694">
                  <w:pPr>
                    <w:rPr>
                      <w:rFonts w:cs="Times New Roman"/>
                      <w:i/>
                      <w:color w:val="000000"/>
                    </w:rPr>
                  </w:pPr>
                  <w:r w:rsidRPr="00AB04A9">
                    <w:rPr>
                      <w:rFonts w:cs="Times New Roman"/>
                      <w:i/>
                      <w:color w:val="000000"/>
                    </w:rPr>
                    <w:t>16 07 Affald fra rengøring af transporttanke, lagertanke og tønder</w:t>
                  </w:r>
                </w:p>
                <w:p w:rsidR="00AD5962" w:rsidRPr="00AB04A9" w:rsidRDefault="00AD5962" w:rsidP="00A12694">
                  <w:r w:rsidRPr="00AB04A9">
                    <w:rPr>
                      <w:rFonts w:cs="Times New Roman"/>
                      <w:color w:val="000000"/>
                    </w:rPr>
                    <w:t>16 07 08 Olieholdigt affald</w:t>
                  </w:r>
                </w:p>
              </w:tc>
            </w:tr>
            <w:tr w:rsidR="00AD5962" w:rsidRPr="00AB04A9" w:rsidTr="00E428F9">
              <w:trPr>
                <w:trHeight w:val="276"/>
              </w:trPr>
              <w:tc>
                <w:tcPr>
                  <w:tcW w:w="5000" w:type="pct"/>
                  <w:vMerge w:val="restart"/>
                </w:tcPr>
                <w:p w:rsidR="00AD5962" w:rsidRPr="00AB04A9" w:rsidRDefault="00AD5962" w:rsidP="00A12694">
                  <w:pPr>
                    <w:rPr>
                      <w:rFonts w:cs="Times New Roman"/>
                      <w:i/>
                      <w:color w:val="000000"/>
                    </w:rPr>
                  </w:pPr>
                  <w:r w:rsidRPr="00AB04A9">
                    <w:rPr>
                      <w:rFonts w:cs="Times New Roman"/>
                      <w:i/>
                      <w:color w:val="000000"/>
                    </w:rPr>
                    <w:lastRenderedPageBreak/>
                    <w:t>19 08 Affald fra spildevandsrensningsanlæg, ikke andetsteds specificeret</w:t>
                  </w:r>
                </w:p>
                <w:p w:rsidR="00AD5962" w:rsidRPr="00AB04A9" w:rsidRDefault="00AD5962" w:rsidP="00A12694">
                  <w:r w:rsidRPr="00AB04A9">
                    <w:rPr>
                      <w:rFonts w:cs="Times New Roman"/>
                      <w:color w:val="000000"/>
                    </w:rPr>
                    <w:t>19 08 99 Andet affald, ikke andetsteds specificeret</w:t>
                  </w:r>
                </w:p>
                <w:p w:rsidR="00AD5962" w:rsidRPr="00AB04A9" w:rsidRDefault="00AD5962" w:rsidP="00A12694">
                  <w:pPr>
                    <w:rPr>
                      <w:rFonts w:cs="Times New Roman"/>
                      <w:color w:val="000000"/>
                    </w:rPr>
                  </w:pPr>
                  <w:r w:rsidRPr="00AB04A9">
                    <w:rPr>
                      <w:rFonts w:cs="Times New Roman"/>
                      <w:color w:val="000000"/>
                    </w:rPr>
                    <w:t xml:space="preserve">19 08 09 Fedt og olieblanding fra olieudskillelse, der udelukkende indeholder spiselig olie og fedt </w:t>
                  </w:r>
                </w:p>
                <w:p w:rsidR="00AD5962" w:rsidRDefault="00AD5962" w:rsidP="00A12694">
                  <w:pPr>
                    <w:rPr>
                      <w:rFonts w:cs="Times New Roman"/>
                      <w:color w:val="000000"/>
                    </w:rPr>
                  </w:pPr>
                  <w:r w:rsidRPr="00AB04A9">
                    <w:rPr>
                      <w:rFonts w:cs="Times New Roman"/>
                      <w:color w:val="000000"/>
                    </w:rPr>
                    <w:t>19 08 10 Fedt og olieblanding fra olieudskillelse, bortset fra affald henhørende under 19 08 09</w:t>
                  </w:r>
                </w:p>
                <w:p w:rsidR="00AD5962" w:rsidRPr="00AB04A9" w:rsidRDefault="00AD5962" w:rsidP="00A12694"/>
              </w:tc>
            </w:tr>
            <w:tr w:rsidR="00AD5962" w:rsidRPr="00AB04A9" w:rsidTr="00E428F9">
              <w:trPr>
                <w:trHeight w:val="276"/>
              </w:trPr>
              <w:tc>
                <w:tcPr>
                  <w:tcW w:w="5000" w:type="pct"/>
                  <w:vMerge/>
                </w:tcPr>
                <w:p w:rsidR="00AD5962" w:rsidRPr="00AB04A9" w:rsidRDefault="00AD5962" w:rsidP="00A12694"/>
              </w:tc>
            </w:tr>
          </w:tbl>
          <w:p w:rsidR="00AD5962" w:rsidRPr="008D556C" w:rsidRDefault="00AD5962" w:rsidP="00A12694">
            <w:pPr>
              <w:pStyle w:val="Default"/>
              <w:ind w:left="426"/>
              <w:jc w:val="both"/>
              <w:rPr>
                <w:color w:val="auto"/>
              </w:rPr>
            </w:pPr>
          </w:p>
        </w:tc>
        <w:tc>
          <w:tcPr>
            <w:tcW w:w="4990" w:type="dxa"/>
          </w:tcPr>
          <w:p w:rsidR="00AD5962" w:rsidRPr="00291EE1" w:rsidRDefault="00AD5962" w:rsidP="00A12694">
            <w:pPr>
              <w:spacing w:after="120"/>
            </w:pPr>
          </w:p>
        </w:tc>
      </w:tr>
      <w:tr w:rsidR="00AD5962" w:rsidRPr="00FC3ED5" w:rsidTr="00AD5962">
        <w:trPr>
          <w:trHeight w:val="948"/>
        </w:trPr>
        <w:tc>
          <w:tcPr>
            <w:tcW w:w="9322" w:type="dxa"/>
          </w:tcPr>
          <w:p w:rsidR="00AD5962" w:rsidRPr="008D556C" w:rsidRDefault="00AD5962" w:rsidP="00AD5962">
            <w:pPr>
              <w:pStyle w:val="Listeafsnit"/>
              <w:numPr>
                <w:ilvl w:val="0"/>
                <w:numId w:val="2"/>
              </w:numPr>
              <w:spacing w:after="120"/>
              <w:ind w:left="426"/>
              <w:rPr>
                <w:bCs/>
                <w:szCs w:val="24"/>
              </w:rPr>
            </w:pPr>
            <w:r w:rsidRPr="008D556C">
              <w:rPr>
                <w:szCs w:val="24"/>
              </w:rPr>
              <w:t>Oplagsområder til farligt affald skal være indrettet og afmærket, således at det enkelte område er tydeligt afgrænset, og så det klart fremgår, hvor de forskellige affaldsfraktioner skal opbevares.</w:t>
            </w:r>
          </w:p>
        </w:tc>
        <w:tc>
          <w:tcPr>
            <w:tcW w:w="4990" w:type="dxa"/>
          </w:tcPr>
          <w:p w:rsidR="00AD5962" w:rsidRPr="00291EE1" w:rsidRDefault="00866B5F" w:rsidP="00A12694">
            <w:pPr>
              <w:spacing w:after="120"/>
            </w:pPr>
            <w:r>
              <w:t>Der er p.t. kun e</w:t>
            </w:r>
            <w:r w:rsidR="00CE3AE5">
              <w:t>t modtagekar/-grube, der afgrænses af læsseplads og ”stænk-skærm”.</w:t>
            </w:r>
          </w:p>
          <w:p w:rsidR="00E428F9" w:rsidRPr="00291EE1" w:rsidRDefault="00E428F9" w:rsidP="00A12694">
            <w:pPr>
              <w:spacing w:after="120"/>
            </w:pPr>
          </w:p>
        </w:tc>
      </w:tr>
      <w:tr w:rsidR="00AD5962" w:rsidRPr="00FC3ED5" w:rsidTr="00AD5962">
        <w:tc>
          <w:tcPr>
            <w:tcW w:w="9322" w:type="dxa"/>
          </w:tcPr>
          <w:p w:rsidR="00AD5962" w:rsidRPr="00FC3ED5" w:rsidRDefault="00AD5962" w:rsidP="00A12694">
            <w:pPr>
              <w:spacing w:after="120"/>
              <w:rPr>
                <w:b/>
              </w:rPr>
            </w:pPr>
            <w:r w:rsidRPr="00FC3ED5">
              <w:rPr>
                <w:b/>
              </w:rPr>
              <w:t xml:space="preserve">Stationære tankanlæg samt øvrige faste rør og slanger </w:t>
            </w:r>
          </w:p>
        </w:tc>
        <w:tc>
          <w:tcPr>
            <w:tcW w:w="4990" w:type="dxa"/>
          </w:tcPr>
          <w:p w:rsidR="00AD5962" w:rsidRPr="00291EE1" w:rsidRDefault="00AD5962" w:rsidP="00A12694">
            <w:pPr>
              <w:spacing w:after="120"/>
            </w:pPr>
          </w:p>
        </w:tc>
      </w:tr>
      <w:tr w:rsidR="00AD5962" w:rsidRPr="00FC3ED5" w:rsidTr="00AD5962">
        <w:trPr>
          <w:trHeight w:val="3646"/>
        </w:trPr>
        <w:tc>
          <w:tcPr>
            <w:tcW w:w="9322" w:type="dxa"/>
          </w:tcPr>
          <w:p w:rsidR="00AD5962" w:rsidRPr="00F52F63" w:rsidRDefault="00AD5962" w:rsidP="00AD5962">
            <w:pPr>
              <w:pStyle w:val="Listeafsnit"/>
              <w:widowControl w:val="0"/>
              <w:numPr>
                <w:ilvl w:val="0"/>
                <w:numId w:val="2"/>
              </w:numPr>
              <w:spacing w:after="120"/>
              <w:ind w:left="426"/>
              <w:rPr>
                <w:szCs w:val="24"/>
              </w:rPr>
            </w:pPr>
            <w:r w:rsidRPr="00F52F63">
              <w:rPr>
                <w:szCs w:val="24"/>
              </w:rPr>
              <w:lastRenderedPageBreak/>
              <w:t>Stationære tankanlæg</w:t>
            </w:r>
            <w:r w:rsidRPr="00F52F63">
              <w:rPr>
                <w:rStyle w:val="Fodnotehenvisning"/>
                <w:szCs w:val="24"/>
              </w:rPr>
              <w:footnoteReference w:id="4"/>
            </w:r>
            <w:r w:rsidRPr="00F52F63">
              <w:rPr>
                <w:szCs w:val="24"/>
              </w:rPr>
              <w:t xml:space="preserve"> til opbevaring af farligt affald skal:</w:t>
            </w:r>
          </w:p>
          <w:p w:rsidR="00AD5962" w:rsidRPr="00F52F63" w:rsidRDefault="00AD5962" w:rsidP="00A12694">
            <w:pPr>
              <w:widowControl w:val="0"/>
              <w:spacing w:after="120"/>
              <w:ind w:left="426"/>
              <w:rPr>
                <w:szCs w:val="24"/>
              </w:rPr>
            </w:pPr>
            <w:r w:rsidRPr="00F52F63">
              <w:rPr>
                <w:szCs w:val="24"/>
              </w:rPr>
              <w:t>– være tætte og i god vedligeholdelsesstand,</w:t>
            </w:r>
          </w:p>
          <w:p w:rsidR="00AD5962" w:rsidRPr="00F52F63" w:rsidRDefault="00AD5962" w:rsidP="00A12694">
            <w:pPr>
              <w:widowControl w:val="0"/>
              <w:spacing w:after="120"/>
              <w:ind w:left="426"/>
              <w:rPr>
                <w:szCs w:val="24"/>
              </w:rPr>
            </w:pPr>
            <w:r w:rsidRPr="00F52F63">
              <w:rPr>
                <w:szCs w:val="24"/>
              </w:rPr>
              <w:t xml:space="preserve">– være forsynet med </w:t>
            </w:r>
            <w:r>
              <w:rPr>
                <w:szCs w:val="24"/>
              </w:rPr>
              <w:t>niveau</w:t>
            </w:r>
            <w:r w:rsidRPr="00F52F63">
              <w:rPr>
                <w:szCs w:val="24"/>
              </w:rPr>
              <w:t>alarm, der markerer, når tanken er 90 % fuld</w:t>
            </w:r>
            <w:r>
              <w:rPr>
                <w:szCs w:val="24"/>
              </w:rPr>
              <w:t xml:space="preserve"> og giver alarm hhv. til en vagthavende og akustisk, dvs. hørbart på anlægget, </w:t>
            </w:r>
          </w:p>
          <w:p w:rsidR="00AD5962" w:rsidRDefault="00AD5962" w:rsidP="00A12694">
            <w:pPr>
              <w:widowControl w:val="0"/>
              <w:spacing w:after="120"/>
              <w:ind w:left="426"/>
              <w:rPr>
                <w:szCs w:val="24"/>
              </w:rPr>
            </w:pPr>
            <w:r w:rsidRPr="00F52F63">
              <w:rPr>
                <w:szCs w:val="24"/>
              </w:rPr>
              <w:t>– være korrosionsbeskyttede indvendigt eller opbygget af materialer, der er resistente over for den type affald, de anvendes til, og over for eventuelt kondensvand, hvis dette udskilles</w:t>
            </w:r>
            <w:r>
              <w:rPr>
                <w:szCs w:val="24"/>
              </w:rPr>
              <w:t>.</w:t>
            </w:r>
          </w:p>
          <w:p w:rsidR="00AD5962" w:rsidRPr="00F52F63" w:rsidRDefault="00AD5962" w:rsidP="00A12694">
            <w:pPr>
              <w:widowControl w:val="0"/>
              <w:spacing w:after="120"/>
              <w:ind w:left="426"/>
              <w:rPr>
                <w:szCs w:val="24"/>
              </w:rPr>
            </w:pPr>
            <w:r w:rsidRPr="00F52F63">
              <w:rPr>
                <w:szCs w:val="24"/>
              </w:rPr>
              <w:t xml:space="preserve">Utætheder skal udbedres, så hurtigt som muligt efter at de er konstateret. Rør og slanger til påfyldning og aftapning skal være placeret og udformet således, at de er tomme, når der ikke transporteres farligt affald i dem. Tankanlæg skal være placeret i tætte tankgårde uden afløb eller med afspærringsventil, hvor volumenet af den største tank maksimalt udgør 90 % af tankgårdens opsamlingskapacitet. </w:t>
            </w:r>
          </w:p>
        </w:tc>
        <w:tc>
          <w:tcPr>
            <w:tcW w:w="4990" w:type="dxa"/>
          </w:tcPr>
          <w:p w:rsidR="00AD5962" w:rsidRPr="00291EE1" w:rsidRDefault="00E428F9" w:rsidP="00A12694">
            <w:pPr>
              <w:spacing w:after="120"/>
            </w:pPr>
            <w:r w:rsidRPr="00291EE1">
              <w:t>Tank 101. Inspektionsrapporter</w:t>
            </w:r>
            <w:r w:rsidR="00CE3AE5">
              <w:t xml:space="preserve"> fremvist i forbindelse med tilsyn på OJT</w:t>
            </w:r>
            <w:r w:rsidR="00E853B9">
              <w:t xml:space="preserve"> Tankstore ApS’</w:t>
            </w:r>
            <w:r w:rsidR="00CE3AE5">
              <w:t xml:space="preserve"> </w:t>
            </w:r>
            <w:r w:rsidR="00E853B9">
              <w:t>A</w:t>
            </w:r>
            <w:r w:rsidR="00CE3AE5">
              <w:t>nlæg 3, hvor tanken indgår.</w:t>
            </w:r>
          </w:p>
        </w:tc>
      </w:tr>
      <w:tr w:rsidR="00AD5962" w:rsidRPr="00FC3ED5" w:rsidTr="00AD5962">
        <w:trPr>
          <w:trHeight w:val="948"/>
        </w:trPr>
        <w:tc>
          <w:tcPr>
            <w:tcW w:w="9322" w:type="dxa"/>
          </w:tcPr>
          <w:p w:rsidR="00AD5962" w:rsidRPr="00F52F63" w:rsidRDefault="00AD5962" w:rsidP="00AD5962">
            <w:pPr>
              <w:pStyle w:val="Listeafsnit"/>
              <w:numPr>
                <w:ilvl w:val="0"/>
                <w:numId w:val="2"/>
              </w:numPr>
              <w:spacing w:after="120"/>
              <w:ind w:left="426"/>
              <w:rPr>
                <w:szCs w:val="24"/>
              </w:rPr>
            </w:pPr>
            <w:r w:rsidRPr="00F52F63">
              <w:rPr>
                <w:szCs w:val="24"/>
              </w:rPr>
              <w:t>Inden ibrugtagning af stationære tankanlæg og øvrige faste rørsystemer og slanger til farligt affald skal dokumentation for anlæggenes, rørenes og slangernes tæthed fremsendes til tilsynsmyndigheden.</w:t>
            </w:r>
          </w:p>
        </w:tc>
        <w:tc>
          <w:tcPr>
            <w:tcW w:w="4990" w:type="dxa"/>
          </w:tcPr>
          <w:p w:rsidR="00AD5962" w:rsidRDefault="00CE3AE5" w:rsidP="00A12694">
            <w:pPr>
              <w:spacing w:after="120"/>
            </w:pPr>
            <w:r>
              <w:t>Rørføring til tank 101 etableres i forbindelse med udvidelse af aktivitet.</w:t>
            </w:r>
          </w:p>
          <w:p w:rsidR="00E428F9" w:rsidRPr="00291EE1" w:rsidRDefault="00CE3AE5" w:rsidP="00CE3AE5">
            <w:pPr>
              <w:spacing w:after="120"/>
            </w:pPr>
            <w:r>
              <w:t>Tank</w:t>
            </w:r>
            <w:r w:rsidR="00E853B9">
              <w:t xml:space="preserve"> </w:t>
            </w:r>
            <w:r>
              <w:t>101 bliver inspiceret regelmæssigt efter Eemua standard 159 og efter inspektionsrapporternes anbefalinger.</w:t>
            </w:r>
          </w:p>
        </w:tc>
      </w:tr>
      <w:tr w:rsidR="00AD5962" w:rsidRPr="00FC3ED5" w:rsidTr="00AD5962">
        <w:trPr>
          <w:trHeight w:val="397"/>
        </w:trPr>
        <w:tc>
          <w:tcPr>
            <w:tcW w:w="9322" w:type="dxa"/>
          </w:tcPr>
          <w:p w:rsidR="00AD5962" w:rsidRPr="00F52F63" w:rsidRDefault="00AD5962" w:rsidP="00AD5962">
            <w:pPr>
              <w:pStyle w:val="Listeafsnit"/>
              <w:numPr>
                <w:ilvl w:val="0"/>
                <w:numId w:val="2"/>
              </w:numPr>
              <w:spacing w:after="120"/>
              <w:ind w:left="426"/>
              <w:rPr>
                <w:szCs w:val="24"/>
              </w:rPr>
            </w:pPr>
            <w:r w:rsidRPr="00F52F63">
              <w:rPr>
                <w:szCs w:val="24"/>
              </w:rPr>
              <w:lastRenderedPageBreak/>
              <w:t xml:space="preserve">Alle rør til farligt affald skal føres overjordisk, således at inspektion </w:t>
            </w:r>
            <w:r>
              <w:rPr>
                <w:szCs w:val="24"/>
              </w:rPr>
              <w:t xml:space="preserve">af rørene </w:t>
            </w:r>
            <w:r w:rsidRPr="00F52F63">
              <w:rPr>
                <w:szCs w:val="24"/>
              </w:rPr>
              <w:t>er mulig.</w:t>
            </w:r>
          </w:p>
        </w:tc>
        <w:tc>
          <w:tcPr>
            <w:tcW w:w="4990" w:type="dxa"/>
          </w:tcPr>
          <w:p w:rsidR="00E428F9" w:rsidRPr="00291EE1" w:rsidRDefault="00914702" w:rsidP="00A12694">
            <w:pPr>
              <w:spacing w:after="120"/>
            </w:pPr>
            <w:r>
              <w:t>Rørføring til tank 101 etableres i forbindelse med udvidelse af aktivitet.</w:t>
            </w:r>
          </w:p>
        </w:tc>
      </w:tr>
      <w:tr w:rsidR="00AD5962" w:rsidRPr="00FC3ED5" w:rsidTr="00AD5962">
        <w:tc>
          <w:tcPr>
            <w:tcW w:w="9322" w:type="dxa"/>
          </w:tcPr>
          <w:p w:rsidR="00AD5962" w:rsidRPr="00FC3ED5" w:rsidRDefault="00AD5962" w:rsidP="00A12694">
            <w:pPr>
              <w:spacing w:after="120"/>
              <w:rPr>
                <w:b/>
              </w:rPr>
            </w:pPr>
            <w:r w:rsidRPr="00FC3ED5">
              <w:rPr>
                <w:b/>
              </w:rPr>
              <w:t xml:space="preserve">Omlastning, omemballering og sortering af farligt affald </w:t>
            </w:r>
          </w:p>
        </w:tc>
        <w:tc>
          <w:tcPr>
            <w:tcW w:w="4990" w:type="dxa"/>
          </w:tcPr>
          <w:p w:rsidR="00AD5962" w:rsidRPr="00291EE1" w:rsidRDefault="00AD5962" w:rsidP="00A12694">
            <w:pPr>
              <w:spacing w:after="120"/>
            </w:pPr>
          </w:p>
        </w:tc>
      </w:tr>
      <w:tr w:rsidR="00AD5962" w:rsidRPr="00FC3ED5" w:rsidTr="00AD5962">
        <w:tc>
          <w:tcPr>
            <w:tcW w:w="9322" w:type="dxa"/>
          </w:tcPr>
          <w:p w:rsidR="00AD5962" w:rsidRPr="00F52F63" w:rsidRDefault="00AD5962" w:rsidP="00AD5962">
            <w:pPr>
              <w:pStyle w:val="Listeafsnit"/>
              <w:numPr>
                <w:ilvl w:val="0"/>
                <w:numId w:val="2"/>
              </w:numPr>
              <w:spacing w:after="120"/>
              <w:ind w:left="426"/>
              <w:rPr>
                <w:szCs w:val="24"/>
              </w:rPr>
            </w:pPr>
            <w:bookmarkStart w:id="9" w:name="_Ref483574819"/>
            <w:r w:rsidRPr="00F52F63">
              <w:rPr>
                <w:szCs w:val="24"/>
              </w:rPr>
              <w:t>Omlastning, omemballering og sortering af farligt affald må kun foregå på en tæt belægning, der er uigennemtrængeligt for de forurenende stoffer, som findes i det farlige affald, jf. fremsendte tegninger</w:t>
            </w:r>
            <w:r w:rsidRPr="00F52F63">
              <w:rPr>
                <w:rStyle w:val="Fodnotehenvisning"/>
                <w:szCs w:val="24"/>
              </w:rPr>
              <w:footnoteReference w:id="5"/>
            </w:r>
            <w:r w:rsidRPr="00F52F63">
              <w:rPr>
                <w:szCs w:val="24"/>
              </w:rPr>
              <w:t>.</w:t>
            </w:r>
            <w:bookmarkEnd w:id="9"/>
          </w:p>
        </w:tc>
        <w:tc>
          <w:tcPr>
            <w:tcW w:w="4990" w:type="dxa"/>
          </w:tcPr>
          <w:p w:rsidR="00AD5962" w:rsidRPr="00291EE1" w:rsidRDefault="00914702" w:rsidP="00A12694">
            <w:pPr>
              <w:spacing w:after="120"/>
            </w:pPr>
            <w:r>
              <w:t>Der modtages kun flydende affald, uden emballering.</w:t>
            </w:r>
          </w:p>
        </w:tc>
      </w:tr>
      <w:tr w:rsidR="00AD5962" w:rsidRPr="00FC3ED5" w:rsidTr="00AD5962">
        <w:tc>
          <w:tcPr>
            <w:tcW w:w="9322" w:type="dxa"/>
          </w:tcPr>
          <w:p w:rsidR="00AD5962" w:rsidRPr="00F52F63" w:rsidRDefault="00AD5962" w:rsidP="00AD5962">
            <w:pPr>
              <w:pStyle w:val="Listeafsnit"/>
              <w:numPr>
                <w:ilvl w:val="0"/>
                <w:numId w:val="2"/>
              </w:numPr>
              <w:spacing w:after="120"/>
              <w:ind w:left="426"/>
              <w:rPr>
                <w:szCs w:val="24"/>
              </w:rPr>
            </w:pPr>
            <w:r w:rsidRPr="00F52F63">
              <w:rPr>
                <w:szCs w:val="24"/>
              </w:rPr>
              <w:t>Påfyldning af og aftapning med farligt affald skal foregå under overvågning.</w:t>
            </w:r>
          </w:p>
        </w:tc>
        <w:tc>
          <w:tcPr>
            <w:tcW w:w="4990" w:type="dxa"/>
          </w:tcPr>
          <w:p w:rsidR="00E428F9" w:rsidRPr="00291EE1" w:rsidRDefault="00914702" w:rsidP="00914702">
            <w:pPr>
              <w:spacing w:after="120"/>
            </w:pPr>
            <w:r>
              <w:t>Overvåges. Virksomheden er altid bemandet i åbningstid.</w:t>
            </w:r>
          </w:p>
        </w:tc>
      </w:tr>
      <w:tr w:rsidR="00AD5962" w:rsidRPr="00FC3ED5" w:rsidTr="00AD5962">
        <w:trPr>
          <w:trHeight w:val="948"/>
        </w:trPr>
        <w:tc>
          <w:tcPr>
            <w:tcW w:w="9322" w:type="dxa"/>
          </w:tcPr>
          <w:p w:rsidR="00AD5962" w:rsidRPr="00F52F63" w:rsidRDefault="00AD5962" w:rsidP="00AD5962">
            <w:pPr>
              <w:pStyle w:val="Listeafsnit"/>
              <w:numPr>
                <w:ilvl w:val="0"/>
                <w:numId w:val="2"/>
              </w:numPr>
              <w:spacing w:after="120"/>
              <w:ind w:left="426"/>
              <w:rPr>
                <w:szCs w:val="24"/>
              </w:rPr>
            </w:pPr>
            <w:r w:rsidRPr="00F52F63">
              <w:rPr>
                <w:szCs w:val="24"/>
              </w:rPr>
              <w:t>Relevante afspærringsventiler i sumpe, brønde og lignende opsamlingsbassiner beliggende i ikke-overdækkede arealer skal være lukkede, når der håndteres farligt affald og indtil eventuelt spild er fjernet.</w:t>
            </w:r>
          </w:p>
        </w:tc>
        <w:tc>
          <w:tcPr>
            <w:tcW w:w="4990" w:type="dxa"/>
          </w:tcPr>
          <w:p w:rsidR="00AD5962" w:rsidRDefault="00914702" w:rsidP="00A12694">
            <w:pPr>
              <w:spacing w:after="120"/>
            </w:pPr>
            <w:r>
              <w:t>Der er ingen afløb i aflæsseplads.</w:t>
            </w:r>
          </w:p>
          <w:p w:rsidR="00E428F9" w:rsidRPr="00291EE1" w:rsidRDefault="00914702" w:rsidP="00914702">
            <w:pPr>
              <w:spacing w:after="120"/>
            </w:pPr>
            <w:r>
              <w:t>Aflæssepladsen er etableret med hældning mod modtagegruben og væk fra regnvandsbrønde i indkørslen til aflæssepladsen.</w:t>
            </w:r>
          </w:p>
        </w:tc>
      </w:tr>
      <w:tr w:rsidR="00AD5962" w:rsidRPr="00FC3ED5" w:rsidTr="00AD5962">
        <w:tc>
          <w:tcPr>
            <w:tcW w:w="9322" w:type="dxa"/>
          </w:tcPr>
          <w:p w:rsidR="00AD5962" w:rsidRPr="004B3870" w:rsidRDefault="00AD5962" w:rsidP="00A12694">
            <w:pPr>
              <w:spacing w:after="120"/>
              <w:rPr>
                <w:b/>
              </w:rPr>
            </w:pPr>
            <w:r w:rsidRPr="004B3870">
              <w:rPr>
                <w:b/>
              </w:rPr>
              <w:t>Støj</w:t>
            </w:r>
          </w:p>
        </w:tc>
        <w:tc>
          <w:tcPr>
            <w:tcW w:w="4990" w:type="dxa"/>
          </w:tcPr>
          <w:p w:rsidR="00AD5962" w:rsidRPr="00291EE1" w:rsidRDefault="00AD5962" w:rsidP="00A12694">
            <w:pPr>
              <w:spacing w:after="120"/>
            </w:pPr>
          </w:p>
        </w:tc>
      </w:tr>
      <w:tr w:rsidR="00AD5962" w:rsidRPr="00FC3ED5" w:rsidTr="00AD5962">
        <w:trPr>
          <w:trHeight w:val="695"/>
        </w:trPr>
        <w:tc>
          <w:tcPr>
            <w:tcW w:w="9322" w:type="dxa"/>
          </w:tcPr>
          <w:p w:rsidR="00AD5962" w:rsidRPr="00F52F63" w:rsidRDefault="00AD5962" w:rsidP="00AD5962">
            <w:pPr>
              <w:pStyle w:val="Listeafsnit"/>
              <w:numPr>
                <w:ilvl w:val="0"/>
                <w:numId w:val="2"/>
              </w:numPr>
              <w:spacing w:after="120"/>
              <w:ind w:left="426"/>
              <w:rPr>
                <w:szCs w:val="24"/>
              </w:rPr>
            </w:pPr>
            <w:r w:rsidRPr="00F52F63">
              <w:rPr>
                <w:szCs w:val="24"/>
              </w:rPr>
              <w:t xml:space="preserve">Støjbelastningen fra virksomheden, angivet som det korrigerede energiækvivalente A-vægtede lydtryksniveau Lr, må ikke overstige 70 dB(A) i skel til naboer. </w:t>
            </w:r>
          </w:p>
        </w:tc>
        <w:tc>
          <w:tcPr>
            <w:tcW w:w="4990" w:type="dxa"/>
          </w:tcPr>
          <w:p w:rsidR="00AD5962" w:rsidRPr="00291EE1" w:rsidRDefault="00E428F9" w:rsidP="00A12694">
            <w:pPr>
              <w:spacing w:after="120"/>
            </w:pPr>
            <w:r w:rsidRPr="00291EE1">
              <w:t>Kunne ikke kontrolleres ved tilsynet. Der har ikke været henvendelser om støjgener fra virksomheden. Hverken til tilsynsmyndigheden eller direkte til virksomheden.</w:t>
            </w:r>
          </w:p>
        </w:tc>
      </w:tr>
      <w:tr w:rsidR="00AD5962" w:rsidRPr="00FC3ED5" w:rsidTr="00AD5962">
        <w:tc>
          <w:tcPr>
            <w:tcW w:w="9322" w:type="dxa"/>
          </w:tcPr>
          <w:p w:rsidR="00AD5962" w:rsidRPr="00FC3ED5" w:rsidRDefault="00AD5962" w:rsidP="00A12694">
            <w:pPr>
              <w:spacing w:after="120"/>
              <w:rPr>
                <w:b/>
              </w:rPr>
            </w:pPr>
            <w:r w:rsidRPr="00FC3ED5">
              <w:rPr>
                <w:b/>
              </w:rPr>
              <w:lastRenderedPageBreak/>
              <w:t xml:space="preserve">Luftforurening </w:t>
            </w:r>
          </w:p>
        </w:tc>
        <w:tc>
          <w:tcPr>
            <w:tcW w:w="4990" w:type="dxa"/>
          </w:tcPr>
          <w:p w:rsidR="00AD5962" w:rsidRPr="00291EE1" w:rsidRDefault="00AD5962" w:rsidP="00A12694">
            <w:pPr>
              <w:spacing w:after="120"/>
            </w:pPr>
          </w:p>
        </w:tc>
      </w:tr>
      <w:tr w:rsidR="00AD5962" w:rsidRPr="00FC3ED5" w:rsidTr="00AD5962">
        <w:trPr>
          <w:trHeight w:val="753"/>
        </w:trPr>
        <w:tc>
          <w:tcPr>
            <w:tcW w:w="9322" w:type="dxa"/>
          </w:tcPr>
          <w:p w:rsidR="00AD5962" w:rsidRPr="00F52F63" w:rsidRDefault="00AD5962" w:rsidP="00AD5962">
            <w:pPr>
              <w:pStyle w:val="Listeafsnit"/>
              <w:numPr>
                <w:ilvl w:val="0"/>
                <w:numId w:val="2"/>
              </w:numPr>
              <w:spacing w:after="120"/>
              <w:ind w:left="426"/>
              <w:rPr>
                <w:szCs w:val="24"/>
              </w:rPr>
            </w:pPr>
            <w:r w:rsidRPr="00F52F63">
              <w:rPr>
                <w:szCs w:val="24"/>
              </w:rPr>
              <w:t>Virksomheden må ikke give anledning til lugtgener eller støvgener uden for virksomhedens område, som efter tilsynsmyndighedens vurdering er væsentlige for omgivelserne.</w:t>
            </w:r>
          </w:p>
        </w:tc>
        <w:tc>
          <w:tcPr>
            <w:tcW w:w="4990" w:type="dxa"/>
          </w:tcPr>
          <w:p w:rsidR="00E428F9" w:rsidRPr="00291EE1" w:rsidRDefault="00E428F9" w:rsidP="00A12694">
            <w:pPr>
              <w:spacing w:after="120"/>
            </w:pPr>
            <w:r w:rsidRPr="00291EE1">
              <w:t>Ingen bemærkninger. Der håndteres flydende affald indeholdende olie med lavt damptryk, der opbevares i lukkede tanke.</w:t>
            </w:r>
          </w:p>
        </w:tc>
      </w:tr>
      <w:tr w:rsidR="00AD5962" w:rsidRPr="00FC3ED5" w:rsidTr="00AD5962">
        <w:tc>
          <w:tcPr>
            <w:tcW w:w="9322" w:type="dxa"/>
          </w:tcPr>
          <w:p w:rsidR="00AD5962" w:rsidRPr="00B70C99" w:rsidRDefault="00AD5962" w:rsidP="00A12694">
            <w:pPr>
              <w:spacing w:after="120"/>
              <w:rPr>
                <w:b/>
              </w:rPr>
            </w:pPr>
            <w:r w:rsidRPr="00B70C99">
              <w:rPr>
                <w:b/>
              </w:rPr>
              <w:t>Spild og affald</w:t>
            </w:r>
          </w:p>
        </w:tc>
        <w:tc>
          <w:tcPr>
            <w:tcW w:w="4990" w:type="dxa"/>
          </w:tcPr>
          <w:p w:rsidR="00AD5962" w:rsidRPr="00291EE1" w:rsidRDefault="00AD5962" w:rsidP="00A12694">
            <w:pPr>
              <w:spacing w:after="120"/>
            </w:pPr>
          </w:p>
        </w:tc>
      </w:tr>
      <w:tr w:rsidR="00AD5962" w:rsidRPr="00FC3ED5" w:rsidTr="00AD5962">
        <w:tc>
          <w:tcPr>
            <w:tcW w:w="9322" w:type="dxa"/>
          </w:tcPr>
          <w:p w:rsidR="00AD5962" w:rsidRPr="00F52F63" w:rsidRDefault="00AD5962" w:rsidP="00AD5962">
            <w:pPr>
              <w:pStyle w:val="Listeafsnit"/>
              <w:numPr>
                <w:ilvl w:val="0"/>
                <w:numId w:val="2"/>
              </w:numPr>
              <w:spacing w:after="120"/>
              <w:ind w:left="426"/>
              <w:rPr>
                <w:szCs w:val="24"/>
              </w:rPr>
            </w:pPr>
            <w:r w:rsidRPr="00F52F63">
              <w:rPr>
                <w:szCs w:val="24"/>
              </w:rPr>
              <w:t>Spild af farligt affald på befæstede og ubefæstede arealer skal opsamles straks. Hvis der opstår risiko for at spild af farligt affald kan nå et afløb, skal de relevante afspærringsventiler straks lukkes.</w:t>
            </w:r>
          </w:p>
        </w:tc>
        <w:tc>
          <w:tcPr>
            <w:tcW w:w="4990" w:type="dxa"/>
          </w:tcPr>
          <w:p w:rsidR="00E428F9" w:rsidRDefault="00914702" w:rsidP="00A12694">
            <w:pPr>
              <w:spacing w:after="120"/>
            </w:pPr>
            <w:r>
              <w:t>Ingen spildhændelser.</w:t>
            </w:r>
          </w:p>
          <w:p w:rsidR="00E428F9" w:rsidRPr="00291EE1" w:rsidRDefault="00914702" w:rsidP="00914702">
            <w:pPr>
              <w:spacing w:after="120"/>
            </w:pPr>
            <w:r>
              <w:t>Ved større spild vil det være slamsugeren, der afleverer farligt affald, der selv vil kunne opsamle et evt. spild.</w:t>
            </w:r>
          </w:p>
        </w:tc>
      </w:tr>
      <w:tr w:rsidR="00AD5962" w:rsidRPr="00FC3ED5" w:rsidTr="00AD5962">
        <w:tc>
          <w:tcPr>
            <w:tcW w:w="9322" w:type="dxa"/>
          </w:tcPr>
          <w:p w:rsidR="00AD5962" w:rsidRPr="00F52F63" w:rsidRDefault="00AD5962" w:rsidP="00AD5962">
            <w:pPr>
              <w:pStyle w:val="Listeafsnit"/>
              <w:numPr>
                <w:ilvl w:val="0"/>
                <w:numId w:val="2"/>
              </w:numPr>
              <w:spacing w:after="120"/>
              <w:ind w:left="426"/>
              <w:rPr>
                <w:szCs w:val="24"/>
              </w:rPr>
            </w:pPr>
            <w:r w:rsidRPr="00F52F63">
              <w:rPr>
                <w:szCs w:val="24"/>
              </w:rPr>
              <w:t>Spild af farligt affald i sumpe, brønde o. lign. opsamlingsbassiner samt i tankgårde opsamles dagligt ved arbejdstids ophør. Ved uheld, hvor der f.eks. er gået hul på en emballage med flydende farligt affald, opsamles spildet hurtigst muligt.</w:t>
            </w:r>
          </w:p>
        </w:tc>
        <w:tc>
          <w:tcPr>
            <w:tcW w:w="4990" w:type="dxa"/>
          </w:tcPr>
          <w:p w:rsidR="00914702" w:rsidRDefault="00914702" w:rsidP="00914702">
            <w:pPr>
              <w:spacing w:after="120"/>
            </w:pPr>
            <w:r>
              <w:t>Ingen spildhændelser.</w:t>
            </w:r>
          </w:p>
          <w:p w:rsidR="00AD5962" w:rsidRPr="00291EE1" w:rsidRDefault="00AD5962" w:rsidP="00A12694">
            <w:pPr>
              <w:spacing w:after="120"/>
            </w:pPr>
          </w:p>
        </w:tc>
      </w:tr>
      <w:tr w:rsidR="00AD5962" w:rsidRPr="00FC3ED5" w:rsidTr="00AD5962">
        <w:trPr>
          <w:trHeight w:val="1132"/>
        </w:trPr>
        <w:tc>
          <w:tcPr>
            <w:tcW w:w="9322" w:type="dxa"/>
          </w:tcPr>
          <w:p w:rsidR="00AD5962" w:rsidRPr="00D47E29" w:rsidRDefault="00AD5962" w:rsidP="00AD5962">
            <w:pPr>
              <w:pStyle w:val="Listeafsnit"/>
              <w:numPr>
                <w:ilvl w:val="0"/>
                <w:numId w:val="2"/>
              </w:numPr>
              <w:spacing w:after="120"/>
              <w:ind w:left="426"/>
              <w:rPr>
                <w:szCs w:val="24"/>
              </w:rPr>
            </w:pPr>
            <w:r w:rsidRPr="00D47E29">
              <w:rPr>
                <w:szCs w:val="24"/>
              </w:rPr>
              <w:t>Opsamlet spild af farligt affald inkl. eventuelt opsugningsmateriale samt affald fra rengøring af emballager, containere, køretøjer, tanke eller andet udstyr til farligt affald skal håndteres som farligt affald. Der skal til enhver tid forefindes opsugningsmateriale på virksomheden.</w:t>
            </w:r>
          </w:p>
        </w:tc>
        <w:tc>
          <w:tcPr>
            <w:tcW w:w="4990" w:type="dxa"/>
          </w:tcPr>
          <w:p w:rsidR="00914702" w:rsidRDefault="00914702" w:rsidP="00914702">
            <w:pPr>
              <w:spacing w:after="120"/>
            </w:pPr>
            <w:r>
              <w:t>Ingen spildhændelser.</w:t>
            </w:r>
          </w:p>
          <w:p w:rsidR="00E428F9" w:rsidRPr="00291EE1" w:rsidRDefault="00E428F9" w:rsidP="00A12694">
            <w:pPr>
              <w:spacing w:after="120"/>
            </w:pPr>
          </w:p>
          <w:p w:rsidR="00E428F9" w:rsidRPr="00291EE1" w:rsidRDefault="00E428F9" w:rsidP="00A12694">
            <w:pPr>
              <w:spacing w:after="120"/>
            </w:pPr>
          </w:p>
        </w:tc>
      </w:tr>
      <w:tr w:rsidR="00AD5962" w:rsidRPr="00FC3ED5" w:rsidTr="00AD5962">
        <w:trPr>
          <w:trHeight w:val="932"/>
        </w:trPr>
        <w:tc>
          <w:tcPr>
            <w:tcW w:w="9322" w:type="dxa"/>
          </w:tcPr>
          <w:p w:rsidR="00AD5962" w:rsidRPr="00D47E29" w:rsidRDefault="00AD5962" w:rsidP="00AD5962">
            <w:pPr>
              <w:pStyle w:val="Listeafsnit"/>
              <w:numPr>
                <w:ilvl w:val="0"/>
                <w:numId w:val="2"/>
              </w:numPr>
              <w:ind w:left="426"/>
              <w:jc w:val="left"/>
              <w:rPr>
                <w:szCs w:val="24"/>
              </w:rPr>
            </w:pPr>
            <w:r w:rsidRPr="00D47E29">
              <w:rPr>
                <w:szCs w:val="24"/>
              </w:rPr>
              <w:t xml:space="preserve">Ved større spild af olie eller kemikalier skal der gives alarm på telefon 112. Ved driftsuheld med risiko for forurening af jord, luft eller vand, skal Center for Miljøbeskyttelse underrettes på </w:t>
            </w:r>
            <w:hyperlink r:id="rId16" w:history="1">
              <w:r w:rsidRPr="00D47E29">
                <w:rPr>
                  <w:rStyle w:val="Hyperlink"/>
                  <w:szCs w:val="24"/>
                </w:rPr>
                <w:t>virkmiljoe@tmf.kk.dk</w:t>
              </w:r>
            </w:hyperlink>
            <w:r w:rsidRPr="00D47E29">
              <w:rPr>
                <w:szCs w:val="24"/>
              </w:rPr>
              <w:t xml:space="preserve"> eller tlf. 21 70 26 50. </w:t>
            </w:r>
          </w:p>
        </w:tc>
        <w:tc>
          <w:tcPr>
            <w:tcW w:w="4990" w:type="dxa"/>
          </w:tcPr>
          <w:p w:rsidR="00AD5962" w:rsidRPr="00291EE1" w:rsidRDefault="00E428F9" w:rsidP="00A12694">
            <w:pPr>
              <w:spacing w:after="120"/>
            </w:pPr>
            <w:r w:rsidRPr="00291EE1">
              <w:t>Ingen større spild af olie eller kemikalier</w:t>
            </w:r>
            <w:r w:rsidR="00914702">
              <w:t xml:space="preserve"> siden sidste tilsyn</w:t>
            </w:r>
            <w:r w:rsidRPr="00291EE1">
              <w:t>.</w:t>
            </w:r>
          </w:p>
        </w:tc>
      </w:tr>
      <w:tr w:rsidR="00AD5962" w:rsidRPr="00FC3ED5" w:rsidTr="00AD5962">
        <w:tc>
          <w:tcPr>
            <w:tcW w:w="9322" w:type="dxa"/>
          </w:tcPr>
          <w:p w:rsidR="00AD5962" w:rsidRPr="00FC3ED5" w:rsidRDefault="00AD5962" w:rsidP="00A12694">
            <w:pPr>
              <w:spacing w:after="120"/>
              <w:rPr>
                <w:b/>
              </w:rPr>
            </w:pPr>
            <w:r w:rsidRPr="00FC3ED5">
              <w:rPr>
                <w:b/>
              </w:rPr>
              <w:t xml:space="preserve">Beskyttelse af jord, grundvand og overfladevand </w:t>
            </w:r>
          </w:p>
        </w:tc>
        <w:tc>
          <w:tcPr>
            <w:tcW w:w="4990" w:type="dxa"/>
          </w:tcPr>
          <w:p w:rsidR="00AD5962" w:rsidRPr="00291EE1" w:rsidRDefault="00AD5962" w:rsidP="00A12694">
            <w:pPr>
              <w:spacing w:after="120"/>
            </w:pPr>
          </w:p>
        </w:tc>
      </w:tr>
      <w:tr w:rsidR="00AD5962" w:rsidRPr="00FC3ED5" w:rsidTr="00AD5962">
        <w:tc>
          <w:tcPr>
            <w:tcW w:w="9322" w:type="dxa"/>
          </w:tcPr>
          <w:p w:rsidR="00AD5962" w:rsidRPr="00F52F63" w:rsidRDefault="00AD5962" w:rsidP="00AD5962">
            <w:pPr>
              <w:pStyle w:val="Listeafsnit"/>
              <w:numPr>
                <w:ilvl w:val="0"/>
                <w:numId w:val="2"/>
              </w:numPr>
              <w:spacing w:after="120"/>
              <w:ind w:left="426"/>
              <w:rPr>
                <w:szCs w:val="24"/>
              </w:rPr>
            </w:pPr>
            <w:r w:rsidRPr="00E627F9">
              <w:rPr>
                <w:szCs w:val="24"/>
              </w:rPr>
              <w:lastRenderedPageBreak/>
              <w:t>Udendørs oplag og tanke skal være sikret mod påkørsel.</w:t>
            </w:r>
          </w:p>
        </w:tc>
        <w:tc>
          <w:tcPr>
            <w:tcW w:w="4990" w:type="dxa"/>
          </w:tcPr>
          <w:p w:rsidR="00E428F9" w:rsidRPr="00291EE1" w:rsidRDefault="00914702" w:rsidP="00914702">
            <w:pPr>
              <w:spacing w:after="120"/>
            </w:pPr>
            <w:r>
              <w:t>Tank 101 er placeret i en tankgård og er sikret mod påkørsel. Der etableres ny tankgård i forbindelse med renovering af anlæg og udvidelse af aktivitet.</w:t>
            </w:r>
          </w:p>
        </w:tc>
      </w:tr>
      <w:tr w:rsidR="00AD5962" w:rsidRPr="00FC3ED5" w:rsidTr="00AD5962">
        <w:tc>
          <w:tcPr>
            <w:tcW w:w="9322" w:type="dxa"/>
          </w:tcPr>
          <w:p w:rsidR="00AD5962" w:rsidRPr="000B3493" w:rsidRDefault="00AD5962" w:rsidP="00AD5962">
            <w:pPr>
              <w:pStyle w:val="Listeafsnit"/>
              <w:numPr>
                <w:ilvl w:val="0"/>
                <w:numId w:val="2"/>
              </w:numPr>
              <w:spacing w:after="120"/>
              <w:ind w:left="426"/>
              <w:rPr>
                <w:szCs w:val="24"/>
              </w:rPr>
            </w:pPr>
            <w:r w:rsidRPr="00F52F63">
              <w:rPr>
                <w:szCs w:val="24"/>
              </w:rPr>
              <w:t>Alle tætte belægninger og befæstede arealer, gruber, brønde og lignende opsamlingsbassiner og lignende særlige oplagsområder samt tankgårde skal være i god vedligeholdelsesstand. Utætheder skal udbedres hurtigst muligt efter</w:t>
            </w:r>
            <w:r w:rsidRPr="000B3493">
              <w:rPr>
                <w:szCs w:val="24"/>
              </w:rPr>
              <w:t xml:space="preserve"> at de er konstateret.</w:t>
            </w:r>
          </w:p>
        </w:tc>
        <w:tc>
          <w:tcPr>
            <w:tcW w:w="4990" w:type="dxa"/>
          </w:tcPr>
          <w:p w:rsidR="00AD5962" w:rsidRPr="00291EE1" w:rsidRDefault="001F4D08" w:rsidP="00A12694">
            <w:pPr>
              <w:spacing w:after="120"/>
            </w:pPr>
            <w:r w:rsidRPr="00291EE1">
              <w:t>Tankgård og belægninger kontrolleres.</w:t>
            </w:r>
          </w:p>
          <w:p w:rsidR="001F4D08" w:rsidRPr="00291EE1" w:rsidRDefault="001F4D08" w:rsidP="00A12694">
            <w:pPr>
              <w:spacing w:after="120"/>
            </w:pPr>
          </w:p>
        </w:tc>
      </w:tr>
      <w:tr w:rsidR="00AD5962" w:rsidRPr="00FC3ED5" w:rsidTr="00AD5962">
        <w:tc>
          <w:tcPr>
            <w:tcW w:w="9322" w:type="dxa"/>
          </w:tcPr>
          <w:p w:rsidR="00AD5962" w:rsidRPr="00F52F63" w:rsidRDefault="00AD5962" w:rsidP="00AD5962">
            <w:pPr>
              <w:pStyle w:val="Listeafsnit"/>
              <w:numPr>
                <w:ilvl w:val="0"/>
                <w:numId w:val="2"/>
              </w:numPr>
              <w:spacing w:after="120"/>
              <w:ind w:left="426"/>
              <w:rPr>
                <w:szCs w:val="24"/>
              </w:rPr>
            </w:pPr>
            <w:r w:rsidRPr="00F52F63">
              <w:rPr>
                <w:szCs w:val="24"/>
              </w:rPr>
              <w:t>Udendørs tankgårde skal tømmes så tit, at der maksimalt henstår 5 cm regnvand i bunden. Når tankgårde tømmes for regnvand, må der ikke samtidig pumpes affald, fyringsolie eller motorbrændstof til og fra tanken(ene).</w:t>
            </w:r>
          </w:p>
        </w:tc>
        <w:tc>
          <w:tcPr>
            <w:tcW w:w="4990" w:type="dxa"/>
          </w:tcPr>
          <w:p w:rsidR="00AD5962" w:rsidRPr="00291EE1" w:rsidRDefault="001F4D08" w:rsidP="00A12694">
            <w:pPr>
              <w:spacing w:after="120"/>
            </w:pPr>
            <w:r w:rsidRPr="00291EE1">
              <w:t>T101 – OJT oplagstilsyn.</w:t>
            </w:r>
          </w:p>
          <w:p w:rsidR="001F4D08" w:rsidRPr="00291EE1" w:rsidRDefault="001F4D08" w:rsidP="00A12694">
            <w:pPr>
              <w:spacing w:after="120"/>
            </w:pPr>
          </w:p>
        </w:tc>
      </w:tr>
      <w:tr w:rsidR="00AD5962" w:rsidRPr="00FC3ED5" w:rsidTr="00AD5962">
        <w:trPr>
          <w:trHeight w:val="756"/>
        </w:trPr>
        <w:tc>
          <w:tcPr>
            <w:tcW w:w="9322" w:type="dxa"/>
          </w:tcPr>
          <w:p w:rsidR="00AD5962" w:rsidRPr="00F52F63" w:rsidRDefault="00AD5962" w:rsidP="00AD5962">
            <w:pPr>
              <w:pStyle w:val="Listeafsnit"/>
              <w:numPr>
                <w:ilvl w:val="0"/>
                <w:numId w:val="2"/>
              </w:numPr>
              <w:spacing w:after="120"/>
              <w:ind w:left="426"/>
              <w:rPr>
                <w:szCs w:val="24"/>
              </w:rPr>
            </w:pPr>
            <w:r w:rsidRPr="00F52F63">
              <w:rPr>
                <w:szCs w:val="24"/>
              </w:rPr>
              <w:t>I tilfælde af brand skal relevante afløbsventiler lukkes med henblik på opsamling af slukningsvand på virksomheden. Slukningsvand skal bortskaffes efter kommunens anvisninger.</w:t>
            </w:r>
          </w:p>
        </w:tc>
        <w:tc>
          <w:tcPr>
            <w:tcW w:w="4990" w:type="dxa"/>
          </w:tcPr>
          <w:p w:rsidR="00AD5962" w:rsidRPr="00291EE1" w:rsidRDefault="001F4D08" w:rsidP="00A12694">
            <w:pPr>
              <w:spacing w:after="120"/>
            </w:pPr>
            <w:r w:rsidRPr="00291EE1">
              <w:t>- Ingen brand</w:t>
            </w:r>
            <w:r w:rsidR="00E73517">
              <w:t>. Ingen bemærkninger.</w:t>
            </w:r>
          </w:p>
        </w:tc>
      </w:tr>
      <w:tr w:rsidR="00AD5962" w:rsidRPr="00FC3ED5" w:rsidTr="00AD5962">
        <w:tc>
          <w:tcPr>
            <w:tcW w:w="9322" w:type="dxa"/>
          </w:tcPr>
          <w:p w:rsidR="00AD5962" w:rsidRPr="00F52F63" w:rsidRDefault="00AD5962" w:rsidP="00A12694">
            <w:pPr>
              <w:spacing w:after="120"/>
              <w:rPr>
                <w:b/>
                <w:szCs w:val="24"/>
              </w:rPr>
            </w:pPr>
            <w:r w:rsidRPr="00F52F63">
              <w:rPr>
                <w:b/>
                <w:szCs w:val="24"/>
              </w:rPr>
              <w:t xml:space="preserve">Egenkontrol </w:t>
            </w:r>
          </w:p>
        </w:tc>
        <w:tc>
          <w:tcPr>
            <w:tcW w:w="4990" w:type="dxa"/>
          </w:tcPr>
          <w:p w:rsidR="00AD5962" w:rsidRPr="00291EE1" w:rsidRDefault="00AD5962" w:rsidP="00A12694">
            <w:pPr>
              <w:spacing w:after="120"/>
            </w:pPr>
          </w:p>
        </w:tc>
      </w:tr>
      <w:tr w:rsidR="00AD5962" w:rsidRPr="00FC3ED5" w:rsidTr="00AD5962">
        <w:tc>
          <w:tcPr>
            <w:tcW w:w="9322" w:type="dxa"/>
          </w:tcPr>
          <w:p w:rsidR="00AD5962" w:rsidRPr="00D47E29" w:rsidRDefault="00AD5962" w:rsidP="00AD5962">
            <w:pPr>
              <w:pStyle w:val="Listeafsnit"/>
              <w:numPr>
                <w:ilvl w:val="0"/>
                <w:numId w:val="2"/>
              </w:numPr>
              <w:spacing w:after="120"/>
              <w:ind w:left="426"/>
              <w:rPr>
                <w:szCs w:val="24"/>
              </w:rPr>
            </w:pPr>
            <w:bookmarkStart w:id="10" w:name="_Ref484759059"/>
            <w:r w:rsidRPr="00D47E29">
              <w:rPr>
                <w:szCs w:val="24"/>
              </w:rPr>
              <w:t>Virksomheden skal foretage eftersyn og funktionsafprøvning af automatiske kontrol-, alarm- og sikringssystemer efter leverandørens anvisning, dog mindst en gang årligt.</w:t>
            </w:r>
            <w:bookmarkEnd w:id="10"/>
          </w:p>
        </w:tc>
        <w:tc>
          <w:tcPr>
            <w:tcW w:w="4990" w:type="dxa"/>
          </w:tcPr>
          <w:p w:rsidR="00AD5962" w:rsidRPr="00291EE1" w:rsidRDefault="00E73517" w:rsidP="00A12694">
            <w:pPr>
              <w:spacing w:after="120"/>
            </w:pPr>
            <w:r>
              <w:t>OJT har systematisk afprøvning af niveaualarmer på tank101. Vedligehold og eftersyn af tank 101 indgår i deres systematiserede sikkerhedsledelsessystem.</w:t>
            </w:r>
          </w:p>
        </w:tc>
      </w:tr>
      <w:tr w:rsidR="00AD5962" w:rsidRPr="00FC3ED5" w:rsidTr="00AD5962">
        <w:trPr>
          <w:trHeight w:val="2284"/>
        </w:trPr>
        <w:tc>
          <w:tcPr>
            <w:tcW w:w="9322" w:type="dxa"/>
          </w:tcPr>
          <w:p w:rsidR="00AD5962" w:rsidRPr="00D47E29" w:rsidRDefault="00AD5962" w:rsidP="00AD5962">
            <w:pPr>
              <w:pStyle w:val="Listeafsnit"/>
              <w:numPr>
                <w:ilvl w:val="0"/>
                <w:numId w:val="2"/>
              </w:numPr>
              <w:spacing w:after="120"/>
              <w:ind w:left="426"/>
              <w:rPr>
                <w:szCs w:val="24"/>
              </w:rPr>
            </w:pPr>
            <w:r w:rsidRPr="00D47E29">
              <w:rPr>
                <w:szCs w:val="24"/>
              </w:rPr>
              <w:lastRenderedPageBreak/>
              <w:t>Virksomheden skal løbende, og mindst en gang i kvartalet, foretage visuel kontrol for utætheder og revnedannelser af:</w:t>
            </w:r>
          </w:p>
          <w:p w:rsidR="00AD5962" w:rsidRPr="00D47E29" w:rsidRDefault="00AD5962" w:rsidP="00A12694">
            <w:pPr>
              <w:spacing w:after="120"/>
              <w:ind w:left="426"/>
              <w:rPr>
                <w:szCs w:val="24"/>
              </w:rPr>
            </w:pPr>
            <w:r w:rsidRPr="00D47E29">
              <w:rPr>
                <w:szCs w:val="24"/>
              </w:rPr>
              <w:t xml:space="preserve">– tætte belægninger, befæstede arealer, </w:t>
            </w:r>
          </w:p>
          <w:p w:rsidR="00AD5962" w:rsidRPr="00D47E29" w:rsidRDefault="00AD5962" w:rsidP="00A12694">
            <w:pPr>
              <w:spacing w:after="120"/>
              <w:ind w:left="426"/>
              <w:rPr>
                <w:szCs w:val="24"/>
              </w:rPr>
            </w:pPr>
            <w:r w:rsidRPr="00D47E29">
              <w:rPr>
                <w:szCs w:val="24"/>
              </w:rPr>
              <w:t>- modtagetanken</w:t>
            </w:r>
          </w:p>
          <w:p w:rsidR="00AD5962" w:rsidRPr="00D47E29" w:rsidRDefault="00AD5962" w:rsidP="00A12694">
            <w:pPr>
              <w:spacing w:after="120"/>
              <w:ind w:left="426"/>
              <w:rPr>
                <w:szCs w:val="24"/>
              </w:rPr>
            </w:pPr>
            <w:r w:rsidRPr="00D47E29">
              <w:rPr>
                <w:szCs w:val="24"/>
              </w:rPr>
              <w:t>– gruber, brønde og lignende opsamlingsbassiner,</w:t>
            </w:r>
            <w:r w:rsidR="00E17527">
              <w:rPr>
                <w:szCs w:val="24"/>
              </w:rPr>
              <w:t xml:space="preserve"> </w:t>
            </w:r>
            <w:r w:rsidRPr="00D47E29">
              <w:rPr>
                <w:szCs w:val="24"/>
              </w:rPr>
              <w:t>– tankgårde,</w:t>
            </w:r>
          </w:p>
          <w:p w:rsidR="00AD5962" w:rsidRPr="00D47E29" w:rsidRDefault="00AD5962" w:rsidP="00A12694">
            <w:pPr>
              <w:spacing w:after="120"/>
              <w:ind w:left="426"/>
              <w:rPr>
                <w:szCs w:val="24"/>
              </w:rPr>
            </w:pPr>
            <w:r w:rsidRPr="00D47E29">
              <w:rPr>
                <w:szCs w:val="24"/>
              </w:rPr>
              <w:t>Utætheder skal udbedres, så hurtigt som muligt efter at de er konstateret.</w:t>
            </w:r>
          </w:p>
        </w:tc>
        <w:tc>
          <w:tcPr>
            <w:tcW w:w="4990" w:type="dxa"/>
          </w:tcPr>
          <w:p w:rsidR="00AD5962" w:rsidRDefault="00E73517" w:rsidP="00A12694">
            <w:pPr>
              <w:spacing w:after="120"/>
            </w:pPr>
            <w:r>
              <w:t>Kontrolleres jævnligt.</w:t>
            </w:r>
          </w:p>
          <w:p w:rsidR="00E73517" w:rsidRPr="00291EE1" w:rsidRDefault="00E73517" w:rsidP="00A12694">
            <w:pPr>
              <w:spacing w:after="120"/>
            </w:pPr>
            <w:r>
              <w:t>Nye kontrolskemaer er ved at blive udarbejdet i forbindelse med udvidelse af virksomheden, ændring af aktivitet.</w:t>
            </w:r>
          </w:p>
        </w:tc>
      </w:tr>
      <w:tr w:rsidR="00AD5962" w:rsidRPr="00FC3ED5" w:rsidTr="00AD5962">
        <w:trPr>
          <w:trHeight w:val="681"/>
        </w:trPr>
        <w:tc>
          <w:tcPr>
            <w:tcW w:w="9322" w:type="dxa"/>
          </w:tcPr>
          <w:p w:rsidR="00AD5962" w:rsidRPr="00D47E29" w:rsidRDefault="00AD5962" w:rsidP="00AD5962">
            <w:pPr>
              <w:pStyle w:val="Listeafsnit"/>
              <w:numPr>
                <w:ilvl w:val="0"/>
                <w:numId w:val="2"/>
              </w:numPr>
              <w:spacing w:after="120"/>
              <w:ind w:left="426"/>
              <w:rPr>
                <w:szCs w:val="24"/>
              </w:rPr>
            </w:pPr>
            <w:r w:rsidRPr="00D47E29">
              <w:rPr>
                <w:szCs w:val="24"/>
              </w:rPr>
              <w:t>Virksomheden skal mindst 1 gang om måneden foretage visuel kontrol af de faste rørsystemer og slanger til farligt affald skal kontrolleres visuelt.</w:t>
            </w:r>
          </w:p>
        </w:tc>
        <w:tc>
          <w:tcPr>
            <w:tcW w:w="4990" w:type="dxa"/>
          </w:tcPr>
          <w:p w:rsidR="00AD5962" w:rsidRPr="00291EE1" w:rsidRDefault="00E73517" w:rsidP="00A12694">
            <w:pPr>
              <w:spacing w:after="120"/>
            </w:pPr>
            <w:r>
              <w:t>Rørføring til tank 101 etableres i forbindelse med udvidelse af aktivitet.</w:t>
            </w:r>
          </w:p>
        </w:tc>
      </w:tr>
      <w:tr w:rsidR="00AD5962" w:rsidRPr="00FC3ED5" w:rsidTr="00AD5962">
        <w:trPr>
          <w:trHeight w:val="601"/>
        </w:trPr>
        <w:tc>
          <w:tcPr>
            <w:tcW w:w="9322" w:type="dxa"/>
          </w:tcPr>
          <w:p w:rsidR="00AD5962" w:rsidRPr="00D47E29" w:rsidRDefault="00AD5962" w:rsidP="00AD5962">
            <w:pPr>
              <w:pStyle w:val="Listeafsnit"/>
              <w:numPr>
                <w:ilvl w:val="0"/>
                <w:numId w:val="2"/>
              </w:numPr>
              <w:spacing w:after="120"/>
              <w:ind w:left="426"/>
              <w:rPr>
                <w:szCs w:val="24"/>
              </w:rPr>
            </w:pPr>
            <w:r w:rsidRPr="00D47E29">
              <w:rPr>
                <w:szCs w:val="24"/>
              </w:rPr>
              <w:t>Virksomheden skal en gang årligt tømme og rengøre modtagetanken og foretage visuel kontrol af dens tæthed og tilstand. Dette skal dokumenteres i driftsjournalen.</w:t>
            </w:r>
          </w:p>
        </w:tc>
        <w:tc>
          <w:tcPr>
            <w:tcW w:w="4990" w:type="dxa"/>
          </w:tcPr>
          <w:p w:rsidR="00AD5962" w:rsidRPr="00291EE1" w:rsidRDefault="00BF7B62" w:rsidP="00A12694">
            <w:pPr>
              <w:spacing w:after="120"/>
            </w:pPr>
            <w:r w:rsidRPr="00291EE1">
              <w:t>Fremvisning af dokumentation.</w:t>
            </w:r>
          </w:p>
        </w:tc>
      </w:tr>
      <w:tr w:rsidR="00AD5962" w:rsidRPr="00FC3ED5" w:rsidTr="00AD5962">
        <w:trPr>
          <w:trHeight w:val="429"/>
        </w:trPr>
        <w:tc>
          <w:tcPr>
            <w:tcW w:w="9322" w:type="dxa"/>
          </w:tcPr>
          <w:p w:rsidR="00AD5962" w:rsidRPr="00D47E29" w:rsidRDefault="00AD5962" w:rsidP="00AD5962">
            <w:pPr>
              <w:pStyle w:val="Listeafsnit"/>
              <w:numPr>
                <w:ilvl w:val="0"/>
                <w:numId w:val="2"/>
              </w:numPr>
              <w:spacing w:after="120"/>
              <w:ind w:left="426"/>
              <w:rPr>
                <w:szCs w:val="24"/>
              </w:rPr>
            </w:pPr>
            <w:r w:rsidRPr="00D47E29">
              <w:rPr>
                <w:szCs w:val="24"/>
              </w:rPr>
              <w:t>Rørføringerne trykprøves en gang årligt. Dette skal dokumenteres i driftsjournalen.</w:t>
            </w:r>
          </w:p>
        </w:tc>
        <w:tc>
          <w:tcPr>
            <w:tcW w:w="4990" w:type="dxa"/>
          </w:tcPr>
          <w:p w:rsidR="00AD5962" w:rsidRPr="00291EE1" w:rsidRDefault="00E73517" w:rsidP="00A12694">
            <w:pPr>
              <w:spacing w:after="120"/>
            </w:pPr>
            <w:r>
              <w:t>Rørføring til tank 101 etableres i forbindelse med udvidelse af aktivitet.</w:t>
            </w:r>
          </w:p>
        </w:tc>
      </w:tr>
      <w:tr w:rsidR="00AD5962" w:rsidRPr="00FC3ED5" w:rsidTr="00514D0A">
        <w:trPr>
          <w:trHeight w:val="561"/>
        </w:trPr>
        <w:tc>
          <w:tcPr>
            <w:tcW w:w="9322" w:type="dxa"/>
          </w:tcPr>
          <w:p w:rsidR="00AD5962" w:rsidRPr="00D47E29" w:rsidRDefault="00AD5962" w:rsidP="00AD5962">
            <w:pPr>
              <w:pStyle w:val="Listeafsnit"/>
              <w:numPr>
                <w:ilvl w:val="0"/>
                <w:numId w:val="2"/>
              </w:numPr>
              <w:ind w:left="426"/>
              <w:rPr>
                <w:szCs w:val="24"/>
              </w:rPr>
            </w:pPr>
            <w:r w:rsidRPr="00D47E29">
              <w:rPr>
                <w:szCs w:val="24"/>
              </w:rPr>
              <w:t xml:space="preserve"> </w:t>
            </w:r>
            <w:bookmarkStart w:id="11" w:name="_Ref484759064"/>
            <w:r w:rsidRPr="00D47E29">
              <w:rPr>
                <w:szCs w:val="24"/>
              </w:rPr>
              <w:t>Tilsynsmyndigheden kan kræve, dog højst en gang hvert tredje år, at virksomheden lader en uvildig sagkyndig foretage eftersyn af:</w:t>
            </w:r>
            <w:bookmarkEnd w:id="11"/>
          </w:p>
          <w:p w:rsidR="00AD5962" w:rsidRPr="00D47E29" w:rsidRDefault="00AD5962" w:rsidP="00A12694">
            <w:pPr>
              <w:tabs>
                <w:tab w:val="left" w:pos="2050"/>
              </w:tabs>
              <w:ind w:left="66"/>
              <w:rPr>
                <w:szCs w:val="24"/>
              </w:rPr>
            </w:pPr>
            <w:r w:rsidRPr="00D47E29">
              <w:rPr>
                <w:szCs w:val="24"/>
              </w:rPr>
              <w:tab/>
            </w:r>
          </w:p>
          <w:p w:rsidR="00AD5962" w:rsidRPr="00D47E29" w:rsidRDefault="00AD5962" w:rsidP="00AD5962">
            <w:pPr>
              <w:pStyle w:val="Listeafsnit"/>
              <w:numPr>
                <w:ilvl w:val="0"/>
                <w:numId w:val="3"/>
              </w:numPr>
              <w:ind w:left="851"/>
              <w:rPr>
                <w:szCs w:val="24"/>
              </w:rPr>
            </w:pPr>
            <w:r w:rsidRPr="00D47E29">
              <w:rPr>
                <w:szCs w:val="24"/>
              </w:rPr>
              <w:t xml:space="preserve">tætte belægninger, befæstede arealer, </w:t>
            </w:r>
          </w:p>
          <w:p w:rsidR="00AD5962" w:rsidRPr="00D47E29" w:rsidRDefault="00AD5962" w:rsidP="00AD5962">
            <w:pPr>
              <w:pStyle w:val="Listeafsnit"/>
              <w:numPr>
                <w:ilvl w:val="0"/>
                <w:numId w:val="3"/>
              </w:numPr>
              <w:ind w:left="851"/>
              <w:rPr>
                <w:szCs w:val="24"/>
              </w:rPr>
            </w:pPr>
            <w:r w:rsidRPr="00D47E29">
              <w:rPr>
                <w:szCs w:val="24"/>
              </w:rPr>
              <w:t>modtagetanken</w:t>
            </w:r>
          </w:p>
          <w:p w:rsidR="00AD5962" w:rsidRPr="00D47E29" w:rsidRDefault="00AD5962" w:rsidP="00AD5962">
            <w:pPr>
              <w:pStyle w:val="Listeafsnit"/>
              <w:numPr>
                <w:ilvl w:val="0"/>
                <w:numId w:val="3"/>
              </w:numPr>
              <w:ind w:left="851"/>
              <w:rPr>
                <w:szCs w:val="24"/>
              </w:rPr>
            </w:pPr>
            <w:r w:rsidRPr="00D47E29">
              <w:rPr>
                <w:szCs w:val="24"/>
              </w:rPr>
              <w:t xml:space="preserve">rørføringer </w:t>
            </w:r>
          </w:p>
          <w:p w:rsidR="00AD5962" w:rsidRPr="00D47E29" w:rsidRDefault="00AD5962" w:rsidP="00AD5962">
            <w:pPr>
              <w:pStyle w:val="Listeafsnit"/>
              <w:numPr>
                <w:ilvl w:val="0"/>
                <w:numId w:val="3"/>
              </w:numPr>
              <w:ind w:left="851"/>
              <w:rPr>
                <w:szCs w:val="24"/>
              </w:rPr>
            </w:pPr>
            <w:r w:rsidRPr="00D47E29">
              <w:rPr>
                <w:szCs w:val="24"/>
              </w:rPr>
              <w:t>automatiske kontrol-, alarm- og sikringssystemer</w:t>
            </w:r>
          </w:p>
          <w:p w:rsidR="00AD5962" w:rsidRPr="00D47E29" w:rsidRDefault="00AD5962" w:rsidP="00AD5962">
            <w:pPr>
              <w:pStyle w:val="Listeafsnit"/>
              <w:numPr>
                <w:ilvl w:val="0"/>
                <w:numId w:val="3"/>
              </w:numPr>
              <w:ind w:left="851"/>
              <w:rPr>
                <w:szCs w:val="24"/>
              </w:rPr>
            </w:pPr>
            <w:r w:rsidRPr="00D47E29">
              <w:rPr>
                <w:szCs w:val="24"/>
              </w:rPr>
              <w:t>gruber, brønde og lignende opsamlingsbassiner,</w:t>
            </w:r>
          </w:p>
          <w:p w:rsidR="00AD5962" w:rsidRPr="00D47E29" w:rsidRDefault="00AD5962" w:rsidP="00AD5962">
            <w:pPr>
              <w:pStyle w:val="Listeafsnit"/>
              <w:numPr>
                <w:ilvl w:val="0"/>
                <w:numId w:val="3"/>
              </w:numPr>
              <w:ind w:left="851"/>
              <w:rPr>
                <w:szCs w:val="24"/>
              </w:rPr>
            </w:pPr>
            <w:r w:rsidRPr="00D47E29">
              <w:rPr>
                <w:szCs w:val="24"/>
              </w:rPr>
              <w:lastRenderedPageBreak/>
              <w:t>tankgårde.</w:t>
            </w:r>
          </w:p>
        </w:tc>
        <w:tc>
          <w:tcPr>
            <w:tcW w:w="4990" w:type="dxa"/>
          </w:tcPr>
          <w:p w:rsidR="00AD5962" w:rsidRDefault="00E73517" w:rsidP="00A12694">
            <w:pPr>
              <w:spacing w:after="120"/>
            </w:pPr>
            <w:r>
              <w:lastRenderedPageBreak/>
              <w:t xml:space="preserve">Belægninger var ved tilsynet i god stand og tank 101 inspiceres systematisk efter Eemua 159 standard. </w:t>
            </w:r>
          </w:p>
          <w:p w:rsidR="00E73517" w:rsidRPr="00291EE1" w:rsidRDefault="00E73517" w:rsidP="00A12694">
            <w:pPr>
              <w:spacing w:after="120"/>
            </w:pPr>
            <w:r>
              <w:t>Ingen bemærkninger.</w:t>
            </w:r>
          </w:p>
        </w:tc>
      </w:tr>
      <w:tr w:rsidR="00AD5962" w:rsidRPr="00FC3ED5" w:rsidTr="00AD5962">
        <w:tc>
          <w:tcPr>
            <w:tcW w:w="9322" w:type="dxa"/>
          </w:tcPr>
          <w:p w:rsidR="00AD5962" w:rsidRDefault="00AD5962" w:rsidP="00A12694">
            <w:pPr>
              <w:spacing w:after="120"/>
              <w:rPr>
                <w:b/>
                <w:szCs w:val="24"/>
              </w:rPr>
            </w:pPr>
          </w:p>
          <w:p w:rsidR="00AD5962" w:rsidRPr="00F52F63" w:rsidRDefault="00AD5962" w:rsidP="00A12694">
            <w:pPr>
              <w:spacing w:after="120"/>
              <w:rPr>
                <w:b/>
                <w:szCs w:val="24"/>
              </w:rPr>
            </w:pPr>
            <w:r w:rsidRPr="00E627F9">
              <w:rPr>
                <w:b/>
                <w:szCs w:val="24"/>
              </w:rPr>
              <w:t xml:space="preserve">Driftsjournal </w:t>
            </w:r>
          </w:p>
        </w:tc>
        <w:tc>
          <w:tcPr>
            <w:tcW w:w="4990" w:type="dxa"/>
          </w:tcPr>
          <w:p w:rsidR="00AD5962" w:rsidRPr="00291EE1" w:rsidRDefault="00AD5962" w:rsidP="00A12694">
            <w:pPr>
              <w:spacing w:after="120"/>
            </w:pPr>
          </w:p>
        </w:tc>
      </w:tr>
      <w:tr w:rsidR="00AD5962" w:rsidRPr="00FC3ED5" w:rsidTr="00514D0A">
        <w:trPr>
          <w:trHeight w:val="845"/>
        </w:trPr>
        <w:tc>
          <w:tcPr>
            <w:tcW w:w="9322" w:type="dxa"/>
          </w:tcPr>
          <w:p w:rsidR="00AD5962" w:rsidRPr="00F52F63" w:rsidRDefault="00AD5962" w:rsidP="00AD5962">
            <w:pPr>
              <w:pStyle w:val="Listeafsnit"/>
              <w:numPr>
                <w:ilvl w:val="0"/>
                <w:numId w:val="2"/>
              </w:numPr>
              <w:spacing w:after="120"/>
              <w:ind w:left="426"/>
              <w:rPr>
                <w:szCs w:val="24"/>
              </w:rPr>
            </w:pPr>
            <w:r w:rsidRPr="00F52F63">
              <w:rPr>
                <w:szCs w:val="24"/>
              </w:rPr>
              <w:t>Der skal føres driftsjournal med angivelse af:</w:t>
            </w:r>
          </w:p>
          <w:p w:rsidR="00AD5962" w:rsidRPr="00F52F63" w:rsidRDefault="00AD5962" w:rsidP="00A12694">
            <w:pPr>
              <w:spacing w:after="120"/>
              <w:ind w:left="284"/>
              <w:rPr>
                <w:szCs w:val="24"/>
              </w:rPr>
            </w:pPr>
            <w:r w:rsidRPr="00F52F63">
              <w:rPr>
                <w:szCs w:val="24"/>
              </w:rPr>
              <w:t>– Løbende registrering af art, fraktion og mængde af modtaget farligt affald med angivelse af navn og adresse samt CVR- og P-nummer på de virksomheder, hvorfra affaldet er leveret.</w:t>
            </w:r>
          </w:p>
          <w:p w:rsidR="00AD5962" w:rsidRPr="00F52F63" w:rsidRDefault="00AD5962" w:rsidP="00A12694">
            <w:pPr>
              <w:spacing w:after="120"/>
              <w:ind w:left="284"/>
              <w:rPr>
                <w:szCs w:val="24"/>
              </w:rPr>
            </w:pPr>
            <w:r w:rsidRPr="00F52F63">
              <w:rPr>
                <w:szCs w:val="24"/>
              </w:rPr>
              <w:t>– Løbende registrering af art, fraktion og mængder af fraført affald med angivelse af navn og adresse samt CVR- og P-nummer på de virksomheder, hvortil affaldet er leveret.</w:t>
            </w:r>
          </w:p>
          <w:p w:rsidR="00AD5962" w:rsidRPr="00F52F63" w:rsidRDefault="00AD5962" w:rsidP="00A12694">
            <w:pPr>
              <w:spacing w:after="120"/>
              <w:ind w:left="284"/>
              <w:rPr>
                <w:szCs w:val="24"/>
              </w:rPr>
            </w:pPr>
            <w:r w:rsidRPr="00F52F63">
              <w:rPr>
                <w:szCs w:val="24"/>
              </w:rPr>
              <w:t>– Dato for og resultatet af kontrol af automatiske kontrol-, alarm- og sikringssystemer.</w:t>
            </w:r>
          </w:p>
          <w:p w:rsidR="00AD5962" w:rsidRPr="00F52F63" w:rsidRDefault="00AD5962" w:rsidP="00A12694">
            <w:pPr>
              <w:spacing w:after="120"/>
              <w:ind w:left="284"/>
              <w:rPr>
                <w:szCs w:val="24"/>
              </w:rPr>
            </w:pPr>
            <w:r w:rsidRPr="00F52F63">
              <w:rPr>
                <w:szCs w:val="24"/>
              </w:rPr>
              <w:t>– Dato for og resultatet af den visuelle kontrol af tætte belægninger, befæstede arealer og gulve, opsamlingsbassiner, containere, tankgårde og særlige oplagsområder samt eventuelle foretagne forbedringer.</w:t>
            </w:r>
          </w:p>
          <w:p w:rsidR="00AD5962" w:rsidRPr="00F52F63" w:rsidRDefault="00AD5962" w:rsidP="00A12694">
            <w:pPr>
              <w:spacing w:after="120"/>
              <w:ind w:left="284"/>
              <w:rPr>
                <w:szCs w:val="24"/>
              </w:rPr>
            </w:pPr>
            <w:r w:rsidRPr="00F52F63">
              <w:rPr>
                <w:szCs w:val="24"/>
              </w:rPr>
              <w:t>– Dato for og resultatet af den visuelle kontrol af tankanlæg og øvrige faste rørsystemer samt eventuelle foretagne forbedringer.</w:t>
            </w:r>
          </w:p>
          <w:p w:rsidR="00AD5962" w:rsidRPr="00F52F63" w:rsidRDefault="00AD5962" w:rsidP="00A12694">
            <w:pPr>
              <w:spacing w:after="120"/>
              <w:ind w:left="284"/>
              <w:rPr>
                <w:szCs w:val="24"/>
              </w:rPr>
            </w:pPr>
            <w:r w:rsidRPr="00F52F63">
              <w:rPr>
                <w:szCs w:val="24"/>
              </w:rPr>
              <w:t>– Dato for og resultat af det uvildige eftersyn af tætte belægninger, befæstede arealer og gulve, opsamlingsbassiner, containere, tankgårde og særlige oplagsområder samt eventuelle foretagne forbedringer.</w:t>
            </w:r>
          </w:p>
          <w:p w:rsidR="00AD5962" w:rsidRPr="00F52F63" w:rsidRDefault="00AD5962" w:rsidP="00A12694">
            <w:pPr>
              <w:spacing w:after="120"/>
              <w:ind w:left="284"/>
              <w:rPr>
                <w:szCs w:val="24"/>
              </w:rPr>
            </w:pPr>
            <w:r w:rsidRPr="00F52F63">
              <w:rPr>
                <w:szCs w:val="24"/>
              </w:rPr>
              <w:lastRenderedPageBreak/>
              <w:t>Driftsjournalen skal opbevares på virksomheden i mindst 5 år og skal være tilgængelig for tilsynsmyndigheden.</w:t>
            </w:r>
          </w:p>
        </w:tc>
        <w:tc>
          <w:tcPr>
            <w:tcW w:w="4990" w:type="dxa"/>
          </w:tcPr>
          <w:p w:rsidR="00AD5962" w:rsidRPr="00291EE1" w:rsidRDefault="00E853B9" w:rsidP="00A12694">
            <w:pPr>
              <w:spacing w:after="120"/>
            </w:pPr>
            <w:r w:rsidRPr="00567142">
              <w:rPr>
                <w:lang w:eastAsia="da-DK"/>
              </w:rPr>
              <w:lastRenderedPageBreak/>
              <w:t>Virksomheden udvider og fornyer deres aktivitet med et affaldsbehandlingsanlæg (listepunkt 5.1 d)). Der er ved at blive udarbejdet en ny miljøgodkendelse og er virksomheden ved at få miljøcertificering. I den forbindelse er alle driftsinstrukser og procedurer under revision og tilpasses de nye forhold.</w:t>
            </w:r>
          </w:p>
        </w:tc>
      </w:tr>
      <w:tr w:rsidR="00AD5962" w:rsidRPr="00FC3ED5" w:rsidTr="00AD5962">
        <w:trPr>
          <w:trHeight w:val="1018"/>
        </w:trPr>
        <w:tc>
          <w:tcPr>
            <w:tcW w:w="9322" w:type="dxa"/>
          </w:tcPr>
          <w:p w:rsidR="00AD5962" w:rsidRPr="00D47E29" w:rsidRDefault="00AD5962" w:rsidP="00AD5962">
            <w:pPr>
              <w:pStyle w:val="Listeafsnit"/>
              <w:numPr>
                <w:ilvl w:val="0"/>
                <w:numId w:val="2"/>
              </w:numPr>
              <w:spacing w:after="120"/>
              <w:ind w:left="426"/>
              <w:rPr>
                <w:szCs w:val="24"/>
              </w:rPr>
            </w:pPr>
            <w:r w:rsidRPr="00D47E29">
              <w:rPr>
                <w:szCs w:val="24"/>
              </w:rPr>
              <w:t xml:space="preserve">Virksomheden skal kunne dokumentere, at tank 101 eller andre faste tanke, som benyttes til oplag af olie-vand-affald, </w:t>
            </w:r>
          </w:p>
          <w:p w:rsidR="00AD5962" w:rsidRPr="00D47E29" w:rsidRDefault="00AD5962" w:rsidP="00AD5962">
            <w:pPr>
              <w:pStyle w:val="Listeafsnit"/>
              <w:numPr>
                <w:ilvl w:val="1"/>
                <w:numId w:val="2"/>
              </w:numPr>
              <w:spacing w:after="120"/>
              <w:ind w:left="993"/>
              <w:rPr>
                <w:sz w:val="28"/>
                <w:szCs w:val="24"/>
              </w:rPr>
            </w:pPr>
            <w:r w:rsidRPr="00D47E29">
              <w:rPr>
                <w:szCs w:val="24"/>
              </w:rPr>
              <w:t xml:space="preserve">er inspiceret i overensstemmelse med EEMUA 159, </w:t>
            </w:r>
          </w:p>
          <w:p w:rsidR="00AD5962" w:rsidRPr="00D47E29" w:rsidRDefault="00AD5962" w:rsidP="00AD5962">
            <w:pPr>
              <w:pStyle w:val="Listeafsnit"/>
              <w:numPr>
                <w:ilvl w:val="1"/>
                <w:numId w:val="2"/>
              </w:numPr>
              <w:spacing w:after="120"/>
              <w:ind w:left="993"/>
              <w:rPr>
                <w:sz w:val="28"/>
                <w:szCs w:val="24"/>
              </w:rPr>
            </w:pPr>
            <w:r w:rsidRPr="00D47E29">
              <w:rPr>
                <w:szCs w:val="24"/>
              </w:rPr>
              <w:t>er vedligeholdt i overensstemmelse med inspektionsrapportens anbefalinger</w:t>
            </w:r>
          </w:p>
          <w:p w:rsidR="00AD5962" w:rsidRDefault="00AD5962" w:rsidP="00AD5962">
            <w:pPr>
              <w:pStyle w:val="Listeafsnit"/>
              <w:numPr>
                <w:ilvl w:val="1"/>
                <w:numId w:val="2"/>
              </w:numPr>
              <w:spacing w:after="120"/>
              <w:ind w:left="993"/>
              <w:rPr>
                <w:szCs w:val="24"/>
              </w:rPr>
            </w:pPr>
            <w:r w:rsidRPr="00D47E29">
              <w:rPr>
                <w:szCs w:val="24"/>
              </w:rPr>
              <w:t>bliver inspiceret med intervaller i overensstemmelse med seneste tankinspektionsrapport</w:t>
            </w:r>
            <w:r>
              <w:rPr>
                <w:szCs w:val="24"/>
              </w:rPr>
              <w:t>.</w:t>
            </w:r>
          </w:p>
        </w:tc>
        <w:tc>
          <w:tcPr>
            <w:tcW w:w="4990" w:type="dxa"/>
          </w:tcPr>
          <w:p w:rsidR="00AD5962" w:rsidRDefault="00E853B9" w:rsidP="00A12694">
            <w:pPr>
              <w:spacing w:after="120"/>
            </w:pPr>
            <w:r>
              <w:t>OJT har tidligere fremsendt dokumentationen til Center for Miljøbeskyttelse.</w:t>
            </w:r>
          </w:p>
          <w:p w:rsidR="00BF7B62" w:rsidRPr="00291EE1" w:rsidRDefault="00E853B9" w:rsidP="00A12694">
            <w:pPr>
              <w:spacing w:after="120"/>
            </w:pPr>
            <w:r>
              <w:t>Ingen bemærkninger.</w:t>
            </w:r>
          </w:p>
        </w:tc>
      </w:tr>
      <w:tr w:rsidR="00AD5962" w:rsidRPr="00FC3ED5" w:rsidTr="00AD5962">
        <w:trPr>
          <w:trHeight w:val="463"/>
        </w:trPr>
        <w:tc>
          <w:tcPr>
            <w:tcW w:w="9322" w:type="dxa"/>
          </w:tcPr>
          <w:p w:rsidR="00AD5962" w:rsidRDefault="00AD5962" w:rsidP="00A12694">
            <w:pPr>
              <w:tabs>
                <w:tab w:val="left" w:pos="0"/>
              </w:tabs>
              <w:spacing w:after="120"/>
              <w:rPr>
                <w:szCs w:val="24"/>
              </w:rPr>
            </w:pPr>
            <w:r>
              <w:rPr>
                <w:b/>
                <w:szCs w:val="24"/>
              </w:rPr>
              <w:t>Ophør og udlejning</w:t>
            </w:r>
          </w:p>
        </w:tc>
        <w:tc>
          <w:tcPr>
            <w:tcW w:w="4990" w:type="dxa"/>
          </w:tcPr>
          <w:p w:rsidR="00AD5962" w:rsidRPr="00291EE1" w:rsidRDefault="00AD5962" w:rsidP="00A12694">
            <w:pPr>
              <w:spacing w:after="120"/>
            </w:pPr>
          </w:p>
        </w:tc>
      </w:tr>
      <w:tr w:rsidR="00AD5962" w:rsidRPr="00FC3ED5" w:rsidTr="00AD5962">
        <w:trPr>
          <w:trHeight w:val="1018"/>
        </w:trPr>
        <w:tc>
          <w:tcPr>
            <w:tcW w:w="9322" w:type="dxa"/>
          </w:tcPr>
          <w:p w:rsidR="00AD5962" w:rsidRPr="00F52F63" w:rsidRDefault="00AD5962" w:rsidP="00AD5962">
            <w:pPr>
              <w:pStyle w:val="Listeafsnit"/>
              <w:numPr>
                <w:ilvl w:val="0"/>
                <w:numId w:val="2"/>
              </w:numPr>
              <w:spacing w:after="120"/>
              <w:ind w:left="426"/>
              <w:rPr>
                <w:szCs w:val="24"/>
              </w:rPr>
            </w:pPr>
            <w:r w:rsidRPr="00F52F63">
              <w:rPr>
                <w:szCs w:val="24"/>
              </w:rPr>
              <w:t>Ved ophør af virksomhedens drift skal der træffes nødvendige foranstaltninger for at undgå forureningsfare og for at bringe stedet tilbage i tilfredsstillende tilstand. En redegørelse for disse foranstaltninger skal fremsendes til tilsynsmyndigheden</w:t>
            </w:r>
            <w:r>
              <w:rPr>
                <w:szCs w:val="24"/>
              </w:rPr>
              <w:t>s godkendelse</w:t>
            </w:r>
            <w:r w:rsidRPr="00F52F63">
              <w:rPr>
                <w:szCs w:val="24"/>
              </w:rPr>
              <w:t xml:space="preserve"> senest 3 måneder før driften ophører.</w:t>
            </w:r>
          </w:p>
        </w:tc>
        <w:tc>
          <w:tcPr>
            <w:tcW w:w="4990" w:type="dxa"/>
          </w:tcPr>
          <w:p w:rsidR="00AD5962" w:rsidRPr="00291EE1" w:rsidRDefault="00E853B9" w:rsidP="00A12694">
            <w:pPr>
              <w:spacing w:after="120"/>
            </w:pPr>
            <w:r>
              <w:t>Ikke relevant.</w:t>
            </w:r>
          </w:p>
        </w:tc>
      </w:tr>
      <w:tr w:rsidR="00AD5962" w:rsidRPr="00FC3ED5" w:rsidTr="00AD5962">
        <w:trPr>
          <w:trHeight w:val="998"/>
        </w:trPr>
        <w:tc>
          <w:tcPr>
            <w:tcW w:w="9322" w:type="dxa"/>
          </w:tcPr>
          <w:p w:rsidR="00AD5962" w:rsidRPr="006B37AC" w:rsidRDefault="00AD5962" w:rsidP="00AD5962">
            <w:pPr>
              <w:pStyle w:val="Listeafsnit"/>
              <w:numPr>
                <w:ilvl w:val="0"/>
                <w:numId w:val="2"/>
              </w:numPr>
              <w:spacing w:after="120"/>
              <w:ind w:left="426"/>
              <w:rPr>
                <w:szCs w:val="24"/>
              </w:rPr>
            </w:pPr>
            <w:r w:rsidRPr="00F52F63">
              <w:rPr>
                <w:szCs w:val="24"/>
              </w:rPr>
              <w:t>Ved udlejning eller hel eller delvis overdragelse til andre af drift, grund eller udstyr skal Center for Miljøbeskyttelse orienteres senest en uge før udlejning/overdragelse finder sted.</w:t>
            </w:r>
          </w:p>
        </w:tc>
        <w:tc>
          <w:tcPr>
            <w:tcW w:w="4990" w:type="dxa"/>
          </w:tcPr>
          <w:p w:rsidR="00BF7B62" w:rsidRDefault="00E853B9" w:rsidP="00A12694">
            <w:pPr>
              <w:spacing w:after="120"/>
            </w:pPr>
            <w:r>
              <w:t>Organisationsdiagram er udleveret.</w:t>
            </w:r>
          </w:p>
          <w:p w:rsidR="00514D0A" w:rsidRDefault="00E853B9" w:rsidP="00A12694">
            <w:pPr>
              <w:spacing w:after="120"/>
            </w:pPr>
            <w:r>
              <w:t xml:space="preserve">Flux Water A/S drifter affaldsbehandlingsanlægget og er medejere af affaldsbehandlingsanlægget. OJT Tankstore ApS ejer anlægget og drifter tank 101 i Anlæg 3. </w:t>
            </w:r>
          </w:p>
          <w:p w:rsidR="00E853B9" w:rsidRDefault="00E853B9" w:rsidP="00A12694">
            <w:pPr>
              <w:spacing w:after="120"/>
            </w:pPr>
            <w:r>
              <w:t xml:space="preserve">Center for Miljøbeskyttelse skal kontakte Flux Water A/S, Lars Kastholm, ved spørgsmål til </w:t>
            </w:r>
            <w:r>
              <w:lastRenderedPageBreak/>
              <w:t>driften af affaldsbehandlingsanlægget. Når det udvidede affaldsbehandlingsanlæg er etableret</w:t>
            </w:r>
            <w:r w:rsidR="00E17527">
              <w:t>,</w:t>
            </w:r>
            <w:r>
              <w:t xml:space="preserve"> skal der ansættes en driftschef, der bliver kontaktperson.</w:t>
            </w:r>
          </w:p>
          <w:p w:rsidR="00BF7B62" w:rsidRPr="00291EE1" w:rsidRDefault="00BF7B62" w:rsidP="00A12694">
            <w:pPr>
              <w:spacing w:after="120"/>
            </w:pPr>
          </w:p>
        </w:tc>
      </w:tr>
      <w:tr w:rsidR="00AD5962" w:rsidRPr="00FC3ED5" w:rsidTr="00AD5962">
        <w:trPr>
          <w:trHeight w:val="366"/>
        </w:trPr>
        <w:tc>
          <w:tcPr>
            <w:tcW w:w="9322" w:type="dxa"/>
          </w:tcPr>
          <w:p w:rsidR="00AD5962" w:rsidRPr="006B37AC" w:rsidRDefault="00AD5962" w:rsidP="00A12694">
            <w:pPr>
              <w:spacing w:after="120"/>
              <w:ind w:left="66"/>
              <w:rPr>
                <w:szCs w:val="24"/>
              </w:rPr>
            </w:pPr>
            <w:r>
              <w:rPr>
                <w:b/>
                <w:szCs w:val="24"/>
              </w:rPr>
              <w:lastRenderedPageBreak/>
              <w:t>Midlertidigt vilkår</w:t>
            </w:r>
          </w:p>
        </w:tc>
        <w:tc>
          <w:tcPr>
            <w:tcW w:w="4990" w:type="dxa"/>
          </w:tcPr>
          <w:p w:rsidR="00AD5962" w:rsidRPr="00291EE1" w:rsidRDefault="00AD5962" w:rsidP="00A12694">
            <w:pPr>
              <w:spacing w:after="120"/>
            </w:pPr>
          </w:p>
        </w:tc>
      </w:tr>
      <w:tr w:rsidR="00AD5962" w:rsidRPr="00FC3ED5" w:rsidTr="00AD5962">
        <w:trPr>
          <w:trHeight w:val="998"/>
        </w:trPr>
        <w:tc>
          <w:tcPr>
            <w:tcW w:w="9322" w:type="dxa"/>
          </w:tcPr>
          <w:p w:rsidR="00AD5962" w:rsidRPr="006B37AC" w:rsidRDefault="00AD5962" w:rsidP="00AD5962">
            <w:pPr>
              <w:pStyle w:val="Listeafsnit"/>
              <w:numPr>
                <w:ilvl w:val="0"/>
                <w:numId w:val="2"/>
              </w:numPr>
              <w:ind w:left="426"/>
            </w:pPr>
            <w:r>
              <w:rPr>
                <w:szCs w:val="24"/>
              </w:rPr>
              <w:t xml:space="preserve">Virksomheden må opstille </w:t>
            </w:r>
            <w:r w:rsidRPr="006B37AC">
              <w:rPr>
                <w:szCs w:val="24"/>
              </w:rPr>
              <w:t xml:space="preserve">godkendt tanktrailer </w:t>
            </w:r>
            <w:r>
              <w:rPr>
                <w:szCs w:val="24"/>
              </w:rPr>
              <w:t>til opsamling af væske fra modtagetanken for at overføre det til tank 101 hos OJT. Tanktraileren skal opstilles på det befæstede areal ved modtagetanken. Dette vilkår gælder indtil 1. aug. 2017. Drift mv. er omfattet af vilkårene 1-38.</w:t>
            </w:r>
          </w:p>
        </w:tc>
        <w:tc>
          <w:tcPr>
            <w:tcW w:w="4990" w:type="dxa"/>
          </w:tcPr>
          <w:p w:rsidR="00AD5962" w:rsidRPr="00291EE1" w:rsidRDefault="00E853B9" w:rsidP="00A12694">
            <w:pPr>
              <w:spacing w:after="120"/>
            </w:pPr>
            <w:r>
              <w:t>Tanken er fjernet.</w:t>
            </w:r>
          </w:p>
        </w:tc>
      </w:tr>
    </w:tbl>
    <w:p w:rsidR="00AD5962" w:rsidRDefault="00AD5962" w:rsidP="00AD5962">
      <w:pPr>
        <w:rPr>
          <w:color w:val="000000" w:themeColor="text1"/>
          <w:szCs w:val="24"/>
        </w:rPr>
      </w:pPr>
    </w:p>
    <w:p w:rsidR="00514D0A" w:rsidRDefault="00514D0A">
      <w:pPr>
        <w:spacing w:after="200" w:line="276" w:lineRule="auto"/>
        <w:rPr>
          <w:color w:val="000000" w:themeColor="text1"/>
          <w:szCs w:val="24"/>
        </w:rPr>
      </w:pPr>
      <w:r>
        <w:rPr>
          <w:color w:val="000000" w:themeColor="text1"/>
          <w:szCs w:val="24"/>
        </w:rPr>
        <w:br w:type="page"/>
      </w:r>
    </w:p>
    <w:p w:rsidR="00AD5962" w:rsidRDefault="00514D0A" w:rsidP="00AD5962">
      <w:pPr>
        <w:rPr>
          <w:color w:val="000000" w:themeColor="text1"/>
          <w:szCs w:val="24"/>
        </w:rPr>
      </w:pPr>
      <w:r w:rsidRPr="00514D0A">
        <w:rPr>
          <w:noProof/>
          <w:color w:val="000000" w:themeColor="text1"/>
          <w:szCs w:val="24"/>
        </w:rPr>
        <w:lastRenderedPageBreak/>
        <w:drawing>
          <wp:inline distT="0" distB="0" distL="0" distR="0">
            <wp:extent cx="8531860" cy="5826166"/>
            <wp:effectExtent l="0" t="0" r="2540" b="317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31860" cy="5826166"/>
                    </a:xfrm>
                    <a:prstGeom prst="rect">
                      <a:avLst/>
                    </a:prstGeom>
                    <a:noFill/>
                    <a:ln>
                      <a:noFill/>
                    </a:ln>
                  </pic:spPr>
                </pic:pic>
              </a:graphicData>
            </a:graphic>
          </wp:inline>
        </w:drawing>
      </w:r>
    </w:p>
    <w:p w:rsidR="00514D0A" w:rsidRDefault="00514D0A" w:rsidP="00AD5962">
      <w:pPr>
        <w:rPr>
          <w:color w:val="000000" w:themeColor="text1"/>
          <w:szCs w:val="24"/>
        </w:rPr>
      </w:pPr>
      <w:r w:rsidRPr="00514D0A">
        <w:rPr>
          <w:noProof/>
          <w:color w:val="000000" w:themeColor="text1"/>
          <w:szCs w:val="24"/>
        </w:rPr>
        <w:lastRenderedPageBreak/>
        <w:drawing>
          <wp:inline distT="0" distB="0" distL="0" distR="0">
            <wp:extent cx="8531860" cy="5800800"/>
            <wp:effectExtent l="0" t="0" r="2540" b="952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31860" cy="5800800"/>
                    </a:xfrm>
                    <a:prstGeom prst="rect">
                      <a:avLst/>
                    </a:prstGeom>
                    <a:noFill/>
                    <a:ln>
                      <a:noFill/>
                    </a:ln>
                  </pic:spPr>
                </pic:pic>
              </a:graphicData>
            </a:graphic>
          </wp:inline>
        </w:drawing>
      </w:r>
    </w:p>
    <w:p w:rsidR="00514D0A" w:rsidRDefault="00514D0A">
      <w:pPr>
        <w:spacing w:after="200" w:line="276" w:lineRule="auto"/>
        <w:rPr>
          <w:color w:val="000000" w:themeColor="text1"/>
          <w:szCs w:val="24"/>
        </w:rPr>
      </w:pPr>
      <w:r w:rsidRPr="00514D0A">
        <w:rPr>
          <w:noProof/>
          <w:color w:val="000000" w:themeColor="text1"/>
          <w:szCs w:val="24"/>
        </w:rPr>
        <w:lastRenderedPageBreak/>
        <w:drawing>
          <wp:inline distT="0" distB="0" distL="0" distR="0">
            <wp:extent cx="8531860" cy="5788118"/>
            <wp:effectExtent l="0" t="0" r="2540" b="3175"/>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31860" cy="5788118"/>
                    </a:xfrm>
                    <a:prstGeom prst="rect">
                      <a:avLst/>
                    </a:prstGeom>
                    <a:noFill/>
                    <a:ln>
                      <a:noFill/>
                    </a:ln>
                  </pic:spPr>
                </pic:pic>
              </a:graphicData>
            </a:graphic>
          </wp:inline>
        </w:drawing>
      </w:r>
    </w:p>
    <w:sectPr w:rsidR="00514D0A" w:rsidSect="00DF3762">
      <w:headerReference w:type="even" r:id="rId20"/>
      <w:headerReference w:type="default" r:id="rId21"/>
      <w:headerReference w:type="first" r:id="rId22"/>
      <w:pgSz w:w="16838" w:h="11906" w:orient="landscape" w:code="9"/>
      <w:pgMar w:top="1701" w:right="2268" w:bottom="3402"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C6C" w:rsidRPr="00AD5962" w:rsidRDefault="00924C6C" w:rsidP="00291C7F">
      <w:pPr>
        <w:spacing w:line="240" w:lineRule="auto"/>
      </w:pPr>
      <w:r w:rsidRPr="00AD5962">
        <w:separator/>
      </w:r>
    </w:p>
    <w:p w:rsidR="00924C6C" w:rsidRPr="00AD5962" w:rsidRDefault="00924C6C"/>
  </w:endnote>
  <w:endnote w:type="continuationSeparator" w:id="0">
    <w:p w:rsidR="00924C6C" w:rsidRPr="00AD5962" w:rsidRDefault="00924C6C" w:rsidP="00291C7F">
      <w:pPr>
        <w:spacing w:line="240" w:lineRule="auto"/>
      </w:pPr>
      <w:r w:rsidRPr="00AD5962">
        <w:continuationSeparator/>
      </w:r>
    </w:p>
    <w:p w:rsidR="00924C6C" w:rsidRPr="00AD5962" w:rsidRDefault="00924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9D1" w:rsidRDefault="008919D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9D1" w:rsidRDefault="008919D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9D1" w:rsidRDefault="008919D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C6C" w:rsidRPr="00AD5962" w:rsidRDefault="00924C6C" w:rsidP="00291C7F">
      <w:pPr>
        <w:spacing w:line="240" w:lineRule="auto"/>
      </w:pPr>
      <w:r w:rsidRPr="00AD5962">
        <w:separator/>
      </w:r>
    </w:p>
    <w:p w:rsidR="00924C6C" w:rsidRPr="00AD5962" w:rsidRDefault="00924C6C"/>
  </w:footnote>
  <w:footnote w:type="continuationSeparator" w:id="0">
    <w:p w:rsidR="00924C6C" w:rsidRPr="00AD5962" w:rsidRDefault="00924C6C" w:rsidP="00291C7F">
      <w:pPr>
        <w:spacing w:line="240" w:lineRule="auto"/>
      </w:pPr>
      <w:r w:rsidRPr="00AD5962">
        <w:continuationSeparator/>
      </w:r>
    </w:p>
    <w:p w:rsidR="00924C6C" w:rsidRPr="00AD5962" w:rsidRDefault="00924C6C"/>
  </w:footnote>
  <w:footnote w:id="1">
    <w:p w:rsidR="00AD5962" w:rsidRDefault="00AD5962" w:rsidP="00AD5962">
      <w:pPr>
        <w:pStyle w:val="Fodnotetekst"/>
      </w:pPr>
      <w:r>
        <w:rPr>
          <w:rStyle w:val="Fodnotehenvisning"/>
        </w:rPr>
        <w:footnoteRef/>
      </w:r>
      <w:r>
        <w:t xml:space="preserve">  § 12 i b</w:t>
      </w:r>
      <w:r w:rsidRPr="00391E9C">
        <w:rPr>
          <w:rFonts w:ascii="Times New Roman" w:hAnsi="Times New Roman"/>
        </w:rPr>
        <w:t>ekendtgørelse om miljøtilsyn nr</w:t>
      </w:r>
      <w:r w:rsidR="00DF33AA">
        <w:rPr>
          <w:rFonts w:ascii="Times New Roman" w:hAnsi="Times New Roman"/>
        </w:rPr>
        <w:t xml:space="preserve">. </w:t>
      </w:r>
      <w:r w:rsidR="00DF33AA" w:rsidRPr="00DF33AA">
        <w:rPr>
          <w:rFonts w:ascii="Times New Roman" w:hAnsi="Times New Roman"/>
        </w:rPr>
        <w:t>117 af 28/01/2019</w:t>
      </w:r>
    </w:p>
  </w:footnote>
  <w:footnote w:id="2">
    <w:p w:rsidR="00AD5962" w:rsidRDefault="00AD5962" w:rsidP="00AD5962">
      <w:pPr>
        <w:pStyle w:val="Fodnotetekst"/>
      </w:pPr>
      <w:r>
        <w:rPr>
          <w:rStyle w:val="Fodnotehenvisning"/>
        </w:rPr>
        <w:footnoteRef/>
      </w:r>
      <w:r>
        <w:t xml:space="preserve"> </w:t>
      </w:r>
      <w:r>
        <w:rPr>
          <w:rFonts w:ascii="Times New Roman" w:hAnsi="Times New Roman"/>
        </w:rPr>
        <w:t>I henhold til § 7 i B</w:t>
      </w:r>
      <w:r w:rsidRPr="00D57087">
        <w:rPr>
          <w:rFonts w:ascii="Times New Roman" w:hAnsi="Times New Roman"/>
        </w:rPr>
        <w:t xml:space="preserve">rugerbetalingsbekendtgørelsen nr. </w:t>
      </w:r>
      <w:r>
        <w:rPr>
          <w:rFonts w:ascii="Times New Roman" w:hAnsi="Times New Roman"/>
        </w:rPr>
        <w:t>1475 af 12/12/2017</w:t>
      </w:r>
    </w:p>
  </w:footnote>
  <w:footnote w:id="3">
    <w:p w:rsidR="00AD5962" w:rsidRDefault="00AD5962" w:rsidP="00AD5962">
      <w:pPr>
        <w:pStyle w:val="Fodnotetekst"/>
      </w:pPr>
      <w:r>
        <w:rPr>
          <w:rStyle w:val="Fodnotehenvisning"/>
        </w:rPr>
        <w:footnoteRef/>
      </w:r>
      <w:r>
        <w:t xml:space="preserve"> </w:t>
      </w:r>
      <w:r>
        <w:rPr>
          <w:rFonts w:ascii="Times New Roman" w:hAnsi="Times New Roman"/>
        </w:rPr>
        <w:t>Bekendtgørelse om miljøtilsyn</w:t>
      </w:r>
      <w:r w:rsidRPr="00D57087">
        <w:rPr>
          <w:rFonts w:ascii="Times New Roman" w:hAnsi="Times New Roman"/>
        </w:rPr>
        <w:t xml:space="preserve"> nr. </w:t>
      </w:r>
      <w:r w:rsidR="00DF33AA" w:rsidRPr="00DF33AA">
        <w:rPr>
          <w:rFonts w:ascii="Times New Roman" w:hAnsi="Times New Roman"/>
        </w:rPr>
        <w:t>117 af 28/01/2019</w:t>
      </w:r>
    </w:p>
  </w:footnote>
  <w:footnote w:id="4">
    <w:p w:rsidR="00AD5962" w:rsidRDefault="00AD5962" w:rsidP="00AD5962">
      <w:pPr>
        <w:pStyle w:val="Fodnotetekst"/>
      </w:pPr>
      <w:r>
        <w:rPr>
          <w:rStyle w:val="Fodnotehenvisning"/>
        </w:rPr>
        <w:footnoteRef/>
      </w:r>
      <w:r>
        <w:t xml:space="preserve"> </w:t>
      </w:r>
      <w:r w:rsidRPr="00FC3ED5">
        <w:t>Ved »tankanlæg« forstås tanke med tilhørende rørsystemer og slanger.</w:t>
      </w:r>
    </w:p>
  </w:footnote>
  <w:footnote w:id="5">
    <w:p w:rsidR="00AD5962" w:rsidRDefault="00AD5962" w:rsidP="00AD5962">
      <w:pPr>
        <w:pStyle w:val="Fodnotetekst"/>
      </w:pPr>
      <w:r>
        <w:rPr>
          <w:rStyle w:val="Fodnotehenvisning"/>
        </w:rPr>
        <w:footnoteRef/>
      </w:r>
      <w:r>
        <w:t xml:space="preserve"> Ved</w:t>
      </w:r>
      <w:r w:rsidRPr="00FC3ED5">
        <w:t xml:space="preserve"> betegnelsen »befæstet areal« menes en fast belægning, der giver mulighed for opsamling af spild og kontrolleret afledning af nedbør. </w:t>
      </w:r>
      <w:r>
        <w:t>Ved</w:t>
      </w:r>
      <w:r w:rsidRPr="00FC3ED5">
        <w:t xml:space="preserve"> betegnelsen »tæt belægning« menes en fast belægning, der i løbet af påvirkningstiden er uigennemtrængelig for de forurenende stoffer, der håndteres på arealet.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9D1" w:rsidRDefault="008919D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9073" w:tblpY="160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tblGrid>
    <w:tr w:rsidR="00924C6C" w:rsidRPr="00AD5962" w:rsidTr="00A12CBD">
      <w:trPr>
        <w:trHeight w:val="297"/>
      </w:trPr>
      <w:tc>
        <w:tcPr>
          <w:tcW w:w="1134" w:type="dxa"/>
        </w:tcPr>
        <w:p w:rsidR="00924C6C" w:rsidRPr="00AD5962" w:rsidRDefault="00AD5962" w:rsidP="00AD5962">
          <w:pPr>
            <w:pStyle w:val="Sidenummer"/>
          </w:pPr>
          <w:r w:rsidRPr="00AD5962">
            <w:t>Side</w:t>
          </w:r>
          <w:r w:rsidR="00924C6C" w:rsidRPr="00AD5962">
            <w:t xml:space="preserve"> </w:t>
          </w:r>
          <w:r w:rsidR="00924C6C" w:rsidRPr="00AD5962">
            <w:fldChar w:fldCharType="begin"/>
          </w:r>
          <w:r w:rsidR="00924C6C" w:rsidRPr="00AD5962">
            <w:instrText xml:space="preserve"> PAGE  \* Arabic  \* MERGEFORMAT </w:instrText>
          </w:r>
          <w:r w:rsidR="00924C6C" w:rsidRPr="00AD5962">
            <w:fldChar w:fldCharType="separate"/>
          </w:r>
          <w:r w:rsidR="00924C6C" w:rsidRPr="00AD5962">
            <w:rPr>
              <w:noProof/>
            </w:rPr>
            <w:t>2</w:t>
          </w:r>
          <w:r w:rsidR="00924C6C" w:rsidRPr="00AD5962">
            <w:fldChar w:fldCharType="end"/>
          </w:r>
          <w:r w:rsidR="00924C6C" w:rsidRPr="00AD5962">
            <w:t xml:space="preserve"> </w:t>
          </w:r>
          <w:r w:rsidRPr="00AD5962">
            <w:t>af</w:t>
          </w:r>
          <w:r w:rsidR="00924C6C" w:rsidRPr="00AD5962">
            <w:t xml:space="preserve"> </w:t>
          </w:r>
          <w:r w:rsidR="00E17527">
            <w:rPr>
              <w:noProof/>
            </w:rPr>
            <w:fldChar w:fldCharType="begin"/>
          </w:r>
          <w:r w:rsidR="00E17527">
            <w:rPr>
              <w:noProof/>
            </w:rPr>
            <w:instrText xml:space="preserve"> NUMPAGES   \* MERGEFORMAT </w:instrText>
          </w:r>
          <w:r w:rsidR="00E17527">
            <w:rPr>
              <w:noProof/>
            </w:rPr>
            <w:fldChar w:fldCharType="separate"/>
          </w:r>
          <w:r w:rsidR="00924C6C" w:rsidRPr="00AD5962">
            <w:rPr>
              <w:noProof/>
            </w:rPr>
            <w:t>2</w:t>
          </w:r>
          <w:r w:rsidR="00E17527">
            <w:rPr>
              <w:noProof/>
            </w:rPr>
            <w:fldChar w:fldCharType="end"/>
          </w:r>
        </w:p>
      </w:tc>
    </w:tr>
  </w:tbl>
  <w:p w:rsidR="00924C6C" w:rsidRPr="00AD5962" w:rsidRDefault="00924C6C">
    <w:pPr>
      <w:pStyle w:val="Sidehoved"/>
    </w:pPr>
  </w:p>
  <w:p w:rsidR="00924C6C" w:rsidRPr="00AD5962" w:rsidRDefault="00924C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1702" w:tblpY="8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 og afsender tabel"/>
      <w:tblDescription w:val="Denne tabel indeholder oplysninger om hhv. afsender og modtager."/>
    </w:tblPr>
    <w:tblGrid>
      <w:gridCol w:w="6804"/>
    </w:tblGrid>
    <w:tr w:rsidR="00924C6C" w:rsidRPr="00AD5962" w:rsidTr="00D07962">
      <w:trPr>
        <w:trHeight w:hRule="exact" w:val="1531"/>
      </w:trPr>
      <w:tc>
        <w:tcPr>
          <w:tcW w:w="6804" w:type="dxa"/>
        </w:tcPr>
        <w:p w:rsidR="00924C6C" w:rsidRPr="00AD5962" w:rsidRDefault="00AD5962" w:rsidP="00AD5962">
          <w:pPr>
            <w:pStyle w:val="KommuneTekst"/>
          </w:pPr>
          <w:bookmarkStart w:id="3" w:name="bmkRevicerTable"/>
          <w:r w:rsidRPr="00AD5962">
            <w:t>Københavns Kommune</w:t>
          </w:r>
        </w:p>
        <w:p w:rsidR="00AD5962" w:rsidRPr="00AD5962" w:rsidRDefault="00AD5962" w:rsidP="00AD5962">
          <w:pPr>
            <w:pStyle w:val="ForvaltningCenter"/>
          </w:pPr>
          <w:r w:rsidRPr="00AD5962">
            <w:t>Teknik- og Miljøforvaltningen</w:t>
          </w:r>
        </w:p>
        <w:p w:rsidR="00924C6C" w:rsidRPr="00AD5962" w:rsidRDefault="00AD5962" w:rsidP="00AD5962">
          <w:pPr>
            <w:pStyle w:val="ForvaltningCenter"/>
          </w:pPr>
          <w:r w:rsidRPr="00AD5962">
            <w:t>Byens Anvendelse</w:t>
          </w:r>
        </w:p>
      </w:tc>
    </w:tr>
    <w:tr w:rsidR="00924C6C" w:rsidRPr="00AD5962" w:rsidTr="00D07962">
      <w:trPr>
        <w:trHeight w:hRule="exact" w:val="1020"/>
      </w:trPr>
      <w:tc>
        <w:tcPr>
          <w:tcW w:w="6804" w:type="dxa"/>
        </w:tcPr>
        <w:p w:rsidR="00924C6C" w:rsidRPr="00AD5962" w:rsidRDefault="00AD5962" w:rsidP="00AD5962">
          <w:pPr>
            <w:pStyle w:val="Overskrift1"/>
            <w:outlineLvl w:val="0"/>
          </w:pPr>
          <w:r w:rsidRPr="00AD5962">
            <w:rPr>
              <w:rFonts w:cs="Times New Roman"/>
            </w:rPr>
            <w:t>Til Flux Water / OJT Tankstore ApS</w:t>
          </w:r>
        </w:p>
      </w:tc>
    </w:tr>
  </w:tbl>
  <w:tbl>
    <w:tblPr>
      <w:tblStyle w:val="Tabel-Gitter"/>
      <w:tblpPr w:vertAnchor="page" w:horzAnchor="page" w:tblpX="8790" w:tblpY="243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 og afsender tabel"/>
      <w:tblDescription w:val="Denne tabel indeholder oplysninger om hhv. afsender og modtager."/>
    </w:tblPr>
    <w:tblGrid>
      <w:gridCol w:w="2976"/>
    </w:tblGrid>
    <w:tr w:rsidR="00924C6C" w:rsidRPr="003D6C5B" w:rsidTr="00D07962">
      <w:trPr>
        <w:trHeight w:hRule="exact" w:val="3119"/>
      </w:trPr>
      <w:tc>
        <w:tcPr>
          <w:tcW w:w="2976" w:type="dxa"/>
        </w:tcPr>
        <w:p w:rsidR="00AD5962" w:rsidRPr="003D6C5B" w:rsidRDefault="003D6C5B" w:rsidP="00AD5962">
          <w:pPr>
            <w:rPr>
              <w:rFonts w:cs="Times New Roman"/>
            </w:rPr>
          </w:pPr>
          <w:bookmarkStart w:id="4" w:name="bmkKolofon"/>
          <w:bookmarkEnd w:id="3"/>
          <w:r w:rsidRPr="003D6C5B">
            <w:rPr>
              <w:rFonts w:cs="Times New Roman"/>
            </w:rPr>
            <w:t>10</w:t>
          </w:r>
          <w:r w:rsidR="00AD5962" w:rsidRPr="003D6C5B">
            <w:rPr>
              <w:rFonts w:cs="Times New Roman"/>
            </w:rPr>
            <w:t>. april 2019</w:t>
          </w:r>
        </w:p>
        <w:p w:rsidR="00AD5962" w:rsidRPr="003D6C5B" w:rsidRDefault="00AD5962" w:rsidP="00AD5962">
          <w:pPr>
            <w:rPr>
              <w:rFonts w:cs="Times New Roman"/>
            </w:rPr>
          </w:pPr>
        </w:p>
        <w:p w:rsidR="00AD5962" w:rsidRPr="003D6C5B" w:rsidRDefault="00AD5962" w:rsidP="00AD5962">
          <w:pPr>
            <w:rPr>
              <w:rFonts w:cs="Times New Roman"/>
            </w:rPr>
          </w:pPr>
          <w:r w:rsidRPr="003D6C5B">
            <w:rPr>
              <w:rFonts w:cs="Times New Roman"/>
            </w:rPr>
            <w:t>Sagsnr.</w:t>
          </w:r>
        </w:p>
        <w:p w:rsidR="00AD5962" w:rsidRPr="003D6C5B" w:rsidRDefault="00AD5962" w:rsidP="00AD5962">
          <w:pPr>
            <w:rPr>
              <w:rFonts w:cs="Times New Roman"/>
            </w:rPr>
          </w:pPr>
          <w:r w:rsidRPr="003D6C5B">
            <w:rPr>
              <w:rFonts w:cs="Times New Roman"/>
            </w:rPr>
            <w:t>2019-0097045</w:t>
          </w:r>
        </w:p>
        <w:p w:rsidR="00AD5962" w:rsidRPr="003D6C5B" w:rsidRDefault="00AD5962" w:rsidP="00AD5962">
          <w:pPr>
            <w:rPr>
              <w:rFonts w:cs="Times New Roman"/>
            </w:rPr>
          </w:pPr>
        </w:p>
        <w:p w:rsidR="00AD5962" w:rsidRPr="003D6C5B" w:rsidRDefault="00AD5962" w:rsidP="00AD5962">
          <w:pPr>
            <w:rPr>
              <w:rFonts w:cs="Times New Roman"/>
            </w:rPr>
          </w:pPr>
          <w:r w:rsidRPr="003D6C5B">
            <w:rPr>
              <w:rFonts w:cs="Times New Roman"/>
            </w:rPr>
            <w:t>Dokumentnr.</w:t>
          </w:r>
        </w:p>
        <w:p w:rsidR="00AD5962" w:rsidRPr="003D6C5B" w:rsidRDefault="00AD5962" w:rsidP="00AD5962">
          <w:pPr>
            <w:rPr>
              <w:rFonts w:cs="Times New Roman"/>
            </w:rPr>
          </w:pPr>
          <w:r w:rsidRPr="003D6C5B">
            <w:rPr>
              <w:rFonts w:cs="Times New Roman"/>
            </w:rPr>
            <w:t>2019-0097045-1</w:t>
          </w:r>
        </w:p>
        <w:p w:rsidR="00AD5962" w:rsidRPr="003D6C5B" w:rsidRDefault="00AD5962" w:rsidP="00AD5962">
          <w:pPr>
            <w:rPr>
              <w:rFonts w:cs="Times New Roman"/>
            </w:rPr>
          </w:pPr>
        </w:p>
        <w:p w:rsidR="00AD5962" w:rsidRPr="003D6C5B" w:rsidRDefault="00AD5962" w:rsidP="00AD5962">
          <w:pPr>
            <w:rPr>
              <w:rFonts w:cs="Times New Roman"/>
            </w:rPr>
          </w:pPr>
          <w:r w:rsidRPr="003D6C5B">
            <w:rPr>
              <w:rFonts w:cs="Times New Roman"/>
            </w:rPr>
            <w:t>Sagsbehandler</w:t>
          </w:r>
        </w:p>
        <w:p w:rsidR="00924C6C" w:rsidRPr="003D6C5B" w:rsidRDefault="00AD5962" w:rsidP="00AD5962">
          <w:r w:rsidRPr="003D6C5B">
            <w:rPr>
              <w:rFonts w:cs="Times New Roman"/>
            </w:rPr>
            <w:t>Lisa Bizzarro</w:t>
          </w:r>
        </w:p>
      </w:tc>
    </w:tr>
    <w:tr w:rsidR="00924C6C" w:rsidRPr="003D6C5B" w:rsidTr="00D07962">
      <w:trPr>
        <w:trHeight w:hRule="exact" w:val="10603"/>
      </w:trPr>
      <w:tc>
        <w:tcPr>
          <w:tcW w:w="2976" w:type="dxa"/>
          <w:vAlign w:val="bottom"/>
        </w:tcPr>
        <w:p w:rsidR="00AD5962" w:rsidRPr="003D6C5B" w:rsidRDefault="00AD5962" w:rsidP="00AD5962">
          <w:pPr>
            <w:pStyle w:val="Kolofon"/>
          </w:pPr>
          <w:r w:rsidRPr="003D6C5B">
            <w:rPr>
              <w:b/>
            </w:rPr>
            <w:t>Forurenende Virksomhed</w:t>
          </w:r>
        </w:p>
        <w:p w:rsidR="00AD5962" w:rsidRPr="003D6C5B" w:rsidRDefault="00AD5962" w:rsidP="00AD5962">
          <w:pPr>
            <w:pStyle w:val="Kolofon"/>
          </w:pPr>
        </w:p>
        <w:p w:rsidR="00AD5962" w:rsidRPr="003D6C5B" w:rsidRDefault="00AD5962" w:rsidP="00AD5962">
          <w:pPr>
            <w:pStyle w:val="Kolofon"/>
          </w:pPr>
          <w:r w:rsidRPr="003D6C5B">
            <w:t>Njalsgade 13</w:t>
          </w:r>
        </w:p>
        <w:p w:rsidR="00AD5962" w:rsidRPr="003D6C5B" w:rsidRDefault="00AD5962" w:rsidP="00AD5962">
          <w:pPr>
            <w:pStyle w:val="Kolofon"/>
          </w:pPr>
          <w:r w:rsidRPr="003D6C5B">
            <w:t>Postboks 380</w:t>
          </w:r>
        </w:p>
        <w:p w:rsidR="00AD5962" w:rsidRPr="003D6C5B" w:rsidRDefault="00AD5962" w:rsidP="00AD5962">
          <w:pPr>
            <w:pStyle w:val="Kolofon"/>
          </w:pPr>
          <w:r w:rsidRPr="003D6C5B">
            <w:t>2300 København S</w:t>
          </w:r>
        </w:p>
        <w:p w:rsidR="00AD5962" w:rsidRPr="003D6C5B" w:rsidRDefault="00AD5962" w:rsidP="00AD5962">
          <w:pPr>
            <w:pStyle w:val="Kolofon"/>
          </w:pPr>
        </w:p>
        <w:p w:rsidR="00AD5962" w:rsidRPr="003D6C5B" w:rsidRDefault="00AD5962" w:rsidP="00AD5962">
          <w:pPr>
            <w:pStyle w:val="Kolofon"/>
          </w:pPr>
          <w:r w:rsidRPr="003D6C5B">
            <w:t>EAN nummer</w:t>
          </w:r>
        </w:p>
        <w:p w:rsidR="00924C6C" w:rsidRPr="003D6C5B" w:rsidRDefault="00AD5962" w:rsidP="00AD5962">
          <w:pPr>
            <w:pStyle w:val="Kolofon"/>
          </w:pPr>
          <w:r w:rsidRPr="003D6C5B">
            <w:t>5798009809452</w:t>
          </w:r>
        </w:p>
      </w:tc>
    </w:tr>
  </w:tbl>
  <w:tbl>
    <w:tblPr>
      <w:tblStyle w:val="Tabel-Gitter"/>
      <w:tblpPr w:vertAnchor="page" w:horzAnchor="page" w:tblpX="8788" w:tblpY="8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 og afsender tabel"/>
      <w:tblDescription w:val="Denne tabel indeholder oplysninger om hhv. afsender og modtager."/>
    </w:tblPr>
    <w:tblGrid>
      <w:gridCol w:w="2976"/>
    </w:tblGrid>
    <w:tr w:rsidR="00924C6C" w:rsidRPr="00AD5962" w:rsidTr="00FA02B6">
      <w:trPr>
        <w:trHeight w:hRule="exact" w:val="1342"/>
      </w:trPr>
      <w:tc>
        <w:tcPr>
          <w:tcW w:w="2976" w:type="dxa"/>
        </w:tcPr>
        <w:p w:rsidR="00924C6C" w:rsidRPr="00AD5962" w:rsidRDefault="00AD5962" w:rsidP="00AD5962">
          <w:pPr>
            <w:pStyle w:val="Type"/>
          </w:pPr>
          <w:bookmarkStart w:id="5" w:name="bmkNote"/>
          <w:bookmarkEnd w:id="4"/>
          <w:r w:rsidRPr="003D6C5B">
            <w:t>Notat</w:t>
          </w:r>
        </w:p>
      </w:tc>
    </w:tr>
  </w:tbl>
  <w:bookmarkEnd w:id="5"/>
  <w:p w:rsidR="00924C6C" w:rsidRPr="00AD5962" w:rsidRDefault="00AD5962" w:rsidP="00A42DEF">
    <w:pPr>
      <w:rPr>
        <w:sz w:val="28"/>
        <w:szCs w:val="28"/>
      </w:rPr>
    </w:pPr>
    <w:r>
      <w:rPr>
        <w:noProof/>
        <w:sz w:val="28"/>
        <w:szCs w:val="28"/>
      </w:rPr>
      <w:drawing>
        <wp:anchor distT="0" distB="0" distL="114300" distR="114300" simplePos="0" relativeHeight="251658240" behindDoc="1" locked="0" layoutInCell="1" allowOverlap="1">
          <wp:simplePos x="0" y="0"/>
          <wp:positionH relativeFrom="page">
            <wp:posOffset>431800</wp:posOffset>
          </wp:positionH>
          <wp:positionV relativeFrom="page">
            <wp:posOffset>359410</wp:posOffset>
          </wp:positionV>
          <wp:extent cx="685800" cy="828675"/>
          <wp:effectExtent l="0" t="0" r="0" b="9525"/>
          <wp:wrapNone/>
          <wp:docPr id="3" name="Billede 3"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5800" cy="82867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9D1" w:rsidRDefault="008919D1">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9D1" w:rsidRDefault="008919D1">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962" w:rsidRPr="00AD5962" w:rsidRDefault="00AD5962" w:rsidP="00A42DEF">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13FAF"/>
    <w:multiLevelType w:val="hybridMultilevel"/>
    <w:tmpl w:val="C13A63E2"/>
    <w:lvl w:ilvl="0" w:tplc="2D52F50A">
      <w:start w:val="1"/>
      <w:numFmt w:val="decimal"/>
      <w:pStyle w:val="Punk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5851746"/>
    <w:multiLevelType w:val="hybridMultilevel"/>
    <w:tmpl w:val="33E6491E"/>
    <w:lvl w:ilvl="0" w:tplc="04060001">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2" w15:restartNumberingAfterBreak="0">
    <w:nsid w:val="55F26BE8"/>
    <w:multiLevelType w:val="hybridMultilevel"/>
    <w:tmpl w:val="EEC6C7FE"/>
    <w:lvl w:ilvl="0" w:tplc="BCD8534E">
      <w:start w:val="1"/>
      <w:numFmt w:val="decimal"/>
      <w:lvlText w:val="%1."/>
      <w:lvlJc w:val="left"/>
      <w:pPr>
        <w:ind w:left="720" w:hanging="360"/>
      </w:pPr>
      <w:rPr>
        <w:rFonts w:hint="default"/>
      </w:rPr>
    </w:lvl>
    <w:lvl w:ilvl="1" w:tplc="6526FAC4">
      <w:start w:val="1"/>
      <w:numFmt w:val="lowerLetter"/>
      <w:lvlText w:val="%2."/>
      <w:lvlJc w:val="left"/>
      <w:pPr>
        <w:ind w:left="1440" w:hanging="360"/>
      </w:pPr>
      <w:rPr>
        <w:sz w:val="24"/>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1304"/>
  <w:hyphenationZone w:val="425"/>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_eDoc.dotm"/>
    <w:docVar w:name="CreatedWithDtVersion" w:val="2.4.014"/>
    <w:docVar w:name="DocumentCreated" w:val="DocumentCreated"/>
    <w:docVar w:name="DocumentCreatedOK" w:val="DocumentCreatedOK"/>
    <w:docVar w:name="DocumentInitialized" w:val="OK"/>
    <w:docVar w:name="DTInsertedLogoName" w:val="Picture 1"/>
    <w:docVar w:name="dtLanguage" w:val="da-DK"/>
    <w:docVar w:name="Encrypted_DialogFieldValue_caseno" w:val="cJej5p13jobxNTeFjMwpSQ=="/>
    <w:docVar w:name="Encrypted_DialogFieldValue_docheader" w:val="M7Wk68COTlhFuMxkl+F+BaMJJnCRIdGaf0K1dDJKNx+cnwNJPXql3cIXFSyfByaX"/>
    <w:docVar w:name="Encrypted_DialogFieldValue_documentdate" w:val="5rsxnafBseOl91X2gkdnLw=="/>
    <w:docVar w:name="Encrypted_DialogFieldValue_documentno" w:val="j+nW4UTcpu3hPLvnfHZoDw=="/>
    <w:docVar w:name="Encrypted_DialogFieldValue_senderaddress" w:val="iIwOVev6JEniIvcBr6hLtg=="/>
    <w:docVar w:name="Encrypted_DialogFieldValue_sendercenter" w:val="V9ag2ty/2lLjYOAyeH9UoOCwcnRg8mZu90MvcmsPxWw="/>
    <w:docVar w:name="Encrypted_DialogFieldValue_sendercity" w:val="B1NGpNEp3xZB3XkzYp9kPQ=="/>
    <w:docVar w:name="Encrypted_DialogFieldValue_senderean" w:val="k+bY+1GSgDZP+1ysn6oRng=="/>
    <w:docVar w:name="Encrypted_DialogFieldValue_senderemaildir" w:val="6lPVUn3YJ0lhImQfdjuQTQ=="/>
    <w:docVar w:name="Encrypted_DialogFieldValue_sendermanagement" w:val="R8ffIVg/5SO8M2ogIGPXUxiyRM6XMcbWuR8WOW9UBX4="/>
    <w:docVar w:name="Encrypted_DialogFieldValue_sendermobile" w:val="zt7YK7NpdL3mFl+znhIQTw=="/>
    <w:docVar w:name="Encrypted_DialogFieldValue_sendername" w:val="iCwbyZZRkBKXamfikHHbvg=="/>
    <w:docVar w:name="Encrypted_DialogFieldValue_senderposition" w:val="6dnFMesYPclE5k5kwy09anm9gXN4Mc/PvSauWLO2siI="/>
    <w:docVar w:name="Encrypted_DialogFieldValue_senderpostalcode" w:val="2ECnOTX9Le3HWKwqsoFHhw=="/>
    <w:docVar w:name="Encrypted_DialogFieldValue_senderpostbox" w:val="fZFQaGQfzx6VNTv4vcfZjg=="/>
    <w:docVar w:name="Encrypted_DialogFieldValue_senderunit" w:val="ASyq6JOVqECHzzPz/fxHr1rSyX699qlud6QUiHRqSyA="/>
    <w:docVar w:name="Encrypted_DocCaseNo" w:val="cJej5p13jobxNTeFjMwpSQ=="/>
    <w:docVar w:name="Encrypted_DocHeader" w:val="M7Wk68COTlhFuMxkl+F+BaMJJnCRIdGaf0K1dDJKNx+cnwNJPXql3cIXFSyfByaX"/>
    <w:docVar w:name="Encrypted_eDocDataCadastralNo" w:val="vj4euW7RqX8/r1NqB3lkkoNG5ErvsUzdVInpXmSFqUGp6yckNvuLmHKFu1+SQblRro4zj5DN/0OLiunA+Hdsvez8U8f4VdU4CqDVY8mSWXEBI5BtMqAsnugUcNfEHQZI1OkMzOftmSRunG9cWwUdMtobhH8tdnY56rSbpOvp7CHULMGwWp0s9zqjOMoNj38nbbK3fW+5xmA4nDHq2lSIR1o05tibYftJKAVWyKf9IA4XcFWP6tbAvbFbMHQuScWH7YTxTXzXqgPxDjz367So0FS0jEFxgu18AAoFbQ4IWPD5fTMA/2tNoxhke/LErHjceAYx57fHEpAH8c6Kqkb3YIZYnduRkCn34vaavJonPUw0jk1Z5Li139+piOnsVKuU"/>
    <w:docVar w:name="Encrypted_eDocDataDocCaseNo" w:val="vj4euW7RqX8/r1NqB3lkkoNG5ErvsUzdVInpXmSFqUHOK3AveyrItUh6cJkIuBmWOb3fTOEu4eGa7zh2WpTC2MovyZ4TycnVCDmqT7K63p7ek4zzkoxWAV1gRuayzJ8xHHIQ8Aywddh8xtE14vauQpho/Yz0ONjPuq3T31GsUel+A2wn/7iS6YiPoGy8mQoO9o0rv7KlSy7lrv43c3p8LqwlacTbavJZCsyIigeh82NhvQaJ8lk1CFnwi7GrcoJ6Ru7X80GjB8zOc+i2qrHdfcfSPyQgL8XxajT69IQ925oDL7wY2NFD7zyHCvXH7iAE/y4/WCrUi18GPmcNezcIZTXex56aKajOjyj7c8Knws4="/>
    <w:docVar w:name="Encrypted_eDocDataDocHeader" w:val="vj4euW7RqX8/r1NqB3lkkoNG5ErvsUzdVInpXmSFqUHetkJ/lDdoys9AGJ5ozQ9cwGBcss7DX4RlkR4vFDbUhUdHvoGwDiW+DeUjN7zCy/d4RXPIH3nAbr6o/HX6mQ/Tnpmca7Ibb2+lHHFEp6VDoCjTbA1zZKYx+hFSit4uwOrLhTMfMXDA9vtepmtJHAWf1aBu5KS9tci32gApx/ZCuuhgnSZg5+tSxjirZ13aRrGhact1/CNb716Z47DecZviWAWDS7sT1EPMTh4wLnocjeFvoINCpLctBjAx7h8S0KZpdEiC4Vuuw6ieH2ojr360vU0fSosA1arJlmDnlXTXEniQj+JIC2tHYAKWPee5ddDvqNMRGefpahvy88J4E5Pt"/>
    <w:docVar w:name="Encrypted_eDocDataDocNo" w:val="vj4euW7RqX8/r1NqB3lkkoNG5ErvsUzdVInpXmSFqUH0i/mWiUyCXKfJMi4ceDe1iOUya3Y344oR90OIdEKzCLlfnu89F6Z6V5Ggzg50LGOjrto5ZEA0tVgHQ4zE20maGb24dgAHprYOVfF697O35CXOuyG4PqKWUzcuo23jq2IQX9YjTaWwN51V7vI4E3BerWXiT/bYgsAXTudtKvfZvo2pByLg7c8anZxM/hDY+b4eH0wNUKJNZz9GpHn4KXblSs0SfvPAcmwZw5C5ffrCgbFktQmJY/dRq34X4dmCv6zwoJIQYSibBJ8g3eG7fL79Ry+OxGBJqtUBfyrokU1K0uU1ETU7EF93Ke76qQoZvVc="/>
    <w:docVar w:name="Encrypted_eDocDataDocumentCaseWorker" w:val="vj4euW7RqX8/r1NqB3lkkoNG5ErvsUzdVInpXmSFqUFy2jaAktRLQKHMwI0uzOZxs0NVBfw6cb3QoqwFkYOJJl4IEOiQJ2cf+Pwe77gg237s1pRqF+ceEzrds1zX2fLPW/4iJjve2BKu9orj2VpzsNypRKlm9NZblfuc5sT5hfET7zYjghNv/M3pOrP43sbgDZQ1HUnLSje3veHLRdGE8neZzWFnz4QSWjk8GiiLeXGgMOTWp3BO3d9fcerYhiJEZj6S1HLUM/ISuESqxbsFC3xbum03wcMyfai9lxGL4kzrFOH/Y5UuCGcyC+WeRXcfk6rKuLRl4Z8md+ckl+XvOdkv9s0HOlTVeypuIGhEYaw="/>
    <w:docVar w:name="Encrypted_eDocDataDocumentCreator" w:val="vj4euW7RqX8/r1NqB3lkkoNG5ErvsUzdVInpXmSFqUFy2jaAktRLQKHMwI0uzOZxs0NVBfw6cb3QoqwFkYOJJl4IEOiQJ2cf+Pwe77gg235WOVAzIOHHd619luSuTlpzvABIhqPLTo4xI1eR5WR7hmn/uS75tVfGkTOSbhNhZaP+JAH5kmIU99xIBpreaKo1CNXIIXogHv9Yz2RETyPv3aFbzk5JP9M80Fd2E+6nKA0VZ9Xkk4v2Rc+LP0nb91hWV7r2opQyZd2epCy2BBqt9g5kGqJoftfTA/qHwZ8L3RyM0A8r7oSgKSiHORY32bBOUsKc3sD6TVOBVbwwyP4UoS9lcfIAdotUz3itR9ocu7nFXJzhyk+W207Fzv8pAaUh"/>
    <w:docVar w:name="Encrypted_eDocDataDokumentetsModerprojektNavn" w:val="vj4euW7RqX8/r1NqB3lkkoNG5ErvsUzdVInpXmSFqUGp6yckNvuLmHKFu1+SQblRro4zj5DN/0OLiunA+Hdsvez8U8f4VdU4CqDVY8mSWXF9WB1/Xzj5G1e2KY1EXC9PJTUJIn178FwEbnrciz/NlHSl4eOCPIiMr0yGGHcw0CmruHdCWO9YOw9WYh2jParrxSpSUDyxojXnnfZEJJ+fGef2TyiqCYBsiFTB834Op/Y56HINOOtC3zTe89djyQMCC1dcKjcOKDC4Hege6PhhEskN3B3woU8AjZbn0CPbQ4kZyug5MjidKKOCXb7AzDdB50JqYemwvvsUH59PiEiGVcVCnd9/GTpViskqt26sRWI="/>
    <w:docVar w:name="Encrypted_eDocDataDokumentetsModerProjektNr" w:val="vj4euW7RqX8/r1NqB3lkkoNG5ErvsUzdVInpXmSFqUGp6yckNvuLmHKFu1+SQblRro4zj5DN/0OLiunA+Hdsvez8U8f4VdU4CqDVY8mSWXF9WB1/Xzj5G1e2KY1EXC9Py6+FgR3On9T1RYi+ZZWEzMuVFwZe7hScanaXvZ8Yp9tsY3K8mJiAdPw1UBSjo4NGRZ7xEgiU31iQoIYywBHwP6FBzuzd3hofx1Zvr77Z21dDVzzJ7MxwbgC56PLv8b2L5/xiws5jAbGCNgRRFFu4gfCEAbGMeT5GqbYjKnm3MXqPDrbBydBbGFiGdCIOD2e1mAFhyEwJ5R+7QK7HBrQEwJvuWX2AAxNaGsVAA1TDw1o="/>
    <w:docVar w:name="Encrypted_eDocDataDokumentetsProjektSagsbehandler" w:val="vj4euW7RqX8/r1NqB3lkkoNG5ErvsUzdVInpXmSFqUGp6yckNvuLmHKFu1+SQblRro4zj5DN/0OLiunA+Hdsvez8U8f4VdU4CqDVY8mSWXG5BPS4t5j6qkzCCd8ojR5ANhsp4aO++PLssUfBkQudSaTD3wR+nwUKZQYTI837V8SmA+IovS1JBcJTe/mA81hrqZcGHWryci/vDHtYyM6zgRYVue2LgGId9wGXBSWOZEEfp8RC3X/GbrmuRY/D8xUV4BhZcSKBBX6AYRZxWtz6vfIQJcPXXP71Vz0cn63ZHT1eOWjxDLtW7NhnX8M9P0jhGjaxIUCkBxuF+xX8auu9DopeeZfhWOvnLUprvt5CUEo="/>
    <w:docVar w:name="Encrypted_eDocDataDokumentetsProjektTitel" w:val="vj4euW7RqX8/r1NqB3lkkoNG5ErvsUzdVInpXmSFqUGp6yckNvuLmHKFu1+SQblRro4zj5DN/0OLiunA+Hdsvez8U8f4VdU4CqDVY8mSWXGfCkd+yppC1h5aIeIpE4lWA2DFmE9x4Pml620fYfsbnbs0f42fzBD17g2B86nr6Kp0kaHHTPnLZXF7Nv63PcUkDsQ3fngtJ4tqoP7tEiY392EL2Y6z2UOFKomJ+reqsVPjmkuZZoKDvzRy8J7YWyFJxsO7RdDOc1URzgLo9QVUCTxVNe2V1wl/gO9hNBzN3/0fqH0MV+QfZOsaOgm0qHHMhdeudo4cykqKorGlZoKlcCHItuqAufjxDPZK2IA3lHM="/>
    <w:docVar w:name="Encrypted_eDocDataProjectNo" w:val="vj4euW7RqX8/r1NqB3lkkoNG5ErvsUzdVInpXmSFqUGp6yckNvuLmHKFu1+SQblRro4zj5DN/0OLiunA+Hdsvez8U8f4VdU4CqDVY8mSWXFFVTovPiJEHqF5sMF2KoQLW3aZRPbGGge/4YnkelsYlAVslhR91PxhGM07qW2gBQ0dJx0qOd4G+Pj9viVGH2pjA8jyJWbD/rjdv6pDSIoTr+P+l01sV0L+IRNeQuT/dIFY/EAIcMiiWRfXW62zDbnXaVNSPlZYH9QU+4Dhq6hqVPs69Tj4QUxVS36EnQkJ4oeGya242GLBccZn5pdd4MJfQyCE3+oXlyPoMw3DBAfJPA=="/>
    <w:docVar w:name="Encrypted_eDocDataPropertyNo" w:val="vj4euW7RqX8/r1NqB3lkkoNG5ErvsUzdVInpXmSFqUGp6yckNvuLmHKFu1+SQblRro4zj5DN/0OLiunA+Hdsvez8U8f4VdU4CqDVY8mSWXEBI5BtMqAsnugUcNfEHQZIyaCm7btfxtgJIF1NbDAud3hgP2TEFNRUQgSg0T7TMMIfi/rgBrqqOr3HxGm9kz45eQeNsCw8EHVw/gwO7VsUx/X/2Ujn+OaiSnAS+joJbRiEmElFgxhcGcgpd+yRQkRS8HWxcR5Tmpb7HQkpVlgTV3g1UjHtKIPi7UKJdp24B7VJIX0Kl/dj//KJsNccP6voMRvDCp4RjtXo3IgGnqqcj4tc1Lpmgdcin20qtkYrQpBliHECJpI7KzNMYWiUe4Tf2C1f94cn4M6kLCmLXhZjEg=="/>
    <w:docVar w:name="Encrypted_eDocDataSagensKontaktAdresse" w:val="vj4euW7RqX8/r1NqB3lkkoNG5ErvsUzdVInpXmSFqUGp6yckNvuLmHKFu1+SQblRro4zj5DN/0OLiunA+Hdsvez8U8f4VdU4CqDVY8mSWXFACxjUXq9IJPJvxlo0nHtLIQJs6Rsi1g1wHpVTdDZfn/cU100Fha0B1+xC5V2dph89ve2d5oxKDaz0KGRBSXdgSQvF/HlvAnalRBQEwdENKenDgKePewN5K9FqB3H4Awg2+weh0oYlLlxAvDBdnab6ZJR5f/Pucy7gDMxG6BYjHI8O4lN6DsVWupU3opQEoBebTkN12Yov+tUqVjTcBpcc1df8V4Gq7csJU5YUFUtmzJJYZOutQF3eGoTBnKe68k8="/>
    <w:docVar w:name="Encrypted_eDocDataSagensKontaktBy" w:val="vj4euW7RqX8/r1NqB3lkkoNG5ErvsUzdVInpXmSFqUGp6yckNvuLmHKFu1+SQblRro4zj5DN/0OLiunA+Hdsvez8U8f4VdU4CqDVY8mSWXFACxjUXq9IJPJvxlo0nHtL+2hRdZNr3zQNe2NJy4/8hoUHxKq+sanYOtAxin4pTLuWSuRPhgR/P0QFc9Yv3LTGVb6zGkK32Pq0QU/g95Lxwpdgh8GMIf3BzvmW7y6aG+eV32RMZmsCtubTMVPysDDNfBqf6umwKHqvlJ464WXw0+6UioybEX547BlJK1iqvsxgix18++R9ORONnnAyki7LVMYxqvbBe/coiJgm9MhytOz5z0U0Fo6hlsyseVttd7s="/>
    <w:docVar w:name="Encrypted_eDocDataSagensKontaktCPR" w:val="vj4euW7RqX8/r1NqB3lkkoNG5ErvsUzdVInpXmSFqUGp6yckNvuLmHKFu1+SQblRro4zj5DN/0OLiunA+Hdsvez8U8f4VdU4CqDVY8mSWXFACxjUXq9IJPJvxlo0nHtL6nabY+z/8bvrcyjkjL5CXwKrUDGAlGQay5rv+q6fNQFf1NSeDU04+elwNEmrLyP9UHJXG+iw8UG4JPRp/t/YzNB+LJ9ClEiOo/SzJ+4DQrucbMGz8nu4qg+VEQH/VwKBaNzbxMnEEeksZj3T7ID7bUqB3bYSdj9SgocZp0a8sVLZSFOH6ANoC+C56c3Jxdy52b4yA1F8CuLB5tgoCPeigxAIzbeXmq9AAGSiyUYRjdjDP2gXVqhEWIqeWDyNKCjv"/>
    <w:docVar w:name="Encrypted_eDocDataSagensKontaktNavn" w:val="vj4euW7RqX8/r1NqB3lkkoNG5ErvsUzdVInpXmSFqUGp6yckNvuLmHKFu1+SQblRro4zj5DN/0OLiunA+Hdsvez8U8f4VdU4CqDVY8mSWXFACxjUXq9IJPJvxlo0nHtLc2OUaiVQOO2ETgO9GJDd0iXccFI9jUkClJQzOFaKn/1PGtNYk/M9FoP3x5z5abQhcMmzF/+h1zfjYZjJUpmWAarXzF7t1Pjt6a1daF/1v3NFvMS0dNs3udga6+ZtgDOF4mqYTozLIav+2XDhNHTeZxoFuuzuPc7So+gFKDsKyP9GdNKLzWfnLpfqDRmYdVkDyKwB+XvSEjOblzcnLL6y8avvLYGKuOo6SQKfqttBK2w="/>
    <w:docVar w:name="Encrypted_eDocDataSagensKontaktPostnr" w:val="vj4euW7RqX8/r1NqB3lkkoNG5ErvsUzdVInpXmSFqUGp6yckNvuLmHKFu1+SQblRro4zj5DN/0OLiunA+Hdsvez8U8f4VdU4CqDVY8mSWXFACxjUXq9IJPJvxlo0nHtLftXoEk18Sdb28amqRUprF4z2cJ/awSFn9AHBxqyLJFexCxsUyQz97YSHgP7sTK1s52N50jp/BV3AeTdL+OmgLljpBUahje09f/+Tmh5JMFtjvY+JghRsZBMVPrVCfkJSQJtcH119DVadyJeN3Io8Sq+kiFqMZdk4+b+QTnABlOaOi3kGqlQC0rJn9x3l8kMzZkeUgZAHOEkztTuULckpMBc6POACjTvzvdTAnyL6y0g="/>
    <w:docVar w:name="Encrypted_eDocDataSagensKontaktPostnrBy" w:val="vj4euW7RqX8/r1NqB3lkkoNG5ErvsUzdVInpXmSFqUGp6yckNvuLmHKFu1+SQblRro4zj5DN/0OLiunA+Hdsvez8U8f4VdU4CqDVY8mSWXFACxjUXq9IJPJvxlo0nHtLzsT0AdtM2uLOoOuaaynyVIwv6ZBfS+hGDfK5dJm7TXKmKuX0NdGVDFFCD8uEnScTwQ+O5MI47MNqKcextk26UwOUtlT/yxLhkBaAkS9+cWecSCpKUZ2wkX4OGgqzMbk+qeZszO7qvWmI1frOFM6PaGG+aMyUidM+L0TrJql5JYCFrWsqRwdkYtjLoX7ygiHCg23JdxRmP6bz/bWRL/LBEgAYE68R8bbZbunljpOIC5s="/>
    <w:docVar w:name="Encrypted_eDocDataSagensModerprojektNavn" w:val="vj4euW7RqX8/r1NqB3lkkoNG5ErvsUzdVInpXmSFqUGp6yckNvuLmHKFu1+SQblRro4zj5DN/0OLiunA+Hdsvez8U8f4VdU4CqDVY8mSWXFvZVZtbBGAb/IKtLB8Jr4CDxWLzqTHRLiha6RufXadcuEWOJoOueWFYzsk8xMO8uQJWdLGp2rjH6aBSHjhY9vyE/wWtaDJb4uiiJB3N6R3WpG0PrcV7+2ofJDEeDjHNTFp8yW6M9sMFG7FYVU/Ls9Bk2ChhmK4U+Vns5jPtV8VvIvTdv/NkrpKl+nI7ovnojmDQaWdylDhrDhyDFzu8jCWrrweA2mYQs2XRId7i6nc69UCQZdYZfai93jlcbdeOow="/>
    <w:docVar w:name="Encrypted_eDocDataSagensModerprojektNr" w:val="vj4euW7RqX8/r1NqB3lkkoNG5ErvsUzdVInpXmSFqUGp6yckNvuLmHKFu1+SQblRro4zj5DN/0OLiunA+Hdsvez8U8f4VdU4CqDVY8mSWXFvZVZtbBGAb/IKtLB8Jr4CdEw/8jBAFakNx3Elve6zk8YasMVbk180UENItFQ7CJv45A/jIrL22hyF06oBXgTGxoelumD0lKwxgEa3R3Z5qhWAJ3O65kbvducmEicwJ0X2ohavWzwQ2N8623hPfG90ZkooJshYeoPdHUbotX6HQbTDkjk98/XSOwkAwVbSOIDOF6F39F03IuRIwGVEDNCzXE+h89X9ag6gSDMRJl4FhVfzm3HkvgVUZzyYCc5YrLw="/>
    <w:docVar w:name="Encrypted_eDocDataSagensProjektnummer" w:val="vj4euW7RqX8/r1NqB3lkkoNG5ErvsUzdVInpXmSFqUGp6yckNvuLmHKFu1+SQblRro4zj5DN/0OLiunA+Hdsvez8U8f4VdU4CqDVY8mSWXFvZVZtbBGAb/IKtLB8Jr4CMMBaMtBywMwVq1l+OurM9PpvOsFCy0Mi3CD1dV3nIK/PZBjVAHTiWNpLk/Czg8PQxI4g13OrOwttJdNkqTu66DGzd7z/gv3z1j3dW223NH5VjRD5ItjHrJRw7q7Uvtp+bokwcvOQ2A2owO3qkGoLueH/45InEMGDtzES1PpcVa+5Cw9l0yYoKW5M3bVJxRotUi/kCIHD4dmvC04nhAiJRgJ/eoQrezu8LuyAIK71TnA="/>
    <w:docVar w:name="Encrypted_eDocDataSagensProjektSagsbehandler" w:val="vj4euW7RqX8/r1NqB3lkkoNG5ErvsUzdVInpXmSFqUGp6yckNvuLmHKFu1+SQblRro4zj5DN/0OLiunA+Hdsvez8U8f4VdU4CqDVY8mSWXFvZVZtbBGAb/IKtLB8Jr4C2dAEwcSn7BWfof8IW7+ONuKuifbolm52a5nMlaT3UBiDnjth7TSgZnUBxYuKubilHltlgE5eJnHN8LWssbXL4LJ5QPU8Qx0ozRQL0e1ivNn9X/z4y7MzP50vZRSaKkoHNlw3j1DUGEL/fvKQib4IjVk9uKClUByGxSlfA5ENZOyXEEX0EwWzYEcFGhaO/Ba1rd+Gk54JEdVuoumkwQWaTWwxDbEUOe7hFyavo2kI8ac="/>
    <w:docVar w:name="Encrypted_eDocDataSagensProjektTitel" w:val="vj4euW7RqX8/r1NqB3lkkoNG5ErvsUzdVInpXmSFqUGp6yckNvuLmHKFu1+SQblRro4zj5DN/0OLiunA+Hdsvez8U8f4VdU4CqDVY8mSWXFvZVZtbBGAb/IKtLB8Jr4CO7DmI+Z31ohKdacC+6jjesa37mSh7r9gD+MQ6n3o18ND+5rVOguj2y6VY+e8fMGFxPZrJRzfpXlYhCknACRXBkW+vV7u4EUvVv97OjPU1oB70BEBipzc8uIebo8qk5dC/msGxYNCldqPJHmDvor+Agz9mwtw1JHjdgY0kBsEdWC4BNueLgH0/8Quttznz7lRc+n6ElPaHdbcp8wlVsq7mA1TCQNrD+yl9ZhZzuiAqUE="/>
    <w:docVar w:name="Encrypted_eDocDataSagenssagsbehandler" w:val="vj4euW7RqX8/r1NqB3lkkoNG5ErvsUzdVInpXmSFqUFy2jaAktRLQKHMwI0uzOZxs0NVBfw6cb3QoqwFkYOJJl4IEOiQJ2cf+Pwe77gg235WOVAzIOHHd619luSuTlpzm27oscVE3+N/34e7bxTLqy/2ycNg9IvVC1ldQ1HlA4fVthNcKPsZGUYXrTdpjbSQfug8Dey/6L5eYSQUNIpXwith5uMJtaqRc+kkLhZIoLEechZLz4v3l+LBriQeXyCh+ZAYpjHlrVUkUqBoZahSuXsJvxEbZ7iFBrYEP4PcRqtTaGK5wbAD+zS5zBmf8JR5D5c+hOsoixq9dW2ad4rJGDpOMmq4Av8dLhuCqdIUfXs="/>
    <w:docVar w:name="Encrypted_eDocDataSagensTitel" w:val="vj4euW7RqX8/r1NqB3lkkoNG5ErvsUzdVInpXmSFqUFw0+uYHI5IuL4FNk+iEo/7W7MLyPl7XFcdEpiWmEJieAwn0xUTK28onMd62bpv89d3UEeSQYfVU8S2mRiA177/sgbXiyD2RIpHMlL3wR2GFhmfGQcKvaOIX1rsEUhspN8pb4joFNMUf1RhITULshFWXM+CWrF7X3Ulz4Lu6IYbVcUCgkr1obtuTSFGbLSslzmaIFtva2YSSMxxX9cmUYVCoqCm9/3GPs4slzOWYjItPBF0dMbIgVqSD8qBPaOd339pcroToVBJvHedu+omGV1Qx4TCxZmDcVWl7Mtu3/YJsBibgsLkp8aq9AzOSRfusAYDzZA+MpsGEx+MhMdfr9sMYkjkvmtJDYjuI3fUp8aDt9gc4yUIykYm1H3g9oOH5AbRlf+xJ/5whXMTJNPdxd19CFjD9K5SvIpEmpz/8sN2rQ=="/>
    <w:docVar w:name="Encrypted_eDocDataSagsopretter" w:val="vj4euW7RqX8/r1NqB3lkkoNG5ErvsUzdVInpXmSFqUGmTKf12TIqZbPih2QUOYJqdl0bSY53pFUXeD2OQsLyiKVMf8SGj0k/pMPxauyamIYHUZLmKjxM4fXme8FnD+Rn0vOmaAJX6LVrYNJ6Owi/p9ZkrMiqULhdDkUH1HJcTKVb1RmrWetXBleqRkg0Osr6KOQWs3LG/N3ZH/a4f88V6WBh/Lqa6KnXv3KENxDqJtbpQPwnxzGrZh6gk3O7V/hP3ddoPuww9NCoZc+AETzN+JRn2HkRCrSlR46vTr33dZgyFAE4J+La7pldaHAt3eo4h43NrnoLODbr5FredmOG21dIxUY/HRBCJpZcW4VNY4jDE9ndPxeDOrgXkRouGphbV70EM74Kqyqbh68LAg3LeA=="/>
    <w:docVar w:name="Encrypted_IsEDocMergeDocument" w:val="jdVW2FK8uI0YHzTHPTEY1w=="/>
    <w:docVar w:name="IntegrationType" w:val="EDocMerge"/>
  </w:docVars>
  <w:rsids>
    <w:rsidRoot w:val="00EA25C3"/>
    <w:rsid w:val="00004AA3"/>
    <w:rsid w:val="00012ECB"/>
    <w:rsid w:val="00013EA4"/>
    <w:rsid w:val="00014751"/>
    <w:rsid w:val="00014A0A"/>
    <w:rsid w:val="00023F51"/>
    <w:rsid w:val="00027C81"/>
    <w:rsid w:val="000304AC"/>
    <w:rsid w:val="00033891"/>
    <w:rsid w:val="00035465"/>
    <w:rsid w:val="0004385B"/>
    <w:rsid w:val="0004516D"/>
    <w:rsid w:val="00053DF0"/>
    <w:rsid w:val="0006150E"/>
    <w:rsid w:val="00067F4E"/>
    <w:rsid w:val="00083C31"/>
    <w:rsid w:val="00084FB3"/>
    <w:rsid w:val="000900FD"/>
    <w:rsid w:val="00094B58"/>
    <w:rsid w:val="00097FC7"/>
    <w:rsid w:val="000A06BE"/>
    <w:rsid w:val="000A0A49"/>
    <w:rsid w:val="000A37B0"/>
    <w:rsid w:val="000A3E38"/>
    <w:rsid w:val="000A70B5"/>
    <w:rsid w:val="000C2392"/>
    <w:rsid w:val="000C565C"/>
    <w:rsid w:val="000C5D00"/>
    <w:rsid w:val="000D05A2"/>
    <w:rsid w:val="000D0A4A"/>
    <w:rsid w:val="000D115A"/>
    <w:rsid w:val="000D37E5"/>
    <w:rsid w:val="000F1D4D"/>
    <w:rsid w:val="000F7F64"/>
    <w:rsid w:val="001018AE"/>
    <w:rsid w:val="001025F1"/>
    <w:rsid w:val="00111B40"/>
    <w:rsid w:val="00122947"/>
    <w:rsid w:val="00127F2E"/>
    <w:rsid w:val="00130DA6"/>
    <w:rsid w:val="00132880"/>
    <w:rsid w:val="00140279"/>
    <w:rsid w:val="001467C7"/>
    <w:rsid w:val="00157883"/>
    <w:rsid w:val="00162522"/>
    <w:rsid w:val="001658C9"/>
    <w:rsid w:val="00174155"/>
    <w:rsid w:val="001801C9"/>
    <w:rsid w:val="00180324"/>
    <w:rsid w:val="001940DA"/>
    <w:rsid w:val="001952BE"/>
    <w:rsid w:val="00197BA9"/>
    <w:rsid w:val="001A2DCF"/>
    <w:rsid w:val="001A5E82"/>
    <w:rsid w:val="001C1494"/>
    <w:rsid w:val="001C5C28"/>
    <w:rsid w:val="001C752F"/>
    <w:rsid w:val="001D5F6D"/>
    <w:rsid w:val="001F1102"/>
    <w:rsid w:val="001F1D4F"/>
    <w:rsid w:val="001F2CC6"/>
    <w:rsid w:val="001F4D08"/>
    <w:rsid w:val="002038F3"/>
    <w:rsid w:val="00213029"/>
    <w:rsid w:val="00216319"/>
    <w:rsid w:val="00216866"/>
    <w:rsid w:val="00217239"/>
    <w:rsid w:val="0023418B"/>
    <w:rsid w:val="00242B2A"/>
    <w:rsid w:val="00243E8D"/>
    <w:rsid w:val="002446B8"/>
    <w:rsid w:val="00247E20"/>
    <w:rsid w:val="00250E2D"/>
    <w:rsid w:val="00253E7A"/>
    <w:rsid w:val="0025606C"/>
    <w:rsid w:val="002672B5"/>
    <w:rsid w:val="002867D6"/>
    <w:rsid w:val="00286C88"/>
    <w:rsid w:val="00287F78"/>
    <w:rsid w:val="00291C7F"/>
    <w:rsid w:val="00291EE1"/>
    <w:rsid w:val="00293628"/>
    <w:rsid w:val="002A6120"/>
    <w:rsid w:val="002B099A"/>
    <w:rsid w:val="002B5410"/>
    <w:rsid w:val="002B65D2"/>
    <w:rsid w:val="002C14DA"/>
    <w:rsid w:val="002C5EC3"/>
    <w:rsid w:val="002D4AEF"/>
    <w:rsid w:val="00300B16"/>
    <w:rsid w:val="00304EA2"/>
    <w:rsid w:val="00310F3F"/>
    <w:rsid w:val="003224BD"/>
    <w:rsid w:val="00332004"/>
    <w:rsid w:val="00332DD4"/>
    <w:rsid w:val="00342ADF"/>
    <w:rsid w:val="00357F5B"/>
    <w:rsid w:val="00375AA8"/>
    <w:rsid w:val="00380D5E"/>
    <w:rsid w:val="00383D23"/>
    <w:rsid w:val="00384425"/>
    <w:rsid w:val="00397E5F"/>
    <w:rsid w:val="003A60E3"/>
    <w:rsid w:val="003B0EDE"/>
    <w:rsid w:val="003B48C5"/>
    <w:rsid w:val="003C052E"/>
    <w:rsid w:val="003C05B9"/>
    <w:rsid w:val="003C17C4"/>
    <w:rsid w:val="003D09DF"/>
    <w:rsid w:val="003D105A"/>
    <w:rsid w:val="003D1DA8"/>
    <w:rsid w:val="003D3E52"/>
    <w:rsid w:val="003D6C5B"/>
    <w:rsid w:val="003E0167"/>
    <w:rsid w:val="003E38B9"/>
    <w:rsid w:val="003F19EB"/>
    <w:rsid w:val="003F5357"/>
    <w:rsid w:val="003F537D"/>
    <w:rsid w:val="003F715A"/>
    <w:rsid w:val="0040143E"/>
    <w:rsid w:val="004022F2"/>
    <w:rsid w:val="00411EF9"/>
    <w:rsid w:val="0041231D"/>
    <w:rsid w:val="004127DF"/>
    <w:rsid w:val="0043019D"/>
    <w:rsid w:val="00443032"/>
    <w:rsid w:val="00447B60"/>
    <w:rsid w:val="00451C3C"/>
    <w:rsid w:val="00453D00"/>
    <w:rsid w:val="004604BD"/>
    <w:rsid w:val="0047573F"/>
    <w:rsid w:val="00476531"/>
    <w:rsid w:val="00477464"/>
    <w:rsid w:val="004800F3"/>
    <w:rsid w:val="004827CC"/>
    <w:rsid w:val="00487831"/>
    <w:rsid w:val="00493743"/>
    <w:rsid w:val="00495ED9"/>
    <w:rsid w:val="00496DDF"/>
    <w:rsid w:val="004A42F9"/>
    <w:rsid w:val="004A5B98"/>
    <w:rsid w:val="004A6D41"/>
    <w:rsid w:val="004C2138"/>
    <w:rsid w:val="004C4C8C"/>
    <w:rsid w:val="004D48EE"/>
    <w:rsid w:val="004E2842"/>
    <w:rsid w:val="004E5DBD"/>
    <w:rsid w:val="004E5DE9"/>
    <w:rsid w:val="004F092D"/>
    <w:rsid w:val="004F4A36"/>
    <w:rsid w:val="005014E0"/>
    <w:rsid w:val="00504602"/>
    <w:rsid w:val="00514D0A"/>
    <w:rsid w:val="0051714E"/>
    <w:rsid w:val="00522FFD"/>
    <w:rsid w:val="005236BD"/>
    <w:rsid w:val="00525731"/>
    <w:rsid w:val="00531AEA"/>
    <w:rsid w:val="005501AF"/>
    <w:rsid w:val="00560D60"/>
    <w:rsid w:val="005624D9"/>
    <w:rsid w:val="00566D20"/>
    <w:rsid w:val="00567142"/>
    <w:rsid w:val="005718E9"/>
    <w:rsid w:val="0057641D"/>
    <w:rsid w:val="00580653"/>
    <w:rsid w:val="0058356B"/>
    <w:rsid w:val="00592941"/>
    <w:rsid w:val="00593890"/>
    <w:rsid w:val="00595613"/>
    <w:rsid w:val="005A3369"/>
    <w:rsid w:val="005A33F5"/>
    <w:rsid w:val="005A4D25"/>
    <w:rsid w:val="005C2D0A"/>
    <w:rsid w:val="005C34E9"/>
    <w:rsid w:val="005C531F"/>
    <w:rsid w:val="005C732F"/>
    <w:rsid w:val="005D4994"/>
    <w:rsid w:val="005D7E74"/>
    <w:rsid w:val="005E15B4"/>
    <w:rsid w:val="005F39B3"/>
    <w:rsid w:val="005F65B8"/>
    <w:rsid w:val="00602E62"/>
    <w:rsid w:val="006322BD"/>
    <w:rsid w:val="006405D5"/>
    <w:rsid w:val="0064400D"/>
    <w:rsid w:val="00646B17"/>
    <w:rsid w:val="006561A5"/>
    <w:rsid w:val="00656ABA"/>
    <w:rsid w:val="00656D73"/>
    <w:rsid w:val="00660155"/>
    <w:rsid w:val="00664151"/>
    <w:rsid w:val="00666516"/>
    <w:rsid w:val="00673934"/>
    <w:rsid w:val="00690D94"/>
    <w:rsid w:val="0069283A"/>
    <w:rsid w:val="00693091"/>
    <w:rsid w:val="006A409C"/>
    <w:rsid w:val="006B402E"/>
    <w:rsid w:val="006B6486"/>
    <w:rsid w:val="006B688F"/>
    <w:rsid w:val="006C2796"/>
    <w:rsid w:val="006C419A"/>
    <w:rsid w:val="006D0AC0"/>
    <w:rsid w:val="006D4B69"/>
    <w:rsid w:val="006E0998"/>
    <w:rsid w:val="006E2D6A"/>
    <w:rsid w:val="006E6646"/>
    <w:rsid w:val="006F37C6"/>
    <w:rsid w:val="006F45F9"/>
    <w:rsid w:val="00703EB1"/>
    <w:rsid w:val="00707373"/>
    <w:rsid w:val="007104C2"/>
    <w:rsid w:val="007207EC"/>
    <w:rsid w:val="00730291"/>
    <w:rsid w:val="00730F03"/>
    <w:rsid w:val="007310CC"/>
    <w:rsid w:val="00742180"/>
    <w:rsid w:val="0074345F"/>
    <w:rsid w:val="00750A92"/>
    <w:rsid w:val="00756295"/>
    <w:rsid w:val="00773DE8"/>
    <w:rsid w:val="0078196C"/>
    <w:rsid w:val="00782332"/>
    <w:rsid w:val="007831CC"/>
    <w:rsid w:val="00783689"/>
    <w:rsid w:val="00792C3E"/>
    <w:rsid w:val="00792D2E"/>
    <w:rsid w:val="0079604F"/>
    <w:rsid w:val="00796525"/>
    <w:rsid w:val="007A2DBD"/>
    <w:rsid w:val="007A55E2"/>
    <w:rsid w:val="007B0CF0"/>
    <w:rsid w:val="007B0F2E"/>
    <w:rsid w:val="007C52A5"/>
    <w:rsid w:val="007C5B2F"/>
    <w:rsid w:val="007D3337"/>
    <w:rsid w:val="007D6808"/>
    <w:rsid w:val="007D707C"/>
    <w:rsid w:val="007E1890"/>
    <w:rsid w:val="007E754C"/>
    <w:rsid w:val="007E7651"/>
    <w:rsid w:val="007F1419"/>
    <w:rsid w:val="0081117C"/>
    <w:rsid w:val="00815109"/>
    <w:rsid w:val="00821191"/>
    <w:rsid w:val="00823698"/>
    <w:rsid w:val="00825B60"/>
    <w:rsid w:val="00832B91"/>
    <w:rsid w:val="00832C57"/>
    <w:rsid w:val="008330EB"/>
    <w:rsid w:val="008427D7"/>
    <w:rsid w:val="008455D8"/>
    <w:rsid w:val="00845A45"/>
    <w:rsid w:val="008509C5"/>
    <w:rsid w:val="00854CC5"/>
    <w:rsid w:val="00863BBB"/>
    <w:rsid w:val="00866B5F"/>
    <w:rsid w:val="00873729"/>
    <w:rsid w:val="0087665F"/>
    <w:rsid w:val="00877DA0"/>
    <w:rsid w:val="00884211"/>
    <w:rsid w:val="008874A9"/>
    <w:rsid w:val="008919D1"/>
    <w:rsid w:val="00893AED"/>
    <w:rsid w:val="00893D9C"/>
    <w:rsid w:val="008B07F5"/>
    <w:rsid w:val="008B172A"/>
    <w:rsid w:val="008B2178"/>
    <w:rsid w:val="008B2870"/>
    <w:rsid w:val="008B5CF0"/>
    <w:rsid w:val="008B7ADD"/>
    <w:rsid w:val="008C4161"/>
    <w:rsid w:val="008C50B4"/>
    <w:rsid w:val="008C633B"/>
    <w:rsid w:val="008E331C"/>
    <w:rsid w:val="008E3752"/>
    <w:rsid w:val="008E5BDF"/>
    <w:rsid w:val="008E722E"/>
    <w:rsid w:val="008F3609"/>
    <w:rsid w:val="00903D1F"/>
    <w:rsid w:val="00907C3D"/>
    <w:rsid w:val="009102CF"/>
    <w:rsid w:val="00911B8E"/>
    <w:rsid w:val="00914702"/>
    <w:rsid w:val="00917A37"/>
    <w:rsid w:val="00924C6C"/>
    <w:rsid w:val="0093285E"/>
    <w:rsid w:val="00956A0F"/>
    <w:rsid w:val="00957C13"/>
    <w:rsid w:val="00970035"/>
    <w:rsid w:val="00971D62"/>
    <w:rsid w:val="0098124D"/>
    <w:rsid w:val="009846F6"/>
    <w:rsid w:val="009966DB"/>
    <w:rsid w:val="009A1DB2"/>
    <w:rsid w:val="009A3468"/>
    <w:rsid w:val="009A7D6A"/>
    <w:rsid w:val="009B0B7F"/>
    <w:rsid w:val="009E7976"/>
    <w:rsid w:val="009F30A9"/>
    <w:rsid w:val="009F706D"/>
    <w:rsid w:val="009F7E34"/>
    <w:rsid w:val="00A067A9"/>
    <w:rsid w:val="00A07096"/>
    <w:rsid w:val="00A12CBD"/>
    <w:rsid w:val="00A33726"/>
    <w:rsid w:val="00A34A66"/>
    <w:rsid w:val="00A42DEF"/>
    <w:rsid w:val="00A51B11"/>
    <w:rsid w:val="00A67E89"/>
    <w:rsid w:val="00A70A3D"/>
    <w:rsid w:val="00A7317F"/>
    <w:rsid w:val="00A7343B"/>
    <w:rsid w:val="00A73931"/>
    <w:rsid w:val="00A90874"/>
    <w:rsid w:val="00AB09BE"/>
    <w:rsid w:val="00AB0A0E"/>
    <w:rsid w:val="00AB6EFD"/>
    <w:rsid w:val="00AD5962"/>
    <w:rsid w:val="00AE6829"/>
    <w:rsid w:val="00AF1959"/>
    <w:rsid w:val="00AF5083"/>
    <w:rsid w:val="00AF7275"/>
    <w:rsid w:val="00AF759D"/>
    <w:rsid w:val="00B12BF4"/>
    <w:rsid w:val="00B22DE9"/>
    <w:rsid w:val="00B31A7D"/>
    <w:rsid w:val="00B41D79"/>
    <w:rsid w:val="00B43CCF"/>
    <w:rsid w:val="00B46199"/>
    <w:rsid w:val="00B56394"/>
    <w:rsid w:val="00B6351E"/>
    <w:rsid w:val="00B67090"/>
    <w:rsid w:val="00B74A35"/>
    <w:rsid w:val="00B910BE"/>
    <w:rsid w:val="00B939A6"/>
    <w:rsid w:val="00BA155F"/>
    <w:rsid w:val="00BA276B"/>
    <w:rsid w:val="00BA2982"/>
    <w:rsid w:val="00BB3523"/>
    <w:rsid w:val="00BC43BE"/>
    <w:rsid w:val="00BC7669"/>
    <w:rsid w:val="00BD0C4F"/>
    <w:rsid w:val="00BD5E81"/>
    <w:rsid w:val="00BE142E"/>
    <w:rsid w:val="00BF2644"/>
    <w:rsid w:val="00BF755E"/>
    <w:rsid w:val="00BF7B62"/>
    <w:rsid w:val="00C0544A"/>
    <w:rsid w:val="00C144E2"/>
    <w:rsid w:val="00C1782E"/>
    <w:rsid w:val="00C211A8"/>
    <w:rsid w:val="00C42FEA"/>
    <w:rsid w:val="00C4515C"/>
    <w:rsid w:val="00C546F2"/>
    <w:rsid w:val="00C60188"/>
    <w:rsid w:val="00C63D74"/>
    <w:rsid w:val="00C7330F"/>
    <w:rsid w:val="00C73429"/>
    <w:rsid w:val="00C75A4D"/>
    <w:rsid w:val="00C8131A"/>
    <w:rsid w:val="00C84BA1"/>
    <w:rsid w:val="00C85661"/>
    <w:rsid w:val="00C8639D"/>
    <w:rsid w:val="00C906E0"/>
    <w:rsid w:val="00C960A4"/>
    <w:rsid w:val="00CA0CA3"/>
    <w:rsid w:val="00CA23B0"/>
    <w:rsid w:val="00CB12C9"/>
    <w:rsid w:val="00CB49B2"/>
    <w:rsid w:val="00CD4A42"/>
    <w:rsid w:val="00CE3AE5"/>
    <w:rsid w:val="00CE4C0D"/>
    <w:rsid w:val="00CF5F41"/>
    <w:rsid w:val="00CF7495"/>
    <w:rsid w:val="00D01345"/>
    <w:rsid w:val="00D05E1B"/>
    <w:rsid w:val="00D07962"/>
    <w:rsid w:val="00D102D5"/>
    <w:rsid w:val="00D16CEF"/>
    <w:rsid w:val="00D20371"/>
    <w:rsid w:val="00D2165B"/>
    <w:rsid w:val="00D23A1D"/>
    <w:rsid w:val="00D243C8"/>
    <w:rsid w:val="00D40F2E"/>
    <w:rsid w:val="00D43C5C"/>
    <w:rsid w:val="00D54556"/>
    <w:rsid w:val="00D57199"/>
    <w:rsid w:val="00D61AFD"/>
    <w:rsid w:val="00D67655"/>
    <w:rsid w:val="00D73D38"/>
    <w:rsid w:val="00D83BD8"/>
    <w:rsid w:val="00D86914"/>
    <w:rsid w:val="00D95705"/>
    <w:rsid w:val="00DA0035"/>
    <w:rsid w:val="00DA40CD"/>
    <w:rsid w:val="00DB5158"/>
    <w:rsid w:val="00DB5F04"/>
    <w:rsid w:val="00DC4D03"/>
    <w:rsid w:val="00DD2A1F"/>
    <w:rsid w:val="00DD5282"/>
    <w:rsid w:val="00DF267A"/>
    <w:rsid w:val="00DF33AA"/>
    <w:rsid w:val="00DF3762"/>
    <w:rsid w:val="00DF4BD1"/>
    <w:rsid w:val="00E05621"/>
    <w:rsid w:val="00E11D29"/>
    <w:rsid w:val="00E12BFC"/>
    <w:rsid w:val="00E14827"/>
    <w:rsid w:val="00E17527"/>
    <w:rsid w:val="00E217A4"/>
    <w:rsid w:val="00E230EC"/>
    <w:rsid w:val="00E244B6"/>
    <w:rsid w:val="00E2758E"/>
    <w:rsid w:val="00E32BF5"/>
    <w:rsid w:val="00E343EE"/>
    <w:rsid w:val="00E358F4"/>
    <w:rsid w:val="00E428F9"/>
    <w:rsid w:val="00E52AC9"/>
    <w:rsid w:val="00E52DE3"/>
    <w:rsid w:val="00E55974"/>
    <w:rsid w:val="00E6066F"/>
    <w:rsid w:val="00E629F0"/>
    <w:rsid w:val="00E63439"/>
    <w:rsid w:val="00E72713"/>
    <w:rsid w:val="00E73517"/>
    <w:rsid w:val="00E74238"/>
    <w:rsid w:val="00E769ED"/>
    <w:rsid w:val="00E77288"/>
    <w:rsid w:val="00E77668"/>
    <w:rsid w:val="00E819F5"/>
    <w:rsid w:val="00E81F7B"/>
    <w:rsid w:val="00E853B9"/>
    <w:rsid w:val="00E9010C"/>
    <w:rsid w:val="00E93AEB"/>
    <w:rsid w:val="00E9669B"/>
    <w:rsid w:val="00E96AFA"/>
    <w:rsid w:val="00EA25C3"/>
    <w:rsid w:val="00EB4CD5"/>
    <w:rsid w:val="00EC73BC"/>
    <w:rsid w:val="00EC7E98"/>
    <w:rsid w:val="00EE4F47"/>
    <w:rsid w:val="00EE4FBC"/>
    <w:rsid w:val="00EF25AD"/>
    <w:rsid w:val="00EF2EE1"/>
    <w:rsid w:val="00F01536"/>
    <w:rsid w:val="00F0569C"/>
    <w:rsid w:val="00F07DBF"/>
    <w:rsid w:val="00F10529"/>
    <w:rsid w:val="00F15084"/>
    <w:rsid w:val="00F21587"/>
    <w:rsid w:val="00F23EEC"/>
    <w:rsid w:val="00F26443"/>
    <w:rsid w:val="00F33B9B"/>
    <w:rsid w:val="00F33C69"/>
    <w:rsid w:val="00F33D96"/>
    <w:rsid w:val="00F36C24"/>
    <w:rsid w:val="00F4361E"/>
    <w:rsid w:val="00F45E7C"/>
    <w:rsid w:val="00F4771A"/>
    <w:rsid w:val="00F5022A"/>
    <w:rsid w:val="00F6742F"/>
    <w:rsid w:val="00F7381A"/>
    <w:rsid w:val="00F75B9E"/>
    <w:rsid w:val="00F805E0"/>
    <w:rsid w:val="00F814DE"/>
    <w:rsid w:val="00F818C8"/>
    <w:rsid w:val="00F84332"/>
    <w:rsid w:val="00F905DA"/>
    <w:rsid w:val="00F95995"/>
    <w:rsid w:val="00F97277"/>
    <w:rsid w:val="00FA02B6"/>
    <w:rsid w:val="00FA7CCD"/>
    <w:rsid w:val="00FB0C95"/>
    <w:rsid w:val="00FC5B74"/>
    <w:rsid w:val="00FD3564"/>
    <w:rsid w:val="00FD379F"/>
    <w:rsid w:val="00FD48FE"/>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5:docId w15:val="{FC7CE942-70AC-4E51-951A-ED916703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51E"/>
    <w:pPr>
      <w:spacing w:after="0" w:line="260" w:lineRule="atLeast"/>
    </w:pPr>
    <w:rPr>
      <w:rFonts w:ascii="Times New Roman" w:hAnsi="Times New Roman"/>
      <w:sz w:val="24"/>
    </w:rPr>
  </w:style>
  <w:style w:type="paragraph" w:styleId="Overskrift1">
    <w:name w:val="heading 1"/>
    <w:basedOn w:val="Normal"/>
    <w:next w:val="Normal"/>
    <w:link w:val="Overskrift1Tegn"/>
    <w:uiPriority w:val="9"/>
    <w:qFormat/>
    <w:rsid w:val="00907C3D"/>
    <w:pPr>
      <w:spacing w:after="300"/>
      <w:outlineLvl w:val="0"/>
    </w:pPr>
    <w:rPr>
      <w:b/>
    </w:rPr>
  </w:style>
  <w:style w:type="paragraph" w:styleId="Overskrift2">
    <w:name w:val="heading 2"/>
    <w:basedOn w:val="Normal"/>
    <w:next w:val="Normal"/>
    <w:link w:val="Overskrift2Tegn"/>
    <w:uiPriority w:val="9"/>
    <w:semiHidden/>
    <w:unhideWhenUsed/>
    <w:rsid w:val="009F30A9"/>
    <w:pPr>
      <w:keepNext/>
      <w:keepLines/>
      <w:spacing w:after="200" w:line="240" w:lineRule="auto"/>
      <w:outlineLvl w:val="1"/>
    </w:pPr>
    <w:rPr>
      <w:rFonts w:eastAsiaTheme="majorEastAsia" w:cstheme="majorBidi"/>
      <w:bCs/>
      <w:szCs w:val="26"/>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907C3D"/>
    <w:rPr>
      <w:rFonts w:ascii="Times New Roman" w:hAnsi="Times New Roman"/>
      <w:b/>
      <w:sz w:val="24"/>
    </w:rPr>
  </w:style>
  <w:style w:type="character" w:customStyle="1" w:styleId="Overskrift2Tegn">
    <w:name w:val="Overskrift 2 Tegn"/>
    <w:basedOn w:val="Standardskrifttypeiafsnit"/>
    <w:link w:val="Overskrift2"/>
    <w:uiPriority w:val="9"/>
    <w:semiHidden/>
    <w:rsid w:val="009F30A9"/>
    <w:rPr>
      <w:rFonts w:ascii="Georgia" w:eastAsiaTheme="majorEastAsia" w:hAnsi="Georgia" w:cstheme="majorBidi"/>
      <w:bCs/>
      <w:sz w:val="20"/>
      <w:szCs w:val="26"/>
      <w:u w:val="single"/>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efault">
    <w:name w:val="Default"/>
    <w:rsid w:val="00B43CCF"/>
    <w:pPr>
      <w:autoSpaceDE w:val="0"/>
      <w:autoSpaceDN w:val="0"/>
      <w:adjustRightInd w:val="0"/>
      <w:spacing w:after="0" w:line="240" w:lineRule="auto"/>
    </w:pPr>
    <w:rPr>
      <w:rFonts w:ascii="Segoe UI" w:hAnsi="Segoe UI" w:cs="Segoe UI"/>
      <w:color w:val="000000"/>
      <w:sz w:val="24"/>
      <w:szCs w:val="24"/>
    </w:rPr>
  </w:style>
  <w:style w:type="paragraph" w:customStyle="1" w:styleId="KommuneTekst">
    <w:name w:val="KommuneTekst"/>
    <w:basedOn w:val="Normal"/>
    <w:rsid w:val="00F23EEC"/>
    <w:rPr>
      <w:rFonts w:ascii="Gill Sans MT" w:hAnsi="Gill Sans MT"/>
      <w:b/>
      <w:caps/>
      <w:color w:val="092869"/>
      <w:sz w:val="20"/>
    </w:rPr>
  </w:style>
  <w:style w:type="paragraph" w:customStyle="1" w:styleId="ForvaltningCenter">
    <w:name w:val="ForvaltningCenter"/>
    <w:basedOn w:val="Normal"/>
    <w:rsid w:val="00F23EEC"/>
    <w:rPr>
      <w:rFonts w:ascii="Gill Sans MT" w:hAnsi="Gill Sans MT"/>
      <w:color w:val="092869"/>
      <w:sz w:val="20"/>
    </w:rPr>
  </w:style>
  <w:style w:type="paragraph" w:customStyle="1" w:styleId="Kolofon">
    <w:name w:val="Kolofon"/>
    <w:basedOn w:val="Normal"/>
    <w:rsid w:val="00773DE8"/>
    <w:rPr>
      <w:rFonts w:ascii="Gill Sans MT" w:hAnsi="Gill Sans MT"/>
      <w:sz w:val="20"/>
    </w:rPr>
  </w:style>
  <w:style w:type="paragraph" w:customStyle="1" w:styleId="KolofonEnhed">
    <w:name w:val="KolofonEnhed"/>
    <w:basedOn w:val="Kolofon"/>
    <w:rsid w:val="00595613"/>
    <w:rPr>
      <w:b/>
    </w:rPr>
  </w:style>
  <w:style w:type="paragraph" w:customStyle="1" w:styleId="Sidenummer">
    <w:name w:val="Sidenummer"/>
    <w:basedOn w:val="Normal"/>
    <w:rsid w:val="00C0544A"/>
    <w:rPr>
      <w:rFonts w:ascii="Gill Sans MT" w:hAnsi="Gill Sans MT"/>
      <w:sz w:val="20"/>
    </w:rPr>
  </w:style>
  <w:style w:type="paragraph" w:customStyle="1" w:styleId="Type">
    <w:name w:val="Type"/>
    <w:basedOn w:val="KolofonEnhed"/>
    <w:rsid w:val="00217239"/>
    <w:rPr>
      <w:caps/>
    </w:rPr>
  </w:style>
  <w:style w:type="paragraph" w:customStyle="1" w:styleId="Punkt">
    <w:name w:val="Punkt"/>
    <w:basedOn w:val="Normal"/>
    <w:qFormat/>
    <w:rsid w:val="009A7D6A"/>
    <w:pPr>
      <w:numPr>
        <w:numId w:val="1"/>
      </w:numPr>
      <w:spacing w:after="240"/>
      <w:ind w:left="357" w:hanging="357"/>
    </w:pPr>
  </w:style>
  <w:style w:type="paragraph" w:customStyle="1" w:styleId="KKadresse">
    <w:name w:val="KK_adresse"/>
    <w:basedOn w:val="Normal"/>
    <w:rsid w:val="00AD5962"/>
    <w:pPr>
      <w:spacing w:after="20" w:line="240" w:lineRule="auto"/>
    </w:pPr>
    <w:rPr>
      <w:rFonts w:eastAsia="Times New Roman" w:cs="Times New Roman"/>
      <w:szCs w:val="20"/>
      <w:lang w:eastAsia="da-DK"/>
    </w:rPr>
  </w:style>
  <w:style w:type="paragraph" w:styleId="Fodnotetekst">
    <w:name w:val="footnote text"/>
    <w:basedOn w:val="Normal"/>
    <w:link w:val="FodnotetekstTegn"/>
    <w:unhideWhenUsed/>
    <w:rsid w:val="00AD5962"/>
    <w:pPr>
      <w:overflowPunct w:val="0"/>
      <w:autoSpaceDE w:val="0"/>
      <w:autoSpaceDN w:val="0"/>
      <w:adjustRightInd w:val="0"/>
      <w:spacing w:line="240" w:lineRule="auto"/>
    </w:pPr>
    <w:rPr>
      <w:rFonts w:ascii="CG Times" w:eastAsia="Times New Roman" w:hAnsi="CG Times" w:cs="Times New Roman"/>
      <w:sz w:val="20"/>
      <w:szCs w:val="20"/>
      <w:lang w:eastAsia="da-DK"/>
    </w:rPr>
  </w:style>
  <w:style w:type="character" w:customStyle="1" w:styleId="FodnotetekstTegn">
    <w:name w:val="Fodnotetekst Tegn"/>
    <w:basedOn w:val="Standardskrifttypeiafsnit"/>
    <w:link w:val="Fodnotetekst"/>
    <w:rsid w:val="00AD5962"/>
    <w:rPr>
      <w:rFonts w:ascii="CG Times" w:eastAsia="Times New Roman" w:hAnsi="CG Times" w:cs="Times New Roman"/>
      <w:sz w:val="20"/>
      <w:szCs w:val="20"/>
      <w:lang w:eastAsia="da-DK"/>
    </w:rPr>
  </w:style>
  <w:style w:type="character" w:styleId="Fodnotehenvisning">
    <w:name w:val="footnote reference"/>
    <w:basedOn w:val="Standardskrifttypeiafsnit"/>
    <w:unhideWhenUsed/>
    <w:rsid w:val="00AD5962"/>
    <w:rPr>
      <w:vertAlign w:val="superscript"/>
    </w:rPr>
  </w:style>
  <w:style w:type="character" w:styleId="Hyperlink">
    <w:name w:val="Hyperlink"/>
    <w:basedOn w:val="Standardskrifttypeiafsnit"/>
    <w:uiPriority w:val="99"/>
    <w:unhideWhenUsed/>
    <w:rsid w:val="00AD5962"/>
    <w:rPr>
      <w:color w:val="0000FF" w:themeColor="hyperlink"/>
      <w:u w:val="single"/>
    </w:rPr>
  </w:style>
  <w:style w:type="paragraph" w:styleId="Listeafsnit">
    <w:name w:val="List Paragraph"/>
    <w:basedOn w:val="Normal"/>
    <w:uiPriority w:val="34"/>
    <w:qFormat/>
    <w:rsid w:val="00AD5962"/>
    <w:pPr>
      <w:spacing w:line="240" w:lineRule="auto"/>
      <w:ind w:left="720"/>
      <w:contextualSpacing/>
      <w:jc w:val="both"/>
    </w:pPr>
    <w:rPr>
      <w:rFonts w:eastAsia="Times New Roman" w:cs="Times New Roman"/>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virkmiljoe@tmf.kk.dk"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s://dma.mst.dk/" TargetMode="External"/><Relationship Id="rId14" Type="http://schemas.openxmlformats.org/officeDocument/2006/relationships/header" Target="header3.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k-edoc-fil01\Docprod\templates\Notat_eDoc.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22918354" gbs:entity="Document" gbs:templateDesignerVersion="3.1 F">
  <gbs:Title gbs:loadFromGrowBusiness="OnProduce" gbs:saveInGrowBusiness="False" gbs:connected="true" gbs:recno="" gbs:entity="" gbs:datatype="string" gbs:key="10000" gbs:removeContentControl="0">Tilsynsnotat apr. 2019. Flux Water / OJT.</gbs:Title>
  <gbs:ToCase.Name gbs:loadFromGrowBusiness="OnProduce" gbs:saveInGrowBusiness="False" gbs:connected="true" gbs:recno="" gbs:entity="" gbs:datatype="string" gbs:key="10001" gbs:removeContentControl="0">2019-0097045</gbs:ToCase.Name>
  <gbs:DocumentNumber gbs:loadFromGrowBusiness="OnProduce" gbs:saveInGrowBusiness="False" gbs:connected="true" gbs:recno="" gbs:entity="" gbs:datatype="string" gbs:key="10002" gbs:removeContentControl="0">2019-0097045-1</gbs:DocumentNumber>
  <gbs:ToCase.OurRef.Name gbs:loadFromGrowBusiness="OnProduce" gbs:saveInGrowBusiness="False" gbs:connected="true" gbs:recno="" gbs:entity="" gbs:datatype="string" gbs:key="10003" gbs:removeContentControl="0">Lisa Bizzarro</gbs:ToCase.OurRef.Name>
  <gbs:OurRef.Name gbs:loadFromGrowBusiness="OnProduce" gbs:saveInGrowBusiness="False" gbs:connected="true" gbs:recno="" gbs:entity="" gbs:datatype="string" gbs:key="10004" gbs:removeContentControl="0">Lisa Bizzarro</gbs:OurRef.Name>
  <gbs:ToCreatedBy.ToContact.Name gbs:loadFromGrowBusiness="OnProduce" gbs:saveInGrowBusiness="False" gbs:connected="true" gbs:recno="" gbs:entity="" gbs:datatype="string" gbs:key="10005" gbs:removeContentControl="0">Lisa Bizzarro</gbs:ToCreatedBy.ToContact.Name>
  <gbs:ToProject.Name gbs:loadFromGrowBusiness="OnProduce" gbs:saveInGrowBusiness="False" gbs:connected="true" gbs:recno="" gbs:entity="" gbs:datatype="string" gbs:key="10006" gbs:removeContentControl="0">
  </gbs:ToProject.Name>
  <gbs:ToActivityContactJOINEX.Referencenumber gbs:loadFromGrowBusiness="OnProduce" gbs:saveInGrowBusiness="False" gbs:connected="true" gbs:recno="" gbs:entity="" gbs:datatype="string" gbs:key="10007" gbs:removeContentControl="0" gbs:dispatchrecipient="true" gbs:joinex="[JOINEX=[ToRole] {!OJEX!}=6]">
  </gbs:ToActivityContactJOINEX.Referencenumber>
  <gbs:ToActivityContactJOINEX.Name gbs:loadFromGrowBusiness="OnProduce" gbs:saveInGrowBusiness="False" gbs:connected="true" gbs:recno="" gbs:entity="" gbs:datatype="string" gbs:key="10008" gbs:removeContentControl="0" gbs:dispatchrecipient="true" gbs:joinex="[JOINEX=[ToRole] {!OJEX!}=6]">OJT Tankstore A/S</gbs:ToActivityContactJOINEX.Name>
  <gbs:ToActivityContactJOINEX.Address gbs:loadFromGrowBusiness="OnProduce" gbs:saveInGrowBusiness="False" gbs:connected="true" gbs:recno="" gbs:entity="" gbs:datatype="string" gbs:key="10009" gbs:dispatchrecipient="true" gbs:removeContentControl="0" gbs:joinex="[JOINEX=[ToRole] {!OJEX!}=6]">
  </gbs:ToActivityContactJOINEX.Address>
  <gbs:ToActivityContactJOINEX.Zip gbs:loadFromGrowBusiness="OnProduce" gbs:saveInGrowBusiness="False" gbs:connected="true" gbs:recno="" gbs:entity="" gbs:datatype="string" gbs:key="10010" gbs:removeContentControl="0" gbs:dispatchrecipient="true" gbs:joinex="[JOINEX=[ToRole] {!OJEX!}=6]">
  </gbs:ToActivityContactJOINEX.Zip>
  <gbs:ToActivityContactJOINEX.ZipPlace gbs:loadFromGrowBusiness="OnProduce" gbs:saveInGrowBusiness="False" gbs:connected="true" gbs:recno="" gbs:entity="" gbs:datatype="string" gbs:key="10011" gbs:removeContentControl="0" gbs:dispatchrecipient="true" gbs:joinex="[JOINEX=[ToRole] {!OJEX!}=6]">
  </gbs:ToActivityContactJOINEX.ZipPlace>
  <gbs:ToCase.ToCreatedBy.ToContact.Name gbs:loadFromGrowBusiness="OnProduce" gbs:saveInGrowBusiness="False" gbs:connected="true" gbs:recno="" gbs:entity="" gbs:datatype="string" gbs:key="10012">KS-eDoc sys GeoEnviron</gbs:ToCase.ToCreatedBy.ToContact.Name>
  <gbs:ToCase.ToEstates.CF_LandParcelIdentifier gbs:loadFromGrowBusiness="OnProduce" gbs:saveInGrowBusiness="False" gbs:connected="true" gbs:recno="" gbs:entity="" gbs:datatype="relation" gbs:key="10013" gbs:removeContentControl="0">
  </gbs:ToCase.ToEstates.CF_LandParcelIdentifier>
  <gbs:ToCase.ToEstates.CF_municipalrealpropertyidentifier gbs:loadFromGrowBusiness="OnProduce" gbs:saveInGrowBusiness="False" gbs:connected="true" gbs:recno="" gbs:entity="" gbs:datatype="relation" gbs:key="10014" gbs:removeContentControl="0">
  </gbs:ToCase.ToEstates.CF_municipalrealpropertyidentifier>
  <gbs:ToCase.Project.Name gbs:loadFromGrowBusiness="OnProduce" gbs:saveInGrowBusiness="False" gbs:connected="true" gbs:recno="" gbs:entity="" gbs:datatype="string" gbs:key="10015">
  </gbs:ToCase.Project.Name>
  <gbs:ToCase.Project.Description gbs:loadFromGrowBusiness="OnProduce" gbs:saveInGrowBusiness="False" gbs:connected="true" gbs:recno="" gbs:entity="" gbs:datatype="string" gbs:key="10016">
  </gbs:ToCase.Project.Description>
  <gbs:ToCase.Project.OurRef.Name gbs:loadFromGrowBusiness="OnProduce" gbs:saveInGrowBusiness="False" gbs:connected="true" gbs:recno="" gbs:entity="" gbs:datatype="string" gbs:key="10017" gbs:removeContentControl="0">
  </gbs:ToCase.Project.OurRef.Name>
  <gbs:ToProject.Description gbs:loadFromGrowBusiness="OnProduce" gbs:saveInGrowBusiness="False" gbs:connected="true" gbs:recno="" gbs:entity="" gbs:datatype="string" gbs:key="10018">
  </gbs:ToProject.Description>
  <gbs:ToProject.OurRef.Name gbs:loadFromGrowBusiness="OnProduce" gbs:saveInGrowBusiness="False" gbs:connected="true" gbs:recno="" gbs:entity="" gbs:datatype="string" gbs:key="10019">
  </gbs:ToProject.OurRef.Name>
  <gbs:ToCase.Description gbs:loadFromGrowBusiness="OnProduce" gbs:saveInGrowBusiness="False" gbs:connected="true" gbs:recno="" gbs:entity="" gbs:datatype="string" gbs:key="10020">G-vej 3, Prøvestenen. Flux Water. Miljøtilsyn med eksisterende aktivitet. April 2019.</gbs:ToCase.Description>
  <gbs:ToActivityContact.Email gbs:loadFromGrowBusiness="OnProduce" gbs:saveInGrowBusiness="False" gbs:connected="true" gbs:recno="" gbs:entity="" gbs:datatype="string" gbs:key="10021">
  </gbs:ToActivityContact.Email>
  <gbs:ToProject.Parent.Name gbs:loadFromGrowBusiness="OnProduce" gbs:saveInGrowBusiness="False" gbs:connected="true" gbs:recno="" gbs:entity="" gbs:datatype="string" gbs:key="10022">
  </gbs:ToProject.Parent.Name>
  <gbs:ToProject.Parent.Description gbs:loadFromGrowBusiness="OnProduce" gbs:saveInGrowBusiness="False" gbs:connected="true" gbs:recno="" gbs:entity="" gbs:datatype="string" gbs:key="10023" gbs:removeContentControl="0">
  </gbs:ToProject.Parent.Description>
  <gbs:ToCase.Project.Parent.Name gbs:loadFromGrowBusiness="OnProduce" gbs:saveInGrowBusiness="False" gbs:connected="true" gbs:recno="" gbs:entity="" gbs:datatype="string" gbs:key="10024">
  </gbs:ToCase.Project.Parent.Name>
  <gbs:ToCase.Project.Parent.Description gbs:loadFromGrowBusiness="OnProduce" gbs:saveInGrowBusiness="False" gbs:connected="true" gbs:recno="" gbs:entity="" gbs:datatype="string" gbs:key="10025">
  </gbs:ToCase.Project.Parent.Description>
  <gbs:ToCase.ToCaseContact.Referencenumber gbs:loadFromGrowBusiness="OnProduce" gbs:saveInGrowBusiness="False" gbs:connected="true" gbs:recno="" gbs:entity="" gbs:datatype="string" gbs:key="10026">
  </gbs:ToCase.ToCaseContact.Referencenumber>
  <gbs:ToCase.ToCaseContact.Name gbs:loadFromGrowBusiness="OnProduce" gbs:saveInGrowBusiness="False" gbs:connected="true" gbs:recno="" gbs:entity="" gbs:datatype="string" gbs:key="10027">
  </gbs:ToCase.ToCaseContact.Name>
  <gbs:ToCase.ToCaseContact.Address gbs:loadFromGrowBusiness="OnProduce" gbs:saveInGrowBusiness="False" gbs:connected="true" gbs:recno="" gbs:entity="" gbs:datatype="string" gbs:key="10028">
  </gbs:ToCase.ToCaseContact.Address>
  <gbs:ToCase.ToCaseContact.Zip gbs:loadFromGrowBusiness="OnProduce" gbs:saveInGrowBusiness="False" gbs:connected="true" gbs:recno="" gbs:entity="" gbs:datatype="string" gbs:key="10029">
  </gbs:ToCase.ToCaseContact.Zip>
  <gbs:ToCase.ToCaseContact.ZipCode gbs:loadFromGrowBusiness="OnProduce" gbs:saveInGrowBusiness="False" gbs:connected="true" gbs:recno="" gbs:entity="" gbs:datatype="string" gbs:key="10030">
  </gbs:ToCase.ToCaseContact.ZipCode>
  <gbs:ToCase.ToCaseContact.ZipPlace gbs:loadFromGrowBusiness="OnProduce" gbs:saveInGrowBusiness="False" gbs:connected="true" gbs:recno="" gbs:entity="" gbs:datatype="string" gbs:key="10031">
  </gbs:ToCase.ToCaseContact.ZipPlac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825E8-CC84-4088-AAC6-DF5BB1EF1B74}">
  <ds:schemaRefs/>
</ds:datastoreItem>
</file>

<file path=customXml/itemProps2.xml><?xml version="1.0" encoding="utf-8"?>
<ds:datastoreItem xmlns:ds="http://schemas.openxmlformats.org/officeDocument/2006/customXml" ds:itemID="{CF71765B-3ABE-4CBB-9674-EDEC1839C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Notat_eDoc.dotm</Template>
  <TotalTime>1</TotalTime>
  <Pages>18</Pages>
  <Words>2630</Words>
  <Characters>16044</Characters>
  <Application>Microsoft Office Word</Application>
  <DocSecurity>12</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Tilsynsnotat apr. 2019. Flux Water / OJT.</vt:lpstr>
      <vt:lpstr/>
    </vt:vector>
  </TitlesOfParts>
  <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Tilsynsnotat apr. 2019. Flux Water / OJT.</dc:title>
  <dc:creator>Lisa Bizzarro</dc:creator>
  <cp:lastModifiedBy>Lisa Bizzarro</cp:lastModifiedBy>
  <cp:revision>2</cp:revision>
  <cp:lastPrinted>2019-04-08T08:25:00Z</cp:lastPrinted>
  <dcterms:created xsi:type="dcterms:W3CDTF">2019-05-06T05:52:00Z</dcterms:created>
  <dcterms:modified xsi:type="dcterms:W3CDTF">2019-05-06T05:52:00Z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\\KK-edoc-FIL01\Docprod\templates\Notat_eDoc.dotm</vt:lpwstr>
  </property>
  <property fmtid="{D5CDD505-2E9C-101B-9397-08002B2CF9AE}" pid="3" name="filePathOneNote">
    <vt:lpwstr>\\KK-edoc-FIL01\eDocUsers\onenote\kk\es0i\</vt:lpwstr>
  </property>
  <property fmtid="{D5CDD505-2E9C-101B-9397-08002B2CF9AE}" pid="4" name="comment">
    <vt:lpwstr>Tilsynsnotat apr. 2019. Flux Water / OJT.</vt:lpwstr>
  </property>
  <property fmtid="{D5CDD505-2E9C-101B-9397-08002B2CF9AE}" pid="5" name="sipTrackRevision">
    <vt:lpwstr>false</vt:lpwstr>
  </property>
  <property fmtid="{D5CDD505-2E9C-101B-9397-08002B2CF9AE}" pid="6" name="fileVersionId">
    <vt:lpwstr>
    </vt:lpwstr>
  </property>
  <property fmtid="{D5CDD505-2E9C-101B-9397-08002B2CF9AE}" pid="7" name="sourceId">
    <vt:lpwstr>
    </vt:lpwstr>
  </property>
  <property fmtid="{D5CDD505-2E9C-101B-9397-08002B2CF9AE}" pid="8" name="module">
    <vt:lpwstr>
    </vt:lpwstr>
  </property>
  <property fmtid="{D5CDD505-2E9C-101B-9397-08002B2CF9AE}" pid="9" name="customParams">
    <vt:lpwstr>
    </vt:lpwstr>
  </property>
  <property fmtid="{D5CDD505-2E9C-101B-9397-08002B2CF9AE}" pid="10" name="external">
    <vt:lpwstr>0</vt:lpwstr>
  </property>
  <property fmtid="{D5CDD505-2E9C-101B-9397-08002B2CF9AE}" pid="11" name="ExternalControlledCheckOut">
    <vt:lpwstr>
    </vt:lpwstr>
  </property>
  <property fmtid="{D5CDD505-2E9C-101B-9397-08002B2CF9AE}" pid="12" name="action">
    <vt:lpwstr>edit</vt:lpwstr>
  </property>
  <property fmtid="{D5CDD505-2E9C-101B-9397-08002B2CF9AE}" pid="13" name="BackOfficeType">
    <vt:lpwstr>growBusiness Solutions</vt:lpwstr>
  </property>
  <property fmtid="{D5CDD505-2E9C-101B-9397-08002B2CF9AE}" pid="14" name="Server">
    <vt:lpwstr>kkedoc4:8080</vt:lpwstr>
  </property>
  <property fmtid="{D5CDD505-2E9C-101B-9397-08002B2CF9AE}" pid="15" name="FullFileName">
    <vt:lpwstr>\\KK-edoc-FIL01\eDocUsers\work\kk\es0i\2019-0097045-1 Tilsynsnotat apr. 2019. Flux Water _ OJT 31821918_22223033_0.DOCX</vt:lpwstr>
  </property>
  <property fmtid="{D5CDD505-2E9C-101B-9397-08002B2CF9AE}" pid="16" name="docId">
    <vt:lpwstr>22918354</vt:lpwstr>
  </property>
  <property fmtid="{D5CDD505-2E9C-101B-9397-08002B2CF9AE}" pid="17" name="verId">
    <vt:lpwstr>22223033</vt:lpwstr>
  </property>
  <property fmtid="{D5CDD505-2E9C-101B-9397-08002B2CF9AE}" pid="18" name="templateId">
    <vt:lpwstr>
    </vt:lpwstr>
  </property>
  <property fmtid="{D5CDD505-2E9C-101B-9397-08002B2CF9AE}" pid="19" name="fileId">
    <vt:lpwstr>31821918</vt:lpwstr>
  </property>
  <property fmtid="{D5CDD505-2E9C-101B-9397-08002B2CF9AE}" pid="20" name="filePath">
    <vt:lpwstr>\\KK-edoc-FIL01\eDocUsers\cache\kk\es0i\</vt:lpwstr>
  </property>
  <property fmtid="{D5CDD505-2E9C-101B-9397-08002B2CF9AE}" pid="21" name="fileName">
    <vt:lpwstr>2019-0097045-1 Tilsynsnotat apr. 2019. Flux Water _ OJT 31821918_5_0.DOCX</vt:lpwstr>
  </property>
  <property fmtid="{D5CDD505-2E9C-101B-9397-08002B2CF9AE}" pid="22" name="createdBy">
    <vt:lpwstr>Lisa Bizzarro</vt:lpwstr>
  </property>
  <property fmtid="{D5CDD505-2E9C-101B-9397-08002B2CF9AE}" pid="23" name="modifiedBy">
    <vt:lpwstr>Lisa Bizzarro</vt:lpwstr>
  </property>
  <property fmtid="{D5CDD505-2E9C-101B-9397-08002B2CF9AE}" pid="24" name="serverName">
    <vt:lpwstr>kkedoc4:8080</vt:lpwstr>
  </property>
  <property fmtid="{D5CDD505-2E9C-101B-9397-08002B2CF9AE}" pid="25" name="protocol">
    <vt:lpwstr>off</vt:lpwstr>
  </property>
  <property fmtid="{D5CDD505-2E9C-101B-9397-08002B2CF9AE}" pid="26" name="site">
    <vt:lpwstr>/view.aspx</vt:lpwstr>
  </property>
  <property fmtid="{D5CDD505-2E9C-101B-9397-08002B2CF9AE}" pid="27" name="externalUser">
    <vt:lpwstr>
    </vt:lpwstr>
  </property>
  <property fmtid="{D5CDD505-2E9C-101B-9397-08002B2CF9AE}" pid="28" name="currentVerId">
    <vt:lpwstr>22223033</vt:lpwstr>
  </property>
  <property fmtid="{D5CDD505-2E9C-101B-9397-08002B2CF9AE}" pid="29" name="Operation">
    <vt:lpwstr>OpenFile</vt:lpwstr>
  </property>
</Properties>
</file>