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4F05" w14:textId="5106ED1B" w:rsidR="0054135D" w:rsidRPr="008426F8" w:rsidRDefault="00C75912" w:rsidP="008426F8">
      <w:r>
        <w:t xml:space="preserve"> </w:t>
      </w:r>
      <w:r w:rsidR="0025365D">
        <w:t xml:space="preserve"> </w:t>
      </w:r>
    </w:p>
    <w:tbl>
      <w:tblPr>
        <w:tblStyle w:val="Tabel-Gitter"/>
        <w:tblpPr w:leftFromText="141" w:rightFromText="141" w:horzAnchor="margin" w:tblpXSpec="center" w:tblpY="427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850"/>
        <w:gridCol w:w="993"/>
        <w:gridCol w:w="468"/>
        <w:gridCol w:w="1251"/>
        <w:gridCol w:w="1251"/>
      </w:tblGrid>
      <w:tr w:rsidR="0054135D" w:rsidRPr="00EE4D18" w14:paraId="407D5AA2" w14:textId="77777777" w:rsidTr="005F67A4">
        <w:trPr>
          <w:jc w:val="center"/>
        </w:trPr>
        <w:tc>
          <w:tcPr>
            <w:tcW w:w="9628" w:type="dxa"/>
            <w:gridSpan w:val="8"/>
            <w:vAlign w:val="center"/>
          </w:tcPr>
          <w:p w14:paraId="1BCA71D3" w14:textId="77777777" w:rsidR="0054135D" w:rsidRPr="00EE4D18" w:rsidRDefault="0054135D" w:rsidP="005F67A4">
            <w:pPr>
              <w:jc w:val="center"/>
            </w:pPr>
            <w:r w:rsidRPr="00EE4D18">
              <w:rPr>
                <w:b/>
                <w:sz w:val="32"/>
                <w:szCs w:val="32"/>
              </w:rPr>
              <w:t xml:space="preserve">Tilsyn med </w:t>
            </w:r>
            <w:r>
              <w:rPr>
                <w:b/>
                <w:sz w:val="32"/>
                <w:szCs w:val="32"/>
              </w:rPr>
              <w:t xml:space="preserve">Binderup Mølle </w:t>
            </w:r>
            <w:r w:rsidRPr="00EE4D18">
              <w:rPr>
                <w:b/>
                <w:sz w:val="32"/>
                <w:szCs w:val="32"/>
              </w:rPr>
              <w:t xml:space="preserve">Dambrug </w:t>
            </w:r>
          </w:p>
        </w:tc>
      </w:tr>
      <w:tr w:rsidR="0054135D" w:rsidRPr="00EE4D18" w14:paraId="34BF942C" w14:textId="77777777" w:rsidTr="005F67A4">
        <w:trPr>
          <w:jc w:val="center"/>
        </w:trPr>
        <w:tc>
          <w:tcPr>
            <w:tcW w:w="2122" w:type="dxa"/>
            <w:vAlign w:val="center"/>
          </w:tcPr>
          <w:p w14:paraId="240ACE6C" w14:textId="7777777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Dato for fysisk tilsyn</w:t>
            </w:r>
          </w:p>
        </w:tc>
        <w:tc>
          <w:tcPr>
            <w:tcW w:w="1417" w:type="dxa"/>
            <w:vAlign w:val="center"/>
          </w:tcPr>
          <w:p w14:paraId="4D9DC958" w14:textId="64CF1C17" w:rsidR="0054135D" w:rsidRPr="00EE4D18" w:rsidRDefault="0054135D" w:rsidP="005F67A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16/6-2025</w:t>
            </w:r>
          </w:p>
        </w:tc>
        <w:tc>
          <w:tcPr>
            <w:tcW w:w="3119" w:type="dxa"/>
            <w:gridSpan w:val="3"/>
            <w:vAlign w:val="center"/>
          </w:tcPr>
          <w:p w14:paraId="39421314" w14:textId="7777777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36E2C580" w14:textId="77777777" w:rsidR="0054135D" w:rsidRPr="00EE4D18" w:rsidRDefault="0054135D" w:rsidP="005F67A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4135D" w:rsidRPr="00EE4D18" w14:paraId="33EAC601" w14:textId="77777777" w:rsidTr="005F67A4">
        <w:trPr>
          <w:trHeight w:val="621"/>
          <w:jc w:val="center"/>
        </w:trPr>
        <w:tc>
          <w:tcPr>
            <w:tcW w:w="2122" w:type="dxa"/>
            <w:vAlign w:val="center"/>
          </w:tcPr>
          <w:p w14:paraId="34A41934" w14:textId="517CE03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Navn, adresse</w:t>
            </w:r>
          </w:p>
        </w:tc>
        <w:tc>
          <w:tcPr>
            <w:tcW w:w="7506" w:type="dxa"/>
            <w:gridSpan w:val="7"/>
            <w:vAlign w:val="center"/>
          </w:tcPr>
          <w:p w14:paraId="1667A2BB" w14:textId="77777777" w:rsidR="0054135D" w:rsidRDefault="0054135D" w:rsidP="005F67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Binderup Mølle Dambrug</w:t>
            </w:r>
          </w:p>
          <w:p w14:paraId="20DA9450" w14:textId="77777777" w:rsidR="0054135D" w:rsidRDefault="0054135D" w:rsidP="005F67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Aalborgvej 99</w:t>
            </w:r>
          </w:p>
          <w:p w14:paraId="7C787343" w14:textId="77777777" w:rsidR="0054135D" w:rsidRPr="00EE4D18" w:rsidRDefault="0054135D" w:rsidP="005F67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9240 Nibe </w:t>
            </w:r>
          </w:p>
        </w:tc>
      </w:tr>
      <w:tr w:rsidR="0054135D" w:rsidRPr="00EE4D18" w14:paraId="11115D9B" w14:textId="77777777" w:rsidTr="005F67A4">
        <w:trPr>
          <w:jc w:val="center"/>
        </w:trPr>
        <w:tc>
          <w:tcPr>
            <w:tcW w:w="2122" w:type="dxa"/>
            <w:vAlign w:val="center"/>
          </w:tcPr>
          <w:p w14:paraId="50BAE729" w14:textId="7777777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Registrerings nr.</w:t>
            </w:r>
          </w:p>
        </w:tc>
        <w:tc>
          <w:tcPr>
            <w:tcW w:w="1417" w:type="dxa"/>
            <w:vAlign w:val="center"/>
          </w:tcPr>
          <w:p w14:paraId="2D42DEB8" w14:textId="7777777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CVR</w:t>
            </w:r>
          </w:p>
        </w:tc>
        <w:tc>
          <w:tcPr>
            <w:tcW w:w="1276" w:type="dxa"/>
            <w:vAlign w:val="center"/>
          </w:tcPr>
          <w:p w14:paraId="796715FA" w14:textId="77777777" w:rsidR="0054135D" w:rsidRPr="004A5676" w:rsidRDefault="0054135D" w:rsidP="005F67A4">
            <w:pPr>
              <w:spacing w:line="276" w:lineRule="auto"/>
              <w:rPr>
                <w:sz w:val="20"/>
                <w:szCs w:val="20"/>
              </w:rPr>
            </w:pPr>
            <w:r w:rsidRPr="004A5676">
              <w:rPr>
                <w:rFonts w:cstheme="minorHAnsi"/>
                <w:color w:val="191514"/>
                <w:spacing w:val="2"/>
                <w:sz w:val="20"/>
                <w:szCs w:val="20"/>
                <w:shd w:val="clear" w:color="auto" w:fill="FFFFFF"/>
              </w:rPr>
              <w:t>28675313</w:t>
            </w:r>
          </w:p>
        </w:tc>
        <w:tc>
          <w:tcPr>
            <w:tcW w:w="850" w:type="dxa"/>
            <w:vAlign w:val="center"/>
          </w:tcPr>
          <w:p w14:paraId="02C30F8F" w14:textId="7777777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P-nr.</w:t>
            </w:r>
          </w:p>
        </w:tc>
        <w:tc>
          <w:tcPr>
            <w:tcW w:w="1461" w:type="dxa"/>
            <w:gridSpan w:val="2"/>
            <w:vAlign w:val="center"/>
          </w:tcPr>
          <w:p w14:paraId="10389E9E" w14:textId="77777777" w:rsidR="0054135D" w:rsidRPr="004A5676" w:rsidRDefault="0054135D" w:rsidP="005F67A4">
            <w:pPr>
              <w:spacing w:line="276" w:lineRule="auto"/>
              <w:rPr>
                <w:sz w:val="20"/>
                <w:szCs w:val="20"/>
              </w:rPr>
            </w:pPr>
            <w:r w:rsidRPr="004A5676">
              <w:rPr>
                <w:rFonts w:cstheme="minorHAnsi"/>
                <w:color w:val="191514"/>
                <w:spacing w:val="2"/>
                <w:sz w:val="20"/>
                <w:szCs w:val="20"/>
                <w:shd w:val="clear" w:color="auto" w:fill="FFFFFF"/>
              </w:rPr>
              <w:t>1028858791</w:t>
            </w:r>
          </w:p>
        </w:tc>
        <w:tc>
          <w:tcPr>
            <w:tcW w:w="1251" w:type="dxa"/>
            <w:vAlign w:val="center"/>
          </w:tcPr>
          <w:p w14:paraId="6729D9AE" w14:textId="7777777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CHR</w:t>
            </w:r>
          </w:p>
        </w:tc>
        <w:tc>
          <w:tcPr>
            <w:tcW w:w="1251" w:type="dxa"/>
            <w:vAlign w:val="center"/>
          </w:tcPr>
          <w:p w14:paraId="4B90E797" w14:textId="77777777" w:rsidR="0054135D" w:rsidRPr="004A5676" w:rsidRDefault="0054135D" w:rsidP="005F67A4">
            <w:pPr>
              <w:spacing w:line="276" w:lineRule="auto"/>
              <w:rPr>
                <w:sz w:val="20"/>
                <w:szCs w:val="20"/>
              </w:rPr>
            </w:pPr>
            <w:r w:rsidRPr="004A5676">
              <w:rPr>
                <w:rFonts w:cstheme="minorHAnsi"/>
                <w:sz w:val="20"/>
                <w:szCs w:val="20"/>
              </w:rPr>
              <w:t>76918</w:t>
            </w:r>
          </w:p>
        </w:tc>
      </w:tr>
      <w:tr w:rsidR="0054135D" w:rsidRPr="00EE4D18" w14:paraId="087B722F" w14:textId="77777777" w:rsidTr="005F67A4">
        <w:trPr>
          <w:jc w:val="center"/>
        </w:trPr>
        <w:tc>
          <w:tcPr>
            <w:tcW w:w="2122" w:type="dxa"/>
            <w:vAlign w:val="center"/>
          </w:tcPr>
          <w:p w14:paraId="6240BD4D" w14:textId="7777777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Listebetegnelse</w:t>
            </w:r>
          </w:p>
        </w:tc>
        <w:tc>
          <w:tcPr>
            <w:tcW w:w="7506" w:type="dxa"/>
            <w:gridSpan w:val="7"/>
            <w:vAlign w:val="center"/>
          </w:tcPr>
          <w:p w14:paraId="68AB2370" w14:textId="77777777" w:rsidR="0054135D" w:rsidRPr="00EE4D18" w:rsidRDefault="0054135D" w:rsidP="005F67A4">
            <w:pPr>
              <w:spacing w:line="276" w:lineRule="auto"/>
              <w:rPr>
                <w:sz w:val="20"/>
                <w:szCs w:val="20"/>
              </w:rPr>
            </w:pPr>
            <w:r w:rsidRPr="00EE4D18">
              <w:rPr>
                <w:rFonts w:ascii="Calibri" w:hAnsi="Calibri" w:cs="Calibri"/>
                <w:sz w:val="20"/>
                <w:szCs w:val="20"/>
              </w:rPr>
              <w:t>I201 Ferskvandsdambrug</w:t>
            </w:r>
          </w:p>
        </w:tc>
      </w:tr>
      <w:tr w:rsidR="0054135D" w:rsidRPr="00EE4D18" w14:paraId="7CED6F7F" w14:textId="77777777" w:rsidTr="005F67A4">
        <w:trPr>
          <w:jc w:val="center"/>
        </w:trPr>
        <w:tc>
          <w:tcPr>
            <w:tcW w:w="2122" w:type="dxa"/>
            <w:vAlign w:val="center"/>
          </w:tcPr>
          <w:p w14:paraId="02D8172C" w14:textId="77777777" w:rsidR="0054135D" w:rsidRPr="00EE4D18" w:rsidRDefault="0054135D" w:rsidP="005F67A4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Miljøgodkendelse</w:t>
            </w:r>
          </w:p>
        </w:tc>
        <w:tc>
          <w:tcPr>
            <w:tcW w:w="1417" w:type="dxa"/>
            <w:vAlign w:val="center"/>
          </w:tcPr>
          <w:p w14:paraId="36FD98E6" w14:textId="77777777" w:rsidR="0054135D" w:rsidRPr="00EE4D18" w:rsidRDefault="0054135D" w:rsidP="005F67A4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08/09/2016</w:t>
            </w:r>
          </w:p>
        </w:tc>
        <w:tc>
          <w:tcPr>
            <w:tcW w:w="2126" w:type="dxa"/>
            <w:gridSpan w:val="2"/>
            <w:vAlign w:val="center"/>
          </w:tcPr>
          <w:p w14:paraId="39DF85F3" w14:textId="77777777" w:rsidR="0054135D" w:rsidRPr="00EE4D18" w:rsidRDefault="0054135D" w:rsidP="005F67A4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Vandindvinding</w:t>
            </w:r>
          </w:p>
        </w:tc>
        <w:tc>
          <w:tcPr>
            <w:tcW w:w="3963" w:type="dxa"/>
            <w:gridSpan w:val="4"/>
            <w:vAlign w:val="center"/>
          </w:tcPr>
          <w:p w14:paraId="4F229651" w14:textId="77777777" w:rsidR="0054135D" w:rsidRPr="004A5676" w:rsidRDefault="0054135D" w:rsidP="005F67A4">
            <w:pPr>
              <w:spacing w:after="0"/>
              <w:rPr>
                <w:sz w:val="20"/>
                <w:szCs w:val="20"/>
              </w:rPr>
            </w:pPr>
            <w:r w:rsidRPr="004A5676">
              <w:rPr>
                <w:rFonts w:cstheme="minorHAnsi"/>
                <w:sz w:val="20"/>
                <w:szCs w:val="20"/>
              </w:rPr>
              <w:t>44 l/sek. grundvand (jf. tilladelse af 23/6-2010 og 22/01-2016)</w:t>
            </w:r>
          </w:p>
        </w:tc>
      </w:tr>
      <w:tr w:rsidR="0054135D" w:rsidRPr="00EE4D18" w14:paraId="148A4ADA" w14:textId="77777777" w:rsidTr="005F67A4">
        <w:trPr>
          <w:jc w:val="center"/>
        </w:trPr>
        <w:tc>
          <w:tcPr>
            <w:tcW w:w="2122" w:type="dxa"/>
            <w:vAlign w:val="center"/>
          </w:tcPr>
          <w:p w14:paraId="3BDB65AE" w14:textId="7777777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Baggrund og omfang</w:t>
            </w:r>
          </w:p>
        </w:tc>
        <w:tc>
          <w:tcPr>
            <w:tcW w:w="7506" w:type="dxa"/>
            <w:gridSpan w:val="7"/>
            <w:vAlign w:val="center"/>
          </w:tcPr>
          <w:p w14:paraId="6AD89881" w14:textId="77777777" w:rsidR="0054135D" w:rsidRPr="00EE4D18" w:rsidRDefault="0054135D" w:rsidP="00D82CF7">
            <w:pPr>
              <w:rPr>
                <w:sz w:val="20"/>
                <w:szCs w:val="20"/>
              </w:rPr>
            </w:pPr>
            <w:r w:rsidRPr="00EE4D18">
              <w:rPr>
                <w:sz w:val="20"/>
                <w:szCs w:val="20"/>
              </w:rPr>
              <w:t>Baggrunden for tilsynet er, at Aalborg Kommune, fører tilsyn med dambrug, herunder med tilstanden i vandløbet, jævnfør bekendtgørelse nr. 1567 af 7. december 2016 om ferskvandsdambrug.</w:t>
            </w:r>
          </w:p>
          <w:p w14:paraId="125F73F8" w14:textId="77777777" w:rsidR="0054135D" w:rsidRPr="00EE4D18" w:rsidRDefault="0054135D" w:rsidP="00D82CF7">
            <w:pPr>
              <w:rPr>
                <w:sz w:val="20"/>
                <w:szCs w:val="20"/>
              </w:rPr>
            </w:pPr>
            <w:r w:rsidRPr="00EE4D18">
              <w:rPr>
                <w:sz w:val="20"/>
                <w:szCs w:val="20"/>
              </w:rPr>
              <w:t xml:space="preserve">Tilsynet </w:t>
            </w:r>
            <w:r>
              <w:rPr>
                <w:sz w:val="20"/>
                <w:szCs w:val="20"/>
              </w:rPr>
              <w:t>er</w:t>
            </w:r>
            <w:r w:rsidRPr="00EE4D18">
              <w:rPr>
                <w:sz w:val="20"/>
                <w:szCs w:val="20"/>
              </w:rPr>
              <w:t xml:space="preserve"> et </w:t>
            </w:r>
            <w:r w:rsidRPr="00606920">
              <w:rPr>
                <w:sz w:val="20"/>
                <w:szCs w:val="20"/>
              </w:rPr>
              <w:t>basistilsyn</w:t>
            </w:r>
            <w:r w:rsidRPr="00EE4D18">
              <w:rPr>
                <w:sz w:val="20"/>
                <w:szCs w:val="20"/>
              </w:rPr>
              <w:t xml:space="preserve">, som omfatter hele dambruget. Tilsyn var </w:t>
            </w:r>
            <w:r w:rsidRPr="00606920">
              <w:rPr>
                <w:sz w:val="20"/>
                <w:szCs w:val="20"/>
              </w:rPr>
              <w:t>varslet</w:t>
            </w:r>
            <w:r w:rsidRPr="00EE4D18">
              <w:rPr>
                <w:sz w:val="20"/>
                <w:szCs w:val="20"/>
              </w:rPr>
              <w:t>.</w:t>
            </w:r>
          </w:p>
          <w:p w14:paraId="72F0A22B" w14:textId="77777777" w:rsidR="0054135D" w:rsidRPr="00EE4D18" w:rsidRDefault="0054135D" w:rsidP="00D82CF7">
            <w:pPr>
              <w:rPr>
                <w:sz w:val="20"/>
                <w:szCs w:val="20"/>
              </w:rPr>
            </w:pPr>
            <w:r w:rsidRPr="00EE4D18">
              <w:rPr>
                <w:sz w:val="20"/>
                <w:szCs w:val="20"/>
              </w:rP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54135D" w:rsidRPr="00EE4D18" w14:paraId="37743BEA" w14:textId="77777777" w:rsidTr="005F67A4">
        <w:trPr>
          <w:trHeight w:val="841"/>
          <w:jc w:val="center"/>
        </w:trPr>
        <w:tc>
          <w:tcPr>
            <w:tcW w:w="2122" w:type="dxa"/>
            <w:vAlign w:val="center"/>
          </w:tcPr>
          <w:p w14:paraId="18665128" w14:textId="7777777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 xml:space="preserve">Bemærkninger </w:t>
            </w:r>
          </w:p>
        </w:tc>
        <w:tc>
          <w:tcPr>
            <w:tcW w:w="7506" w:type="dxa"/>
            <w:gridSpan w:val="7"/>
            <w:vAlign w:val="center"/>
          </w:tcPr>
          <w:p w14:paraId="28443BB5" w14:textId="77777777" w:rsidR="0054135D" w:rsidRPr="004A5676" w:rsidRDefault="0054135D" w:rsidP="005F67A4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4A5676">
              <w:rPr>
                <w:rFonts w:cstheme="minorHAnsi"/>
                <w:i/>
                <w:iCs/>
                <w:sz w:val="20"/>
                <w:szCs w:val="20"/>
              </w:rPr>
              <w:t>Generelt</w:t>
            </w:r>
          </w:p>
          <w:p w14:paraId="5CB34FDD" w14:textId="1EF6010A" w:rsidR="0054135D" w:rsidRPr="004A5676" w:rsidRDefault="0054135D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A5676">
              <w:rPr>
                <w:rFonts w:cstheme="minorHAnsi"/>
                <w:sz w:val="20"/>
                <w:szCs w:val="20"/>
              </w:rPr>
              <w:t>Produktion foregår fortsat kun i kummehus og sættefisk anlæg</w:t>
            </w:r>
            <w:r w:rsidR="00C75912">
              <w:rPr>
                <w:rFonts w:cstheme="minorHAnsi"/>
                <w:sz w:val="20"/>
                <w:szCs w:val="20"/>
              </w:rPr>
              <w:t>. D</w:t>
            </w:r>
            <w:r w:rsidR="007F58B8">
              <w:rPr>
                <w:rFonts w:cstheme="minorHAnsi"/>
                <w:sz w:val="20"/>
                <w:szCs w:val="20"/>
              </w:rPr>
              <w:t>er er ikke længere udvikling af æg på dambruget, i stedet modtages der yngel på ca. 3 gram</w:t>
            </w:r>
            <w:r w:rsidR="00C75912">
              <w:rPr>
                <w:rFonts w:cstheme="minorHAnsi"/>
                <w:sz w:val="20"/>
                <w:szCs w:val="20"/>
              </w:rPr>
              <w:t>.</w:t>
            </w:r>
            <w:r w:rsidR="007F58B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0BCB91" w14:textId="0BEB89FE" w:rsidR="0054135D" w:rsidRPr="004A5676" w:rsidRDefault="0054135D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A5676">
              <w:rPr>
                <w:rFonts w:cstheme="minorHAnsi"/>
                <w:sz w:val="20"/>
                <w:szCs w:val="20"/>
              </w:rPr>
              <w:t>Slam håndteres pt. i betonkanal i udendørsanlægget. Løsning</w:t>
            </w:r>
            <w:r>
              <w:rPr>
                <w:rFonts w:cstheme="minorHAnsi"/>
                <w:sz w:val="20"/>
                <w:szCs w:val="20"/>
              </w:rPr>
              <w:t xml:space="preserve">en er </w:t>
            </w:r>
            <w:r w:rsidRPr="004A5676">
              <w:rPr>
                <w:rFonts w:cstheme="minorHAnsi"/>
                <w:sz w:val="20"/>
                <w:szCs w:val="20"/>
              </w:rPr>
              <w:t xml:space="preserve">godkendt frem til </w:t>
            </w:r>
            <w:r>
              <w:rPr>
                <w:rFonts w:cstheme="minorHAnsi"/>
                <w:sz w:val="20"/>
                <w:szCs w:val="20"/>
              </w:rPr>
              <w:t xml:space="preserve">eventuelle </w:t>
            </w:r>
            <w:r w:rsidRPr="004A5676">
              <w:rPr>
                <w:rFonts w:cstheme="minorHAnsi"/>
                <w:sz w:val="20"/>
                <w:szCs w:val="20"/>
              </w:rPr>
              <w:t xml:space="preserve">gylletanke etableres. </w:t>
            </w:r>
            <w:r w:rsidR="00C75912">
              <w:rPr>
                <w:rFonts w:cstheme="minorHAnsi"/>
                <w:sz w:val="20"/>
                <w:szCs w:val="20"/>
              </w:rPr>
              <w:t xml:space="preserve">Slam fra kummehuse ledes til leverdamme. Overskudsvand ledes til plantelagune. </w:t>
            </w:r>
            <w:r w:rsidRPr="004A5676">
              <w:rPr>
                <w:rFonts w:cstheme="minorHAnsi"/>
                <w:sz w:val="20"/>
                <w:szCs w:val="20"/>
              </w:rPr>
              <w:t>Slam fra mikrosigten</w:t>
            </w:r>
            <w:r w:rsidR="00C75912">
              <w:rPr>
                <w:rFonts w:cstheme="minorHAnsi"/>
                <w:sz w:val="20"/>
                <w:szCs w:val="20"/>
              </w:rPr>
              <w:t xml:space="preserve"> (fra sættefisk anlæg)</w:t>
            </w:r>
            <w:r w:rsidRPr="004A5676">
              <w:rPr>
                <w:rFonts w:cstheme="minorHAnsi"/>
                <w:sz w:val="20"/>
                <w:szCs w:val="20"/>
              </w:rPr>
              <w:t xml:space="preserve"> ledes til slamseparator, hvorfra det afhændes</w:t>
            </w:r>
            <w:r>
              <w:rPr>
                <w:rFonts w:cstheme="minorHAnsi"/>
                <w:sz w:val="20"/>
                <w:szCs w:val="20"/>
              </w:rPr>
              <w:t>, til biogasanlæg</w:t>
            </w:r>
            <w:r w:rsidRPr="004A5676">
              <w:rPr>
                <w:rFonts w:cstheme="minorHAnsi"/>
                <w:sz w:val="20"/>
                <w:szCs w:val="20"/>
              </w:rPr>
              <w:t>.</w:t>
            </w:r>
            <w:r w:rsidR="001E016E">
              <w:rPr>
                <w:rFonts w:cstheme="minorHAnsi"/>
                <w:sz w:val="20"/>
                <w:szCs w:val="20"/>
              </w:rPr>
              <w:t xml:space="preserve"> </w:t>
            </w:r>
            <w:r w:rsidR="00C75912">
              <w:rPr>
                <w:rFonts w:cstheme="minorHAnsi"/>
                <w:sz w:val="20"/>
                <w:szCs w:val="20"/>
              </w:rPr>
              <w:t xml:space="preserve">Overskudsvand ledes til plantelagune. </w:t>
            </w:r>
            <w:r w:rsidR="001E016E">
              <w:rPr>
                <w:rFonts w:cstheme="minorHAnsi"/>
                <w:sz w:val="20"/>
                <w:szCs w:val="20"/>
              </w:rPr>
              <w:t>Slam afhændes ca. hver 3 måned.</w:t>
            </w:r>
          </w:p>
          <w:p w14:paraId="6D8D644C" w14:textId="77777777" w:rsidR="0054135D" w:rsidRPr="004A5676" w:rsidRDefault="0054135D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BC6EA57" w14:textId="77777777" w:rsidR="0054135D" w:rsidRPr="004A5676" w:rsidRDefault="0054135D" w:rsidP="005F67A4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4A5676">
              <w:rPr>
                <w:rFonts w:cstheme="minorHAnsi"/>
                <w:i/>
                <w:iCs/>
                <w:sz w:val="20"/>
                <w:szCs w:val="20"/>
              </w:rPr>
              <w:t>Vand – indløb og udløb</w:t>
            </w:r>
          </w:p>
          <w:p w14:paraId="263D72D6" w14:textId="2F7DCA18" w:rsidR="00C75912" w:rsidRDefault="0054135D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A5676">
              <w:rPr>
                <w:rFonts w:cstheme="minorHAnsi"/>
                <w:sz w:val="20"/>
                <w:szCs w:val="20"/>
              </w:rPr>
              <w:t>To til tre boringer er i brug</w:t>
            </w:r>
            <w:r w:rsidR="00C43796">
              <w:rPr>
                <w:rFonts w:cstheme="minorHAnsi"/>
                <w:sz w:val="20"/>
                <w:szCs w:val="20"/>
              </w:rPr>
              <w:t>. Der er fungerende vandur på alle tre boringer</w:t>
            </w:r>
            <w:bookmarkStart w:id="0" w:name="_Hlk201239878"/>
            <w:r w:rsidR="00C43796">
              <w:rPr>
                <w:rFonts w:cstheme="minorHAnsi"/>
                <w:sz w:val="20"/>
                <w:szCs w:val="20"/>
              </w:rPr>
              <w:t>. Dambruget registrerer vandforbruget</w:t>
            </w:r>
            <w:r w:rsidR="00DD5C92">
              <w:rPr>
                <w:rFonts w:cstheme="minorHAnsi"/>
                <w:sz w:val="20"/>
                <w:szCs w:val="20"/>
              </w:rPr>
              <w:t xml:space="preserve"> månedligt</w:t>
            </w:r>
            <w:r w:rsidR="00C43796">
              <w:rPr>
                <w:rFonts w:cstheme="minorHAnsi"/>
                <w:sz w:val="20"/>
                <w:szCs w:val="20"/>
              </w:rPr>
              <w:t>.</w:t>
            </w:r>
            <w:r w:rsidR="00C75912">
              <w:rPr>
                <w:rFonts w:cstheme="minorHAnsi"/>
                <w:sz w:val="20"/>
                <w:szCs w:val="20"/>
              </w:rPr>
              <w:t xml:space="preserve"> I udløbet måles vandflow via flowmåler. Det blev aftalt</w:t>
            </w:r>
            <w:r w:rsidR="005A0A9D">
              <w:rPr>
                <w:rFonts w:cstheme="minorHAnsi"/>
                <w:sz w:val="20"/>
                <w:szCs w:val="20"/>
              </w:rPr>
              <w:t>,</w:t>
            </w:r>
            <w:r w:rsidR="00C75912">
              <w:rPr>
                <w:rFonts w:cstheme="minorHAnsi"/>
                <w:sz w:val="20"/>
                <w:szCs w:val="20"/>
              </w:rPr>
              <w:t xml:space="preserve"> at der ændres på opsætning i display af flowmåler, således der kan registreres det aktuelle flow ud.</w:t>
            </w:r>
          </w:p>
          <w:p w14:paraId="64BAF184" w14:textId="7D7F3EF0" w:rsidR="00C43796" w:rsidRDefault="00C43796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 blev aftalt at dambruget fremadrettet kvartalsmæssigt fremsende</w:t>
            </w:r>
            <w:r w:rsidR="005A0A9D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 xml:space="preserve"> døgngennemsni</w:t>
            </w:r>
            <w:r w:rsidR="00DD5C92">
              <w:rPr>
                <w:rFonts w:cstheme="minorHAnsi"/>
                <w:sz w:val="20"/>
                <w:szCs w:val="20"/>
              </w:rPr>
              <w:t>t for</w:t>
            </w:r>
            <w:r>
              <w:rPr>
                <w:rFonts w:cstheme="minorHAnsi"/>
                <w:sz w:val="20"/>
                <w:szCs w:val="20"/>
              </w:rPr>
              <w:t xml:space="preserve"> vandf</w:t>
            </w:r>
            <w:r w:rsidR="00532175">
              <w:rPr>
                <w:rFonts w:cstheme="minorHAnsi"/>
                <w:sz w:val="20"/>
                <w:szCs w:val="20"/>
              </w:rPr>
              <w:t xml:space="preserve">øring </w:t>
            </w:r>
            <w:r w:rsidR="00C75912">
              <w:rPr>
                <w:rFonts w:cstheme="minorHAnsi"/>
                <w:sz w:val="20"/>
                <w:szCs w:val="20"/>
              </w:rPr>
              <w:t>ud af dambruget</w:t>
            </w:r>
            <w:r w:rsidR="00DD5C92">
              <w:rPr>
                <w:rFonts w:cstheme="minorHAnsi"/>
                <w:sz w:val="20"/>
                <w:szCs w:val="20"/>
              </w:rPr>
              <w:t xml:space="preserve"> og månedligt gennemsnit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D5C92">
              <w:rPr>
                <w:rFonts w:cstheme="minorHAnsi"/>
                <w:sz w:val="20"/>
                <w:szCs w:val="20"/>
              </w:rPr>
              <w:t>for vandindvinding.</w:t>
            </w:r>
          </w:p>
          <w:p w14:paraId="798B561C" w14:textId="77777777" w:rsidR="00DD5C92" w:rsidRDefault="00DD5C92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CF68F04" w14:textId="54CB0E45" w:rsidR="00DD5C92" w:rsidRDefault="00DD5C92" w:rsidP="005F67A4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DD5C92">
              <w:rPr>
                <w:rFonts w:cstheme="minorHAnsi"/>
                <w:i/>
                <w:iCs/>
                <w:sz w:val="20"/>
                <w:szCs w:val="20"/>
              </w:rPr>
              <w:t>Drift</w:t>
            </w:r>
            <w:r>
              <w:rPr>
                <w:rFonts w:cstheme="minorHAnsi"/>
                <w:i/>
                <w:iCs/>
                <w:sz w:val="20"/>
                <w:szCs w:val="20"/>
              </w:rPr>
              <w:t>s</w:t>
            </w:r>
            <w:r w:rsidRPr="00DD5C92">
              <w:rPr>
                <w:rFonts w:cstheme="minorHAnsi"/>
                <w:i/>
                <w:iCs/>
                <w:sz w:val="20"/>
                <w:szCs w:val="20"/>
              </w:rPr>
              <w:t>journal</w:t>
            </w:r>
          </w:p>
          <w:p w14:paraId="5229C7D5" w14:textId="61B1FB52" w:rsidR="00DD5C92" w:rsidRDefault="00134E16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 føres driftsjournal i overensstemmelse med miljøgodkendelsen. </w:t>
            </w:r>
          </w:p>
          <w:p w14:paraId="0F603256" w14:textId="77777777" w:rsidR="00134E16" w:rsidRPr="00134E16" w:rsidRDefault="00134E16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bookmarkEnd w:id="0"/>
          <w:p w14:paraId="674D6F46" w14:textId="076CDF5F" w:rsidR="00D82CF7" w:rsidRDefault="00D82CF7" w:rsidP="005F67A4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Iltmåling i udløb</w:t>
            </w:r>
          </w:p>
          <w:p w14:paraId="0B5CB106" w14:textId="12F3A019" w:rsidR="00D82CF7" w:rsidRDefault="00D82CF7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Dambruget er i gang med at etablere kontinuert måling af ilt i udløbet for at sikre overholdelse af vilkår </w:t>
            </w:r>
            <w:r w:rsidR="00134E16">
              <w:rPr>
                <w:rFonts w:cstheme="minorHAnsi"/>
                <w:sz w:val="20"/>
                <w:szCs w:val="20"/>
              </w:rPr>
              <w:t>24.</w:t>
            </w:r>
          </w:p>
          <w:p w14:paraId="3500FC54" w14:textId="77777777" w:rsidR="00D82CF7" w:rsidRDefault="00D82CF7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520685D" w14:textId="30821E34" w:rsidR="00D82CF7" w:rsidRDefault="00D82CF7" w:rsidP="005F67A4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Plantelagune</w:t>
            </w:r>
          </w:p>
          <w:p w14:paraId="06818573" w14:textId="4D0E69E9" w:rsidR="00D82CF7" w:rsidRDefault="00D82CF7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Lagunen oprenses eller vedligeholdes ikke. Det blev aftalt</w:t>
            </w:r>
            <w:r w:rsidR="00134E16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at lagunen gennemgås for at sikre at lagunearealet fortsat er til stede og at slamansamlinger, særligt ved tilløb med overskudsvand, fjernes. </w:t>
            </w:r>
            <w:r w:rsidR="00134E16">
              <w:rPr>
                <w:rFonts w:cstheme="minorHAnsi"/>
                <w:sz w:val="20"/>
                <w:szCs w:val="20"/>
              </w:rPr>
              <w:t xml:space="preserve">Fremadrettet gøres dette min. en gang årligt. </w:t>
            </w:r>
            <w:r>
              <w:rPr>
                <w:rFonts w:cstheme="minorHAnsi"/>
                <w:sz w:val="20"/>
                <w:szCs w:val="20"/>
              </w:rPr>
              <w:t>Dokumentation for gennemgang og eventuelle tiltag sendes til Aalborg Kommune</w:t>
            </w:r>
            <w:r w:rsidR="00134E16">
              <w:rPr>
                <w:rFonts w:cstheme="minorHAnsi"/>
                <w:sz w:val="20"/>
                <w:szCs w:val="20"/>
              </w:rPr>
              <w:t xml:space="preserve"> samt registreres i driftsjournal. </w:t>
            </w:r>
          </w:p>
          <w:p w14:paraId="64669428" w14:textId="77777777" w:rsidR="00D82CF7" w:rsidRPr="00D82CF7" w:rsidRDefault="00D82CF7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EBA3D76" w14:textId="52E2F13C" w:rsidR="0054135D" w:rsidRDefault="0054135D" w:rsidP="005F67A4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4A5676">
              <w:rPr>
                <w:rFonts w:cstheme="minorHAnsi"/>
                <w:i/>
                <w:iCs/>
                <w:sz w:val="20"/>
                <w:szCs w:val="20"/>
              </w:rPr>
              <w:t>Støj fra dambruget</w:t>
            </w:r>
          </w:p>
          <w:p w14:paraId="227E918E" w14:textId="759E4737" w:rsidR="0054135D" w:rsidRDefault="0054135D" w:rsidP="005F67A4">
            <w:pPr>
              <w:spacing w:after="0"/>
              <w:rPr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Der blev i forbindelse med tilsyn i 2024 </w:t>
            </w:r>
            <w:r w:rsidR="00977B8B">
              <w:rPr>
                <w:rFonts w:cstheme="minorHAnsi"/>
                <w:i/>
                <w:iCs/>
                <w:sz w:val="20"/>
                <w:szCs w:val="20"/>
              </w:rPr>
              <w:t xml:space="preserve">opsat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støjskærm for at fjerne unødig støj</w:t>
            </w:r>
            <w:r w:rsidR="00977B8B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som opstår i forbindelse med </w:t>
            </w:r>
            <w:r w:rsidRPr="004A5676">
              <w:rPr>
                <w:sz w:val="20"/>
                <w:szCs w:val="20"/>
              </w:rPr>
              <w:t>mikrosigte og overrisling</w:t>
            </w:r>
            <w:r>
              <w:rPr>
                <w:sz w:val="20"/>
                <w:szCs w:val="20"/>
              </w:rPr>
              <w:t>. Der har ikke efterfølgende været støjklager.</w:t>
            </w:r>
          </w:p>
          <w:p w14:paraId="3C3C5205" w14:textId="286C24CC" w:rsidR="0054135D" w:rsidRDefault="0054135D" w:rsidP="005F67A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Dambruget har planer om at flytte anlæg til afgasning </w:t>
            </w:r>
            <w:r w:rsidR="00D82CF7">
              <w:rPr>
                <w:sz w:val="20"/>
                <w:szCs w:val="20"/>
              </w:rPr>
              <w:t xml:space="preserve">af kvælstof </w:t>
            </w:r>
            <w:r>
              <w:rPr>
                <w:sz w:val="20"/>
                <w:szCs w:val="20"/>
              </w:rPr>
              <w:t xml:space="preserve">fra </w:t>
            </w:r>
            <w:r w:rsidR="00D82CF7">
              <w:rPr>
                <w:sz w:val="20"/>
                <w:szCs w:val="20"/>
              </w:rPr>
              <w:t>kumme</w:t>
            </w:r>
            <w:r>
              <w:rPr>
                <w:sz w:val="20"/>
                <w:szCs w:val="20"/>
              </w:rPr>
              <w:t>huset</w:t>
            </w:r>
            <w:r w:rsidR="00D82CF7">
              <w:rPr>
                <w:sz w:val="20"/>
                <w:szCs w:val="20"/>
              </w:rPr>
              <w:t xml:space="preserve"> til</w:t>
            </w:r>
            <w:r w:rsidR="00977B8B">
              <w:rPr>
                <w:sz w:val="20"/>
                <w:szCs w:val="20"/>
              </w:rPr>
              <w:t xml:space="preserve"> udendørs</w:t>
            </w:r>
            <w:r w:rsidR="00D82CF7">
              <w:rPr>
                <w:sz w:val="20"/>
                <w:szCs w:val="20"/>
              </w:rPr>
              <w:t>placering ved</w:t>
            </w:r>
            <w:r>
              <w:rPr>
                <w:sz w:val="20"/>
                <w:szCs w:val="20"/>
              </w:rPr>
              <w:t xml:space="preserve"> den vestlige gavl af sættehuset</w:t>
            </w:r>
            <w:r w:rsidR="00977B8B">
              <w:rPr>
                <w:sz w:val="20"/>
                <w:szCs w:val="20"/>
              </w:rPr>
              <w:t>. D</w:t>
            </w:r>
            <w:r w:rsidR="00D82CF7">
              <w:rPr>
                <w:sz w:val="20"/>
                <w:szCs w:val="20"/>
              </w:rPr>
              <w:t>ambruget</w:t>
            </w:r>
            <w:r>
              <w:rPr>
                <w:sz w:val="20"/>
                <w:szCs w:val="20"/>
              </w:rPr>
              <w:t xml:space="preserve"> blev gjort opmærksom på</w:t>
            </w:r>
            <w:r w:rsidR="00D82C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at </w:t>
            </w:r>
            <w:r w:rsidR="00D82CF7">
              <w:rPr>
                <w:sz w:val="20"/>
                <w:szCs w:val="20"/>
              </w:rPr>
              <w:t>vilkår om støj skal kunne efterkommes ved den nye placering.</w:t>
            </w:r>
          </w:p>
          <w:p w14:paraId="5AF3A358" w14:textId="77777777" w:rsidR="00D82CF7" w:rsidRPr="004A5676" w:rsidRDefault="00D82CF7" w:rsidP="005F67A4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012D414" w14:textId="77777777" w:rsidR="0054135D" w:rsidRPr="00681971" w:rsidRDefault="0054135D" w:rsidP="005F67A4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681971">
              <w:rPr>
                <w:rFonts w:cstheme="minorHAnsi"/>
                <w:i/>
                <w:iCs/>
                <w:sz w:val="20"/>
                <w:szCs w:val="20"/>
              </w:rPr>
              <w:t xml:space="preserve">Jordforurening på dambrugsarealet efter uheld med væltet olietank. </w:t>
            </w:r>
          </w:p>
          <w:p w14:paraId="13E204E2" w14:textId="3FDDC02D" w:rsidR="007249C2" w:rsidRDefault="0054135D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 pågår oprydning o</w:t>
            </w:r>
            <w:r w:rsidR="00B53D45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 xml:space="preserve"> monitorering af jordforurening</w:t>
            </w:r>
            <w:r w:rsidR="00B53D45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som opstod i 2024 i forbindelse med en væltet olietank.</w:t>
            </w:r>
            <w:r w:rsidR="007249C2">
              <w:rPr>
                <w:rFonts w:cstheme="minorHAnsi"/>
                <w:sz w:val="20"/>
                <w:szCs w:val="20"/>
              </w:rPr>
              <w:t xml:space="preserve"> Dambruget afventer resultaterne fra de seneste jordprøver, men forventer at hele forureningen snart er fjernet.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4F107B" w14:textId="77777777" w:rsidR="00977B8B" w:rsidRDefault="00977B8B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AFD7F43" w14:textId="4482F84A" w:rsidR="00977B8B" w:rsidRPr="00D82CF7" w:rsidRDefault="00977B8B" w:rsidP="005F67A4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D82CF7">
              <w:rPr>
                <w:rFonts w:cstheme="minorHAnsi"/>
                <w:i/>
                <w:iCs/>
                <w:sz w:val="20"/>
                <w:szCs w:val="20"/>
              </w:rPr>
              <w:t>Medicin og hjælpestoffer</w:t>
            </w:r>
          </w:p>
          <w:p w14:paraId="0E4E62AD" w14:textId="066B177C" w:rsidR="00D021E1" w:rsidRPr="00D82CF7" w:rsidRDefault="00D021E1" w:rsidP="004E0358">
            <w:pPr>
              <w:rPr>
                <w:sz w:val="20"/>
                <w:szCs w:val="20"/>
              </w:rPr>
            </w:pPr>
            <w:r w:rsidRPr="00D82CF7">
              <w:rPr>
                <w:sz w:val="20"/>
                <w:szCs w:val="20"/>
              </w:rPr>
              <w:t>Dambruget forbrug af medicin i første halvår af 2025 består udelukkende af 1 behandling med florfenicol</w:t>
            </w:r>
            <w:r w:rsidR="00F40745" w:rsidRPr="00D82CF7">
              <w:rPr>
                <w:sz w:val="20"/>
                <w:szCs w:val="20"/>
              </w:rPr>
              <w:t>. Behandlingen er i overensstemmelse med dambrugets miljøgodkendelse</w:t>
            </w:r>
            <w:r w:rsidR="00134E16">
              <w:rPr>
                <w:sz w:val="20"/>
                <w:szCs w:val="20"/>
              </w:rPr>
              <w:t>.</w:t>
            </w:r>
          </w:p>
          <w:p w14:paraId="0FA1C8FC" w14:textId="21560C0B" w:rsidR="004E0358" w:rsidRPr="00D82CF7" w:rsidRDefault="004E0358" w:rsidP="004E0358">
            <w:pPr>
              <w:rPr>
                <w:sz w:val="20"/>
                <w:szCs w:val="20"/>
              </w:rPr>
            </w:pPr>
            <w:r w:rsidRPr="00D82CF7">
              <w:rPr>
                <w:sz w:val="20"/>
                <w:szCs w:val="20"/>
              </w:rPr>
              <w:t>Der benyttes primært oxides og forma</w:t>
            </w:r>
            <w:r w:rsidR="00B53D45" w:rsidRPr="00D82CF7">
              <w:rPr>
                <w:sz w:val="20"/>
                <w:szCs w:val="20"/>
              </w:rPr>
              <w:t>lin</w:t>
            </w:r>
            <w:r w:rsidRPr="00D82CF7">
              <w:rPr>
                <w:sz w:val="20"/>
                <w:szCs w:val="20"/>
              </w:rPr>
              <w:t xml:space="preserve"> som hjælpestoffer</w:t>
            </w:r>
            <w:r w:rsidR="00B53D45" w:rsidRPr="00D82CF7">
              <w:rPr>
                <w:sz w:val="20"/>
                <w:szCs w:val="20"/>
              </w:rPr>
              <w:t xml:space="preserve">, derudover </w:t>
            </w:r>
            <w:r w:rsidR="005A0A9D" w:rsidRPr="00D82CF7">
              <w:rPr>
                <w:sz w:val="20"/>
                <w:szCs w:val="20"/>
              </w:rPr>
              <w:t xml:space="preserve">anvendes </w:t>
            </w:r>
            <w:r w:rsidR="00B53D45" w:rsidRPr="00D82CF7">
              <w:rPr>
                <w:sz w:val="20"/>
                <w:szCs w:val="20"/>
              </w:rPr>
              <w:t xml:space="preserve">salt og </w:t>
            </w:r>
            <w:r w:rsidR="00F40745" w:rsidRPr="00D82CF7">
              <w:rPr>
                <w:sz w:val="20"/>
                <w:szCs w:val="20"/>
              </w:rPr>
              <w:t>natriumpercarbonat</w:t>
            </w:r>
            <w:r w:rsidRPr="00D82CF7">
              <w:rPr>
                <w:sz w:val="20"/>
                <w:szCs w:val="20"/>
              </w:rPr>
              <w:t xml:space="preserve">. </w:t>
            </w:r>
            <w:r w:rsidR="00B53D45" w:rsidRPr="00D82CF7">
              <w:rPr>
                <w:sz w:val="20"/>
                <w:szCs w:val="20"/>
              </w:rPr>
              <w:t>Anvendelse af</w:t>
            </w:r>
            <w:r w:rsidRPr="00D82CF7">
              <w:rPr>
                <w:sz w:val="20"/>
                <w:szCs w:val="20"/>
              </w:rPr>
              <w:t xml:space="preserve"> hjælpestoffer er i overensstemmelse med behandlingsprocedurerne i miljøgodkendelsen</w:t>
            </w:r>
            <w:r w:rsidR="00B53D45" w:rsidRPr="00D82CF7">
              <w:rPr>
                <w:sz w:val="20"/>
                <w:szCs w:val="20"/>
              </w:rPr>
              <w:t>.</w:t>
            </w:r>
            <w:r w:rsidRPr="00D82CF7">
              <w:rPr>
                <w:sz w:val="20"/>
                <w:szCs w:val="20"/>
              </w:rPr>
              <w:t xml:space="preserve"> </w:t>
            </w:r>
            <w:r w:rsidR="00B53D45" w:rsidRPr="00D82CF7">
              <w:rPr>
                <w:sz w:val="20"/>
                <w:szCs w:val="20"/>
              </w:rPr>
              <w:t>D</w:t>
            </w:r>
            <w:r w:rsidRPr="00D82CF7">
              <w:rPr>
                <w:sz w:val="20"/>
                <w:szCs w:val="20"/>
              </w:rPr>
              <w:t>er er fokus på at nedsætte forbruget af forma</w:t>
            </w:r>
            <w:r w:rsidR="00B53D45" w:rsidRPr="00D82CF7">
              <w:rPr>
                <w:sz w:val="20"/>
                <w:szCs w:val="20"/>
              </w:rPr>
              <w:t>lin</w:t>
            </w:r>
            <w:r w:rsidRPr="00D82CF7">
              <w:rPr>
                <w:sz w:val="20"/>
                <w:szCs w:val="20"/>
              </w:rPr>
              <w:t xml:space="preserve"> for at leve op til BAT. </w:t>
            </w:r>
            <w:r w:rsidR="00B53D45" w:rsidRPr="00D82CF7">
              <w:rPr>
                <w:sz w:val="20"/>
                <w:szCs w:val="20"/>
              </w:rPr>
              <w:t>Dambruget har, s</w:t>
            </w:r>
            <w:r w:rsidR="00532175" w:rsidRPr="00D82CF7">
              <w:rPr>
                <w:sz w:val="20"/>
                <w:szCs w:val="20"/>
              </w:rPr>
              <w:t>om erstatning for formal</w:t>
            </w:r>
            <w:r w:rsidR="00B53D45" w:rsidRPr="00D82CF7">
              <w:rPr>
                <w:sz w:val="20"/>
                <w:szCs w:val="20"/>
              </w:rPr>
              <w:t>in, anvendt</w:t>
            </w:r>
            <w:r w:rsidRPr="00D82CF7">
              <w:rPr>
                <w:sz w:val="20"/>
                <w:szCs w:val="20"/>
              </w:rPr>
              <w:t xml:space="preserve"> Vi</w:t>
            </w:r>
            <w:r w:rsidR="00B53D45" w:rsidRPr="00D82CF7">
              <w:rPr>
                <w:sz w:val="20"/>
                <w:szCs w:val="20"/>
              </w:rPr>
              <w:t>r</w:t>
            </w:r>
            <w:r w:rsidRPr="00D82CF7">
              <w:rPr>
                <w:sz w:val="20"/>
                <w:szCs w:val="20"/>
              </w:rPr>
              <w:t>con</w:t>
            </w:r>
            <w:r w:rsidR="00134E16">
              <w:rPr>
                <w:sz w:val="20"/>
                <w:szCs w:val="20"/>
              </w:rPr>
              <w:t xml:space="preserve"> </w:t>
            </w:r>
            <w:r w:rsidRPr="00D82CF7">
              <w:rPr>
                <w:sz w:val="20"/>
                <w:szCs w:val="20"/>
              </w:rPr>
              <w:t>S</w:t>
            </w:r>
            <w:r w:rsidR="00B53D45" w:rsidRPr="00D82CF7">
              <w:rPr>
                <w:sz w:val="20"/>
                <w:szCs w:val="20"/>
              </w:rPr>
              <w:t xml:space="preserve"> i kummehus og sættefisk anlæg. Der er ikke tilladelse til at anvende Vircon</w:t>
            </w:r>
            <w:r w:rsidR="00134E16">
              <w:rPr>
                <w:sz w:val="20"/>
                <w:szCs w:val="20"/>
              </w:rPr>
              <w:t xml:space="preserve"> </w:t>
            </w:r>
            <w:r w:rsidR="00B53D45" w:rsidRPr="00D82CF7">
              <w:rPr>
                <w:sz w:val="20"/>
                <w:szCs w:val="20"/>
              </w:rPr>
              <w:t>S som hjælpemiddel i kummer og anlæg. Ligesom der ikke er udarbejdet behandlingsprocedurer eller foretaget en risikovurdering for Vircon</w:t>
            </w:r>
            <w:r w:rsidR="00134E16">
              <w:rPr>
                <w:sz w:val="20"/>
                <w:szCs w:val="20"/>
              </w:rPr>
              <w:t xml:space="preserve"> </w:t>
            </w:r>
            <w:r w:rsidR="00B53D45" w:rsidRPr="00D82CF7">
              <w:rPr>
                <w:sz w:val="20"/>
                <w:szCs w:val="20"/>
              </w:rPr>
              <w:t>S. Forholdet blev håndhævet ved tilsyn. Det blev aftalt</w:t>
            </w:r>
            <w:r w:rsidR="005A0A9D" w:rsidRPr="00D82CF7">
              <w:rPr>
                <w:sz w:val="20"/>
                <w:szCs w:val="20"/>
              </w:rPr>
              <w:t>,</w:t>
            </w:r>
            <w:r w:rsidR="00B53D45" w:rsidRPr="00D82CF7">
              <w:rPr>
                <w:sz w:val="20"/>
                <w:szCs w:val="20"/>
              </w:rPr>
              <w:t xml:space="preserve"> at dambruget indsender behandlingsprocedure og dokumentation for omsætning af de aktive stoffer i produktet. Aalborg Kommune vil herefter vurdere om det er muligt at godkende brug af Vircon</w:t>
            </w:r>
            <w:r w:rsidR="00134E16">
              <w:rPr>
                <w:sz w:val="20"/>
                <w:szCs w:val="20"/>
              </w:rPr>
              <w:t xml:space="preserve"> </w:t>
            </w:r>
            <w:r w:rsidR="00B53D45" w:rsidRPr="00D82CF7">
              <w:rPr>
                <w:sz w:val="20"/>
                <w:szCs w:val="20"/>
              </w:rPr>
              <w:t xml:space="preserve">S som hjælpestof. </w:t>
            </w:r>
          </w:p>
          <w:p w14:paraId="1B550EA2" w14:textId="60D27441" w:rsidR="007249C2" w:rsidRPr="00D82CF7" w:rsidRDefault="007249C2" w:rsidP="005F67A4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D82CF7">
              <w:rPr>
                <w:rFonts w:cstheme="minorHAnsi"/>
                <w:i/>
                <w:iCs/>
                <w:sz w:val="20"/>
                <w:szCs w:val="20"/>
              </w:rPr>
              <w:t>Affald</w:t>
            </w:r>
          </w:p>
          <w:p w14:paraId="3F13DB4C" w14:textId="73DC9D54" w:rsidR="00476FD0" w:rsidRDefault="007249C2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Dambrugets affaldsfraktioner blev gennemgået</w:t>
            </w:r>
            <w:r w:rsidR="00D82CF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82CF7">
              <w:rPr>
                <w:rFonts w:cstheme="minorHAnsi"/>
                <w:sz w:val="20"/>
                <w:szCs w:val="20"/>
              </w:rPr>
              <w:t>O</w:t>
            </w:r>
            <w:r w:rsidR="00476FD0">
              <w:rPr>
                <w:rFonts w:cstheme="minorHAnsi"/>
                <w:sz w:val="20"/>
                <w:szCs w:val="20"/>
              </w:rPr>
              <w:t>pbevaring af affald sker efter reglerne</w:t>
            </w:r>
            <w:r w:rsidR="00B53D45">
              <w:rPr>
                <w:rFonts w:cstheme="minorHAnsi"/>
                <w:sz w:val="20"/>
                <w:szCs w:val="20"/>
              </w:rPr>
              <w:t>. D</w:t>
            </w:r>
            <w:r w:rsidR="00476FD0">
              <w:rPr>
                <w:rFonts w:cstheme="minorHAnsi"/>
                <w:sz w:val="20"/>
                <w:szCs w:val="20"/>
              </w:rPr>
              <w:t>ambruget blev gjort opmærksom på</w:t>
            </w:r>
            <w:r w:rsidR="00D82CF7">
              <w:rPr>
                <w:rFonts w:cstheme="minorHAnsi"/>
                <w:sz w:val="20"/>
                <w:szCs w:val="20"/>
              </w:rPr>
              <w:t>,</w:t>
            </w:r>
            <w:r w:rsidR="00476FD0">
              <w:rPr>
                <w:rFonts w:cstheme="minorHAnsi"/>
                <w:sz w:val="20"/>
                <w:szCs w:val="20"/>
              </w:rPr>
              <w:t xml:space="preserve"> at affald kun skal afleveres til godkendte modtager</w:t>
            </w:r>
            <w:r w:rsidR="00B53D45">
              <w:rPr>
                <w:rFonts w:cstheme="minorHAnsi"/>
                <w:sz w:val="20"/>
                <w:szCs w:val="20"/>
              </w:rPr>
              <w:t>e</w:t>
            </w:r>
            <w:r w:rsidR="00476FD0">
              <w:rPr>
                <w:rFonts w:cstheme="minorHAnsi"/>
                <w:sz w:val="20"/>
                <w:szCs w:val="20"/>
              </w:rPr>
              <w:t xml:space="preserve"> således at det bliver indberettet i Affaldsdatasystemet. </w:t>
            </w:r>
          </w:p>
          <w:p w14:paraId="1C9740C8" w14:textId="67115C0A" w:rsidR="007249C2" w:rsidRPr="00B32703" w:rsidRDefault="00476FD0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2026 vil det årlige miljøtilsyn blive forlænget med et udvide</w:t>
            </w:r>
            <w:r w:rsidR="00B53D45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 xml:space="preserve"> affaldstilsyn</w:t>
            </w:r>
            <w:r w:rsidR="00977B8B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249C2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E7CE224" w14:textId="77777777" w:rsidR="0054135D" w:rsidRPr="00B32703" w:rsidRDefault="0054135D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36F7F53" w14:textId="718CA316" w:rsidR="0054135D" w:rsidRPr="005314F9" w:rsidRDefault="00532175" w:rsidP="005F67A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82CF7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="0054135D" w:rsidRPr="00D82CF7">
              <w:rPr>
                <w:rFonts w:cstheme="minorHAnsi"/>
                <w:i/>
                <w:iCs/>
                <w:sz w:val="20"/>
                <w:szCs w:val="20"/>
              </w:rPr>
              <w:t xml:space="preserve">plag </w:t>
            </w:r>
            <w:r w:rsidR="0054135D" w:rsidRPr="00B32703">
              <w:rPr>
                <w:rFonts w:cstheme="minorHAnsi"/>
                <w:sz w:val="20"/>
                <w:szCs w:val="20"/>
              </w:rPr>
              <w:t>af kemikalier, olie mm blev gennemgået og der er ikke</w:t>
            </w:r>
            <w:r w:rsidR="0054135D">
              <w:rPr>
                <w:rFonts w:cstheme="minorHAnsi"/>
                <w:sz w:val="20"/>
                <w:szCs w:val="20"/>
              </w:rPr>
              <w:t xml:space="preserve"> bemærkninger til opbevaringen af disse. </w:t>
            </w:r>
            <w:r>
              <w:rPr>
                <w:rFonts w:cstheme="minorHAnsi"/>
                <w:sz w:val="20"/>
                <w:szCs w:val="20"/>
              </w:rPr>
              <w:t>Farligt affald opbevares i spildbakke uden afløb</w:t>
            </w:r>
            <w:r w:rsidR="00BC0F97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54135D" w:rsidRPr="00EE4D18" w14:paraId="5E3A10C8" w14:textId="77777777" w:rsidTr="005F67A4">
        <w:trPr>
          <w:jc w:val="center"/>
        </w:trPr>
        <w:tc>
          <w:tcPr>
            <w:tcW w:w="2122" w:type="dxa"/>
            <w:vAlign w:val="center"/>
          </w:tcPr>
          <w:p w14:paraId="012B52A8" w14:textId="7777777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Håndhævelser</w:t>
            </w:r>
          </w:p>
        </w:tc>
        <w:tc>
          <w:tcPr>
            <w:tcW w:w="7506" w:type="dxa"/>
            <w:gridSpan w:val="7"/>
            <w:vAlign w:val="center"/>
          </w:tcPr>
          <w:p w14:paraId="760EB7EB" w14:textId="55DFAC60" w:rsidR="0054135D" w:rsidRPr="00E842F7" w:rsidRDefault="0054135D" w:rsidP="005F67A4">
            <w:pPr>
              <w:pStyle w:val="Listeafsnit"/>
              <w:ind w:left="0"/>
              <w:rPr>
                <w:sz w:val="20"/>
                <w:szCs w:val="20"/>
              </w:rPr>
            </w:pPr>
            <w:r w:rsidRPr="00E842F7">
              <w:rPr>
                <w:sz w:val="20"/>
                <w:szCs w:val="20"/>
              </w:rPr>
              <w:t>Tilsynet gav anledning til følgende indskærpelse, jævnfør § 69 i miljøbeskyttelsesloven:</w:t>
            </w:r>
          </w:p>
          <w:p w14:paraId="38A2845C" w14:textId="7D18CC19" w:rsidR="00F40745" w:rsidRDefault="0054135D" w:rsidP="00134E16">
            <w:pPr>
              <w:pStyle w:val="Listeafsni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bookmarkStart w:id="1" w:name="_Hlk201236261"/>
            <w:r w:rsidRPr="00231929">
              <w:rPr>
                <w:sz w:val="20"/>
                <w:szCs w:val="20"/>
              </w:rPr>
              <w:t xml:space="preserve">Jævnfør vilkår </w:t>
            </w:r>
            <w:r w:rsidR="004E0358" w:rsidRPr="00231929">
              <w:rPr>
                <w:sz w:val="20"/>
                <w:szCs w:val="20"/>
              </w:rPr>
              <w:t>30 må der benyttes brintoverilte, pereddikesyre</w:t>
            </w:r>
            <w:r w:rsidR="00231929" w:rsidRPr="00231929">
              <w:rPr>
                <w:sz w:val="20"/>
                <w:szCs w:val="20"/>
              </w:rPr>
              <w:t>, salt og formalin i begrænset mængder, til forebyggelse og behandling af sygdomme. Der er ikke mulighed for at benytte Vi</w:t>
            </w:r>
            <w:r w:rsidR="00134E16">
              <w:rPr>
                <w:sz w:val="20"/>
                <w:szCs w:val="20"/>
              </w:rPr>
              <w:t>r</w:t>
            </w:r>
            <w:r w:rsidR="00231929" w:rsidRPr="00231929">
              <w:rPr>
                <w:sz w:val="20"/>
                <w:szCs w:val="20"/>
              </w:rPr>
              <w:t xml:space="preserve">con S. </w:t>
            </w:r>
          </w:p>
          <w:p w14:paraId="2B405F56" w14:textId="44CF0AD7" w:rsidR="00F40745" w:rsidRPr="00D82CF7" w:rsidRDefault="00F40745" w:rsidP="00134E16">
            <w:pPr>
              <w:pStyle w:val="Listeafsnit"/>
              <w:rPr>
                <w:sz w:val="20"/>
                <w:szCs w:val="20"/>
              </w:rPr>
            </w:pPr>
            <w:r w:rsidRPr="00D82CF7">
              <w:rPr>
                <w:sz w:val="20"/>
                <w:szCs w:val="20"/>
              </w:rPr>
              <w:t>Aalborg Kommune indskærper at vilkår 30, omhandlende hvilke hjælpestoffer der kan anvendes på dambruget, efterkommes fra dags dato.</w:t>
            </w:r>
          </w:p>
          <w:bookmarkEnd w:id="1"/>
          <w:p w14:paraId="73389F09" w14:textId="4388F3B0" w:rsidR="0054135D" w:rsidRPr="00231929" w:rsidRDefault="0054135D" w:rsidP="00231929">
            <w:pPr>
              <w:rPr>
                <w:sz w:val="20"/>
                <w:szCs w:val="20"/>
              </w:rPr>
            </w:pPr>
            <w:r w:rsidRPr="00231929">
              <w:rPr>
                <w:sz w:val="20"/>
                <w:szCs w:val="20"/>
              </w:rPr>
              <w:t>Aalborg Kommune gør opmærksom på, at i henhold til miljøbeskyttelseslovens §110 stk. 1 nr. 4 er det strafbart at tilsidesætte vilkår knyttet til en miljøgodkendelse efter loven.</w:t>
            </w:r>
          </w:p>
        </w:tc>
      </w:tr>
      <w:tr w:rsidR="0054135D" w:rsidRPr="00EE4D18" w14:paraId="230EDC60" w14:textId="77777777" w:rsidTr="005F67A4">
        <w:trPr>
          <w:jc w:val="center"/>
        </w:trPr>
        <w:tc>
          <w:tcPr>
            <w:tcW w:w="2122" w:type="dxa"/>
            <w:vAlign w:val="center"/>
          </w:tcPr>
          <w:p w14:paraId="74A2B3E0" w14:textId="7777777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Bæredygtighed</w:t>
            </w:r>
          </w:p>
        </w:tc>
        <w:tc>
          <w:tcPr>
            <w:tcW w:w="7506" w:type="dxa"/>
            <w:gridSpan w:val="7"/>
            <w:vAlign w:val="center"/>
          </w:tcPr>
          <w:p w14:paraId="20DB95CF" w14:textId="6459701A" w:rsidR="0054135D" w:rsidRPr="00EE4D18" w:rsidRDefault="0054135D" w:rsidP="005F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Mængde af brug af hjælpestoffer</w:t>
            </w:r>
            <w:r w:rsidR="0030334C">
              <w:rPr>
                <w:sz w:val="20"/>
                <w:szCs w:val="20"/>
              </w:rPr>
              <w:t xml:space="preserve"> som forma</w:t>
            </w:r>
            <w:r w:rsidR="009947FE">
              <w:rPr>
                <w:sz w:val="20"/>
                <w:szCs w:val="20"/>
              </w:rPr>
              <w:t>lin</w:t>
            </w:r>
            <w:r>
              <w:rPr>
                <w:sz w:val="20"/>
                <w:szCs w:val="20"/>
              </w:rPr>
              <w:t xml:space="preserve"> er reduceret</w:t>
            </w:r>
            <w:r w:rsidR="009947FE">
              <w:rPr>
                <w:sz w:val="20"/>
                <w:szCs w:val="20"/>
              </w:rPr>
              <w:t xml:space="preserve"> i det første halvår 2025</w:t>
            </w:r>
            <w:r w:rsidR="00977B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som følge af ændret drift på dambruget. Sortering af affald, plastfraktion, blev drøftet og aftalt at dambruget undersøger muligheden for særskilt container til plastsække.</w:t>
            </w:r>
          </w:p>
        </w:tc>
      </w:tr>
      <w:tr w:rsidR="0054135D" w:rsidRPr="00EE4D18" w14:paraId="1BD8EB48" w14:textId="77777777" w:rsidTr="005F67A4">
        <w:trPr>
          <w:jc w:val="center"/>
        </w:trPr>
        <w:tc>
          <w:tcPr>
            <w:tcW w:w="2122" w:type="dxa"/>
            <w:vAlign w:val="center"/>
          </w:tcPr>
          <w:p w14:paraId="0C290EDE" w14:textId="77777777" w:rsidR="0054135D" w:rsidRPr="00EE4D18" w:rsidRDefault="0054135D" w:rsidP="005F67A4">
            <w:pPr>
              <w:spacing w:line="276" w:lineRule="auto"/>
              <w:rPr>
                <w:b/>
                <w:sz w:val="20"/>
                <w:szCs w:val="20"/>
              </w:rPr>
            </w:pPr>
            <w:r w:rsidRPr="00EE4D18">
              <w:rPr>
                <w:b/>
                <w:sz w:val="20"/>
                <w:szCs w:val="20"/>
              </w:rPr>
              <w:t>Jordforurening</w:t>
            </w:r>
          </w:p>
        </w:tc>
        <w:tc>
          <w:tcPr>
            <w:tcW w:w="7506" w:type="dxa"/>
            <w:gridSpan w:val="7"/>
            <w:vAlign w:val="center"/>
          </w:tcPr>
          <w:p w14:paraId="1E2C12C6" w14:textId="445EAB18" w:rsidR="0054135D" w:rsidRPr="00EE4D18" w:rsidRDefault="0054135D" w:rsidP="005F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Oprydning efter</w:t>
            </w:r>
            <w:r w:rsidR="0030334C">
              <w:rPr>
                <w:sz w:val="20"/>
                <w:szCs w:val="20"/>
              </w:rPr>
              <w:t xml:space="preserve"> oliespild </w:t>
            </w:r>
            <w:r w:rsidR="00476FD0">
              <w:rPr>
                <w:sz w:val="20"/>
                <w:szCs w:val="20"/>
              </w:rPr>
              <w:t>fra olietank</w:t>
            </w:r>
            <w:r>
              <w:rPr>
                <w:sz w:val="20"/>
                <w:szCs w:val="20"/>
              </w:rPr>
              <w:t xml:space="preserve"> pågår</w:t>
            </w:r>
            <w:r w:rsidR="00476FD0">
              <w:rPr>
                <w:sz w:val="20"/>
                <w:szCs w:val="20"/>
              </w:rPr>
              <w:t xml:space="preserve"> fortsat, oprydningen foregår efter anvisninger fra</w:t>
            </w:r>
            <w:r>
              <w:rPr>
                <w:sz w:val="20"/>
                <w:szCs w:val="20"/>
              </w:rPr>
              <w:t xml:space="preserve"> Aalborg Kommune.</w:t>
            </w:r>
          </w:p>
        </w:tc>
      </w:tr>
      <w:tr w:rsidR="009947FE" w:rsidRPr="00EE4D18" w14:paraId="3683310C" w14:textId="77777777" w:rsidTr="005F67A4">
        <w:trPr>
          <w:jc w:val="center"/>
        </w:trPr>
        <w:tc>
          <w:tcPr>
            <w:tcW w:w="2122" w:type="dxa"/>
            <w:vAlign w:val="center"/>
          </w:tcPr>
          <w:p w14:paraId="6F08DD7A" w14:textId="707E9D1F" w:rsidR="009947FE" w:rsidRPr="00EE4D18" w:rsidRDefault="009947FE" w:rsidP="005F67A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Vandløbsundersøgelse</w:t>
            </w:r>
          </w:p>
        </w:tc>
        <w:tc>
          <w:tcPr>
            <w:tcW w:w="7506" w:type="dxa"/>
            <w:gridSpan w:val="7"/>
            <w:vAlign w:val="center"/>
          </w:tcPr>
          <w:p w14:paraId="422592F2" w14:textId="2D1FDB68" w:rsidR="009947FE" w:rsidRDefault="00D82CF7" w:rsidP="005F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Aalborg Kommune har undersøgt vandløbskvaliteten i Binderup Å op og nedstrøms udløbet fra dambruget. Resultatet af undersøgelsen er en faunaklasse 7 hhv op og nedstrøms udløbet. Der er ikke tegn på påvirkning af faunen fra dambruget.</w:t>
            </w:r>
          </w:p>
        </w:tc>
      </w:tr>
    </w:tbl>
    <w:p w14:paraId="6BC6E938" w14:textId="77777777" w:rsidR="0054135D" w:rsidRPr="00EE4D18" w:rsidRDefault="0054135D" w:rsidP="0054135D"/>
    <w:p w14:paraId="48EDEECC" w14:textId="77777777" w:rsidR="0054135D" w:rsidRPr="00EE4D18" w:rsidRDefault="0054135D" w:rsidP="0054135D"/>
    <w:p w14:paraId="6AEEDFD9" w14:textId="77777777" w:rsidR="0054135D" w:rsidRDefault="0054135D" w:rsidP="0054135D"/>
    <w:p w14:paraId="226A008C" w14:textId="70404EDC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9B27" w14:textId="77777777" w:rsidR="007E7AE3" w:rsidRDefault="007E7AE3">
      <w:r>
        <w:separator/>
      </w:r>
    </w:p>
  </w:endnote>
  <w:endnote w:type="continuationSeparator" w:id="0">
    <w:p w14:paraId="565167BD" w14:textId="77777777" w:rsidR="007E7AE3" w:rsidRDefault="007E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565F" w14:textId="77777777" w:rsidR="007340D2" w:rsidRDefault="00183405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2E4E" wp14:editId="6E28097A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10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BA0F6" w14:textId="77777777" w:rsidR="00656DFD" w:rsidRPr="00080AA0" w:rsidRDefault="00656DFD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40A8D617" wp14:editId="2829F691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2E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7FBBA0F6" w14:textId="77777777" w:rsidR="00656DFD" w:rsidRPr="00080AA0" w:rsidRDefault="00656DFD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40A8D617" wp14:editId="2829F691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340D2">
      <w:tab/>
    </w:r>
    <w:r w:rsidR="007340D2">
      <w:tab/>
      <w:t xml:space="preserve">       </w:t>
    </w:r>
    <w:r w:rsidR="000E0F33">
      <w:rPr>
        <w:rStyle w:val="Sidetal"/>
      </w:rPr>
      <w:fldChar w:fldCharType="begin"/>
    </w:r>
    <w:r w:rsidR="007340D2">
      <w:rPr>
        <w:rStyle w:val="Sidetal"/>
      </w:rPr>
      <w:instrText xml:space="preserve"> PAGE </w:instrText>
    </w:r>
    <w:r w:rsidR="000E0F33">
      <w:rPr>
        <w:rStyle w:val="Sidetal"/>
      </w:rPr>
      <w:fldChar w:fldCharType="separate"/>
    </w:r>
    <w:r w:rsidR="00EC0151">
      <w:rPr>
        <w:rStyle w:val="Sidetal"/>
        <w:noProof/>
      </w:rPr>
      <w:t>2</w:t>
    </w:r>
    <w:r w:rsidR="000E0F33">
      <w:rPr>
        <w:rStyle w:val="Sidetal"/>
      </w:rPr>
      <w:fldChar w:fldCharType="end"/>
    </w:r>
    <w:r w:rsidR="007340D2">
      <w:rPr>
        <w:rStyle w:val="Sidetal"/>
      </w:rPr>
      <w:t>/</w:t>
    </w:r>
    <w:r w:rsidR="000E0F33">
      <w:rPr>
        <w:rStyle w:val="Sidetal"/>
      </w:rPr>
      <w:fldChar w:fldCharType="begin"/>
    </w:r>
    <w:r w:rsidR="007340D2">
      <w:rPr>
        <w:rStyle w:val="Sidetal"/>
      </w:rPr>
      <w:instrText xml:space="preserve"> NUMPAGES </w:instrText>
    </w:r>
    <w:r w:rsidR="000E0F33">
      <w:rPr>
        <w:rStyle w:val="Sidetal"/>
      </w:rPr>
      <w:fldChar w:fldCharType="separate"/>
    </w:r>
    <w:r w:rsidR="001E1157">
      <w:rPr>
        <w:rStyle w:val="Sidetal"/>
        <w:noProof/>
      </w:rPr>
      <w:t>1</w:t>
    </w:r>
    <w:r w:rsidR="000E0F33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E127" w14:textId="77777777" w:rsidR="004C1816" w:rsidRDefault="004C1816" w:rsidP="00042200">
    <w:pPr>
      <w:pStyle w:val="Sidefod"/>
      <w:spacing w:after="0"/>
      <w:ind w:right="-1815"/>
      <w:rPr>
        <w:b/>
      </w:rPr>
    </w:pPr>
  </w:p>
  <w:p w14:paraId="60838ACE" w14:textId="77777777" w:rsidR="008F1B07" w:rsidRPr="00042200" w:rsidRDefault="00183405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93F077" wp14:editId="2E7CAB12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7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83A4F" w14:textId="77777777" w:rsidR="004817FD" w:rsidRPr="00080AA0" w:rsidRDefault="00261D2A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CE4D3B8" wp14:editId="219B18C8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3F07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0FD83A4F" w14:textId="77777777" w:rsidR="004817FD" w:rsidRPr="00080AA0" w:rsidRDefault="00261D2A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6CE4D3B8" wp14:editId="219B18C8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0525" w14:textId="77777777" w:rsidR="007E7AE3" w:rsidRDefault="007E7AE3">
      <w:r>
        <w:separator/>
      </w:r>
    </w:p>
  </w:footnote>
  <w:footnote w:type="continuationSeparator" w:id="0">
    <w:p w14:paraId="6A04D859" w14:textId="77777777" w:rsidR="007E7AE3" w:rsidRDefault="007E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F27F" w14:textId="77777777" w:rsidR="007340D2" w:rsidRDefault="00261D2A" w:rsidP="00960A46">
    <w:pPr>
      <w:pStyle w:val="Sidehoved"/>
    </w:pPr>
    <w:r>
      <w:rPr>
        <w:noProof/>
        <w:lang w:eastAsia="da-DK" w:bidi="ar-SA"/>
      </w:rPr>
      <w:drawing>
        <wp:anchor distT="0" distB="0" distL="114300" distR="114300" simplePos="0" relativeHeight="251661312" behindDoc="0" locked="0" layoutInCell="1" allowOverlap="1" wp14:anchorId="11006E6E" wp14:editId="58993505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2C02515B"/>
    <w:multiLevelType w:val="hybridMultilevel"/>
    <w:tmpl w:val="40C05DEE"/>
    <w:lvl w:ilvl="0" w:tplc="F53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44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60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80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C7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40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0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85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8B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822CA"/>
    <w:multiLevelType w:val="hybridMultilevel"/>
    <w:tmpl w:val="BC327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91994">
    <w:abstractNumId w:val="13"/>
  </w:num>
  <w:num w:numId="2" w16cid:durableId="1581863282">
    <w:abstractNumId w:val="8"/>
  </w:num>
  <w:num w:numId="3" w16cid:durableId="269776952">
    <w:abstractNumId w:val="10"/>
  </w:num>
  <w:num w:numId="4" w16cid:durableId="1769764115">
    <w:abstractNumId w:val="9"/>
  </w:num>
  <w:num w:numId="5" w16cid:durableId="700474857">
    <w:abstractNumId w:val="7"/>
  </w:num>
  <w:num w:numId="6" w16cid:durableId="1131903502">
    <w:abstractNumId w:val="6"/>
  </w:num>
  <w:num w:numId="7" w16cid:durableId="886910344">
    <w:abstractNumId w:val="5"/>
  </w:num>
  <w:num w:numId="8" w16cid:durableId="1072463293">
    <w:abstractNumId w:val="4"/>
  </w:num>
  <w:num w:numId="9" w16cid:durableId="180432707">
    <w:abstractNumId w:val="3"/>
  </w:num>
  <w:num w:numId="10" w16cid:durableId="1958833305">
    <w:abstractNumId w:val="2"/>
  </w:num>
  <w:num w:numId="11" w16cid:durableId="1821002593">
    <w:abstractNumId w:val="1"/>
  </w:num>
  <w:num w:numId="12" w16cid:durableId="1238176358">
    <w:abstractNumId w:val="0"/>
  </w:num>
  <w:num w:numId="13" w16cid:durableId="772091937">
    <w:abstractNumId w:val="10"/>
  </w:num>
  <w:num w:numId="14" w16cid:durableId="914708115">
    <w:abstractNumId w:val="10"/>
  </w:num>
  <w:num w:numId="15" w16cid:durableId="854150680">
    <w:abstractNumId w:val="11"/>
  </w:num>
  <w:num w:numId="16" w16cid:durableId="10815662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57"/>
    <w:rsid w:val="0000191B"/>
    <w:rsid w:val="00002B18"/>
    <w:rsid w:val="00002E0D"/>
    <w:rsid w:val="00006862"/>
    <w:rsid w:val="00006EF4"/>
    <w:rsid w:val="00012C6D"/>
    <w:rsid w:val="00012C7B"/>
    <w:rsid w:val="00013718"/>
    <w:rsid w:val="000145F6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46D"/>
    <w:rsid w:val="00042200"/>
    <w:rsid w:val="00043213"/>
    <w:rsid w:val="00053346"/>
    <w:rsid w:val="00063681"/>
    <w:rsid w:val="00065547"/>
    <w:rsid w:val="00077297"/>
    <w:rsid w:val="00080AA0"/>
    <w:rsid w:val="00082114"/>
    <w:rsid w:val="00082346"/>
    <w:rsid w:val="00085F74"/>
    <w:rsid w:val="00093649"/>
    <w:rsid w:val="000A179F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3496"/>
    <w:rsid w:val="000C78EE"/>
    <w:rsid w:val="000D0879"/>
    <w:rsid w:val="000D1A02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4E16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83405"/>
    <w:rsid w:val="00184496"/>
    <w:rsid w:val="001844CC"/>
    <w:rsid w:val="00184CB5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3BB"/>
    <w:rsid w:val="001C6043"/>
    <w:rsid w:val="001D0963"/>
    <w:rsid w:val="001D581D"/>
    <w:rsid w:val="001E016E"/>
    <w:rsid w:val="001E1157"/>
    <w:rsid w:val="001E21B1"/>
    <w:rsid w:val="001E2B90"/>
    <w:rsid w:val="001E3B97"/>
    <w:rsid w:val="001F13F1"/>
    <w:rsid w:val="001F753D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1929"/>
    <w:rsid w:val="002370A2"/>
    <w:rsid w:val="00237AE8"/>
    <w:rsid w:val="00241D85"/>
    <w:rsid w:val="00242035"/>
    <w:rsid w:val="0024569C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6B3A"/>
    <w:rsid w:val="00280070"/>
    <w:rsid w:val="002855EB"/>
    <w:rsid w:val="00286CF2"/>
    <w:rsid w:val="0028786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0334C"/>
    <w:rsid w:val="00310027"/>
    <w:rsid w:val="00310C2D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5BB8"/>
    <w:rsid w:val="00437F01"/>
    <w:rsid w:val="004405E4"/>
    <w:rsid w:val="00447D10"/>
    <w:rsid w:val="00451CB3"/>
    <w:rsid w:val="00452194"/>
    <w:rsid w:val="00454D03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76FD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6105"/>
    <w:rsid w:val="004C6A6F"/>
    <w:rsid w:val="004C704D"/>
    <w:rsid w:val="004D1CF5"/>
    <w:rsid w:val="004D56BD"/>
    <w:rsid w:val="004D7357"/>
    <w:rsid w:val="004E0358"/>
    <w:rsid w:val="004E057F"/>
    <w:rsid w:val="004E2643"/>
    <w:rsid w:val="004E40D6"/>
    <w:rsid w:val="004E516E"/>
    <w:rsid w:val="004F1755"/>
    <w:rsid w:val="004F23E0"/>
    <w:rsid w:val="004F5243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2175"/>
    <w:rsid w:val="00535B5D"/>
    <w:rsid w:val="0054135D"/>
    <w:rsid w:val="00543377"/>
    <w:rsid w:val="00545D81"/>
    <w:rsid w:val="005465BB"/>
    <w:rsid w:val="00546690"/>
    <w:rsid w:val="00552C23"/>
    <w:rsid w:val="005568C2"/>
    <w:rsid w:val="0056245A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0A9D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50B8"/>
    <w:rsid w:val="005E304F"/>
    <w:rsid w:val="005E3C8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597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74C79"/>
    <w:rsid w:val="006755C4"/>
    <w:rsid w:val="00676320"/>
    <w:rsid w:val="00676644"/>
    <w:rsid w:val="006832C4"/>
    <w:rsid w:val="006834C4"/>
    <w:rsid w:val="006838DA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3F54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49C2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7174"/>
    <w:rsid w:val="007B2AE5"/>
    <w:rsid w:val="007B76D4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E7AE3"/>
    <w:rsid w:val="007F3191"/>
    <w:rsid w:val="007F3364"/>
    <w:rsid w:val="007F3CC7"/>
    <w:rsid w:val="007F4A8A"/>
    <w:rsid w:val="007F58B2"/>
    <w:rsid w:val="007F58B8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7FA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D99"/>
    <w:rsid w:val="00942C7E"/>
    <w:rsid w:val="009432FF"/>
    <w:rsid w:val="009439EA"/>
    <w:rsid w:val="0094470A"/>
    <w:rsid w:val="00945DB1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7B8B"/>
    <w:rsid w:val="00980D9B"/>
    <w:rsid w:val="00980DDA"/>
    <w:rsid w:val="00987774"/>
    <w:rsid w:val="00990BF6"/>
    <w:rsid w:val="009913FB"/>
    <w:rsid w:val="009947FE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C7F58"/>
    <w:rsid w:val="009E1029"/>
    <w:rsid w:val="009E77E1"/>
    <w:rsid w:val="009E7E40"/>
    <w:rsid w:val="009F0BA6"/>
    <w:rsid w:val="009F129A"/>
    <w:rsid w:val="009F3896"/>
    <w:rsid w:val="009F40ED"/>
    <w:rsid w:val="009F5522"/>
    <w:rsid w:val="009F718A"/>
    <w:rsid w:val="00A01DE6"/>
    <w:rsid w:val="00A03278"/>
    <w:rsid w:val="00A0443B"/>
    <w:rsid w:val="00A07E6E"/>
    <w:rsid w:val="00A1001B"/>
    <w:rsid w:val="00A12188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4192"/>
    <w:rsid w:val="00B149F3"/>
    <w:rsid w:val="00B17849"/>
    <w:rsid w:val="00B212CC"/>
    <w:rsid w:val="00B221CC"/>
    <w:rsid w:val="00B227E9"/>
    <w:rsid w:val="00B242D2"/>
    <w:rsid w:val="00B2455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D45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4B0F"/>
    <w:rsid w:val="00B95659"/>
    <w:rsid w:val="00BA013F"/>
    <w:rsid w:val="00BA0C26"/>
    <w:rsid w:val="00BA33E1"/>
    <w:rsid w:val="00BB63BE"/>
    <w:rsid w:val="00BC0F97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3796"/>
    <w:rsid w:val="00C45AF8"/>
    <w:rsid w:val="00C64EEA"/>
    <w:rsid w:val="00C6592C"/>
    <w:rsid w:val="00C66738"/>
    <w:rsid w:val="00C674BE"/>
    <w:rsid w:val="00C71249"/>
    <w:rsid w:val="00C7142F"/>
    <w:rsid w:val="00C721AA"/>
    <w:rsid w:val="00C739BB"/>
    <w:rsid w:val="00C7430E"/>
    <w:rsid w:val="00C75912"/>
    <w:rsid w:val="00C75A2E"/>
    <w:rsid w:val="00C81607"/>
    <w:rsid w:val="00C84439"/>
    <w:rsid w:val="00C91314"/>
    <w:rsid w:val="00C94995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0F23"/>
    <w:rsid w:val="00CE11FC"/>
    <w:rsid w:val="00CE21A9"/>
    <w:rsid w:val="00CE2B56"/>
    <w:rsid w:val="00CE436B"/>
    <w:rsid w:val="00CE4516"/>
    <w:rsid w:val="00CE4CE8"/>
    <w:rsid w:val="00CE5779"/>
    <w:rsid w:val="00CF05B9"/>
    <w:rsid w:val="00CF11B4"/>
    <w:rsid w:val="00CF1B5A"/>
    <w:rsid w:val="00D01FCA"/>
    <w:rsid w:val="00D021E1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5850"/>
    <w:rsid w:val="00D26FE1"/>
    <w:rsid w:val="00D27793"/>
    <w:rsid w:val="00D33946"/>
    <w:rsid w:val="00D33E8B"/>
    <w:rsid w:val="00D34CCC"/>
    <w:rsid w:val="00D41BD7"/>
    <w:rsid w:val="00D44173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2CF7"/>
    <w:rsid w:val="00D83CB8"/>
    <w:rsid w:val="00D84FD8"/>
    <w:rsid w:val="00D858F0"/>
    <w:rsid w:val="00D85C21"/>
    <w:rsid w:val="00D868B1"/>
    <w:rsid w:val="00D86ADC"/>
    <w:rsid w:val="00D871D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56AE"/>
    <w:rsid w:val="00DD31C5"/>
    <w:rsid w:val="00DD37E6"/>
    <w:rsid w:val="00DD3E15"/>
    <w:rsid w:val="00DD5C92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E019C0"/>
    <w:rsid w:val="00E06D00"/>
    <w:rsid w:val="00E07B12"/>
    <w:rsid w:val="00E07B29"/>
    <w:rsid w:val="00E12A13"/>
    <w:rsid w:val="00E202C8"/>
    <w:rsid w:val="00E24AAD"/>
    <w:rsid w:val="00E24F4D"/>
    <w:rsid w:val="00E35E98"/>
    <w:rsid w:val="00E411D8"/>
    <w:rsid w:val="00E4227D"/>
    <w:rsid w:val="00E467E8"/>
    <w:rsid w:val="00E526EA"/>
    <w:rsid w:val="00E532DF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9AE"/>
    <w:rsid w:val="00EA3537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0745"/>
    <w:rsid w:val="00F442AE"/>
    <w:rsid w:val="00F44993"/>
    <w:rsid w:val="00F45923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E0DB2"/>
  <w15:docId w15:val="{43C7FEB9-E2A7-4F85-87FC-D72B7C59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al.fujitsuedoc.dk:1000/biz/v2-pbr/docprod/templates/AakTomt%20med%20logo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AakTomt%20med%20logo</Template>
  <TotalTime>1</TotalTime>
  <Pages>1</Pages>
  <Words>838</Words>
  <Characters>5101</Characters>
  <Application>Microsoft Office Word</Application>
  <DocSecurity>4</DocSecurity>
  <Lines>130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> </vt:lpstr>
    </vt:vector>
  </TitlesOfParts>
  <Company>Aalborg Kommune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Malene Berg Houbak</dc:creator>
  <cp:keywords>
  </cp:keywords>
  <dc:description>
  </dc:description>
  <cp:lastModifiedBy>Malene Berg Houbak</cp:lastModifiedBy>
  <cp:revision>2</cp:revision>
  <cp:lastPrinted>2010-03-04T09:12:00Z</cp:lastPrinted>
  <dcterms:created xsi:type="dcterms:W3CDTF">2025-08-15T10:48:00Z</dcterms:created>
  <dcterms:modified xsi:type="dcterms:W3CDTF">2025-08-15T10:48:00Z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36569707</vt:lpwstr>
  </property>
  <property fmtid="{D5CDD505-2E9C-101B-9397-08002B2CF9AE}" pid="3" name="verId">
    <vt:lpwstr>35917002</vt:lpwstr>
  </property>
  <property fmtid="{D5CDD505-2E9C-101B-9397-08002B2CF9AE}" pid="4" name="templateId">
    <vt:lpwstr>500078</vt:lpwstr>
  </property>
  <property fmtid="{D5CDD505-2E9C-101B-9397-08002B2CF9AE}" pid="5" name="fileId">
    <vt:lpwstr>50274941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c:\windows\system32\inetsrv\AakTomt med logo.dotm</vt:lpwstr>
  </property>
  <property fmtid="{D5CDD505-2E9C-101B-9397-08002B2CF9AE}" pid="8" name="filePathOneNote">
    <vt:lpwstr>
    </vt:lpwstr>
  </property>
  <property fmtid="{D5CDD505-2E9C-101B-9397-08002B2CF9AE}" pid="9" name="fileName">
    <vt:lpwstr>2022-000371-75 Tilsynsrapport for 2025 50274941_1_0.docx</vt:lpwstr>
  </property>
  <property fmtid="{D5CDD505-2E9C-101B-9397-08002B2CF9AE}" pid="10" name="comment">
    <vt:lpwstr>Tilsynsrapport for 2025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Malene Berg Houbak</vt:lpwstr>
  </property>
  <property fmtid="{D5CDD505-2E9C-101B-9397-08002B2CF9AE}" pid="15" name="modifiedBy">
    <vt:lpwstr>Malene Berg Houbak</vt:lpwstr>
  </property>
  <property fmtid="{D5CDD505-2E9C-101B-9397-08002B2CF9AE}" pid="16" name="serverName">
    <vt:lpwstr>aal.fujitsuedoc.dk:1000</vt:lpwstr>
  </property>
  <property fmtid="{D5CDD505-2E9C-101B-9397-08002B2CF9AE}" pid="17" name="server">
    <vt:lpwstr>aal.fujitsuedoc.dk:1000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35917002</vt:lpwstr>
  </property>
  <property fmtid="{D5CDD505-2E9C-101B-9397-08002B2CF9AE}" pid="23" name="Operation">
    <vt:lpwstr>ProduceFile</vt:lpwstr>
  </property>
  <property fmtid="{D5CDD505-2E9C-101B-9397-08002B2CF9AE}" pid="24" name="sipTrackRevision">
    <vt:lpwstr>false</vt:lpwstr>
  </property>
</Properties>
</file>