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1009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2755"/>
      </w:tblGrid>
      <w:tr w:rsidR="00B97204" w:rsidRPr="00FA6B8D" w:rsidTr="0061528C">
        <w:trPr>
          <w:cantSplit/>
          <w:trHeight w:hRule="exact" w:val="3175"/>
        </w:trPr>
        <w:tc>
          <w:tcPr>
            <w:tcW w:w="7337" w:type="dxa"/>
            <w:tcMar>
              <w:left w:w="0" w:type="dxa"/>
            </w:tcMar>
          </w:tcPr>
          <w:p w:rsidR="00B97204" w:rsidRPr="001566D0" w:rsidRDefault="00B97204" w:rsidP="0061528C">
            <w:pPr>
              <w:rPr>
                <w:rFonts w:cs="Arial"/>
                <w:sz w:val="28"/>
                <w:szCs w:val="28"/>
              </w:rPr>
            </w:pPr>
            <w:bookmarkStart w:id="0" w:name="_GoBack"/>
            <w:r>
              <w:rPr>
                <w:rFonts w:cs="Arial"/>
                <w:sz w:val="28"/>
                <w:szCs w:val="28"/>
              </w:rPr>
              <w:t>T</w:t>
            </w:r>
            <w:r w:rsidRPr="001566D0">
              <w:rPr>
                <w:rFonts w:cs="Arial"/>
                <w:sz w:val="28"/>
                <w:szCs w:val="28"/>
              </w:rPr>
              <w:t>ilsynsrapport til offentliggørelse</w:t>
            </w:r>
          </w:p>
          <w:p w:rsidR="00B97204" w:rsidRPr="00FA6B8D" w:rsidRDefault="00B97204" w:rsidP="0061528C">
            <w:pPr>
              <w:rPr>
                <w:rFonts w:cs="Arial"/>
                <w:szCs w:val="22"/>
              </w:rPr>
            </w:pPr>
          </w:p>
          <w:p w:rsidR="00B97204" w:rsidRPr="00D740A7" w:rsidRDefault="00B97204" w:rsidP="0061528C">
            <w:pPr>
              <w:rPr>
                <w:rFonts w:cs="Arial"/>
                <w:szCs w:val="20"/>
              </w:rPr>
            </w:pPr>
          </w:p>
        </w:tc>
        <w:tc>
          <w:tcPr>
            <w:tcW w:w="2755" w:type="dxa"/>
            <w:tcMar>
              <w:top w:w="34" w:type="dxa"/>
              <w:left w:w="0" w:type="dxa"/>
              <w:bottom w:w="28" w:type="dxa"/>
            </w:tcMar>
          </w:tcPr>
          <w:p w:rsidR="00B97204" w:rsidRPr="00FA6B8D" w:rsidRDefault="00B97204" w:rsidP="0061528C">
            <w:r w:rsidRPr="00FA6B8D">
              <w:t>Virksomheder</w:t>
            </w:r>
          </w:p>
          <w:p w:rsidR="00B97204" w:rsidRPr="00FA6B8D" w:rsidRDefault="00B97204" w:rsidP="0061528C">
            <w:r w:rsidRPr="00FA6B8D">
              <w:t xml:space="preserve">J.nr. </w:t>
            </w:r>
            <w:bookmarkStart w:id="1" w:name="ind_task_ext_case_no"/>
            <w:bookmarkEnd w:id="1"/>
            <w:r>
              <w:t>MST-1272-00036</w:t>
            </w:r>
          </w:p>
          <w:p w:rsidR="00B97204" w:rsidRPr="00FA6B8D" w:rsidRDefault="00B97204" w:rsidP="0061528C">
            <w:r w:rsidRPr="00FA6B8D">
              <w:t xml:space="preserve">Ref. </w:t>
            </w:r>
            <w:bookmarkStart w:id="2" w:name="ind_inspec_real_act_initX2"/>
            <w:bookmarkEnd w:id="2"/>
            <w:proofErr w:type="spellStart"/>
            <w:r>
              <w:t>Chell</w:t>
            </w:r>
            <w:proofErr w:type="spellEnd"/>
            <w:r>
              <w:t>/</w:t>
            </w:r>
            <w:proofErr w:type="spellStart"/>
            <w:r>
              <w:t>Cllch</w:t>
            </w:r>
            <w:proofErr w:type="spellEnd"/>
          </w:p>
          <w:p w:rsidR="00B97204" w:rsidRPr="00FA6B8D" w:rsidRDefault="00B97204" w:rsidP="00B97204">
            <w:r>
              <w:t>Dato: 19. september 2017</w:t>
            </w:r>
          </w:p>
        </w:tc>
      </w:tr>
    </w:tbl>
    <w:p w:rsidR="00B97204" w:rsidRPr="00F44A7F" w:rsidRDefault="00B97204" w:rsidP="00B97204">
      <w:pPr>
        <w:ind w:right="-1050"/>
        <w:rPr>
          <w:szCs w:val="22"/>
        </w:rPr>
      </w:pPr>
    </w:p>
    <w:p w:rsidR="00B97204" w:rsidRPr="00F44A7F" w:rsidRDefault="00B97204" w:rsidP="00B97204">
      <w:pPr>
        <w:ind w:right="-1050"/>
        <w:rPr>
          <w:b/>
          <w:szCs w:val="22"/>
        </w:rPr>
      </w:pPr>
      <w:r>
        <w:rPr>
          <w:b/>
          <w:szCs w:val="22"/>
        </w:rPr>
        <w:t>Tilsynsrapport</w:t>
      </w:r>
    </w:p>
    <w:p w:rsidR="00B97204" w:rsidRDefault="00B97204" w:rsidP="00B97204">
      <w:pPr>
        <w:ind w:right="-1050"/>
        <w:rPr>
          <w:rFonts w:cs="Arial"/>
          <w:szCs w:val="22"/>
        </w:rPr>
      </w:pPr>
    </w:p>
    <w:tbl>
      <w:tblPr>
        <w:tblStyle w:val="Tabel-Gitter"/>
        <w:tblW w:w="8330" w:type="dxa"/>
        <w:tblLook w:val="04A0" w:firstRow="1" w:lastRow="0" w:firstColumn="1" w:lastColumn="0" w:noHBand="0" w:noVBand="1"/>
      </w:tblPr>
      <w:tblGrid>
        <w:gridCol w:w="2943"/>
        <w:gridCol w:w="5387"/>
      </w:tblGrid>
      <w:tr w:rsidR="00B97204" w:rsidRPr="00A75555" w:rsidTr="0061528C">
        <w:trPr>
          <w:trHeight w:val="397"/>
        </w:trPr>
        <w:tc>
          <w:tcPr>
            <w:tcW w:w="2943" w:type="dxa"/>
            <w:vAlign w:val="center"/>
          </w:tcPr>
          <w:p w:rsidR="00B97204" w:rsidRPr="00142161" w:rsidRDefault="00B97204" w:rsidP="0061528C">
            <w:pPr>
              <w:ind w:right="-1050"/>
              <w:rPr>
                <w:rFonts w:cs="Arial"/>
                <w:color w:val="000000" w:themeColor="text1"/>
                <w:szCs w:val="22"/>
              </w:rPr>
            </w:pPr>
            <w:r w:rsidRPr="00142161">
              <w:rPr>
                <w:rFonts w:cs="Arial"/>
                <w:color w:val="000000" w:themeColor="text1"/>
                <w:szCs w:val="22"/>
              </w:rPr>
              <w:t>Virksomhedens navn</w:t>
            </w:r>
          </w:p>
        </w:tc>
        <w:tc>
          <w:tcPr>
            <w:tcW w:w="5387" w:type="dxa"/>
            <w:vAlign w:val="center"/>
          </w:tcPr>
          <w:p w:rsidR="00B97204" w:rsidRPr="00631170" w:rsidRDefault="00B97204" w:rsidP="0061528C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3" w:name="site_site_name"/>
            <w:bookmarkEnd w:id="3"/>
            <w:proofErr w:type="spellStart"/>
            <w:r w:rsidRPr="00631170">
              <w:rPr>
                <w:rFonts w:cs="Arial"/>
                <w:color w:val="000000" w:themeColor="text1"/>
                <w:szCs w:val="22"/>
                <w:lang w:val="en-US"/>
              </w:rPr>
              <w:t>Daka</w:t>
            </w:r>
            <w:proofErr w:type="spellEnd"/>
            <w:r w:rsidRPr="00631170">
              <w:rPr>
                <w:rFonts w:cs="Arial"/>
                <w:color w:val="000000" w:themeColor="text1"/>
                <w:szCs w:val="22"/>
                <w:lang w:val="en-US"/>
              </w:rPr>
              <w:t xml:space="preserve"> Denmark A/S Randers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Virksomhedens adresse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4" w:name="site_site_address"/>
            <w:bookmarkEnd w:id="4"/>
            <w:r>
              <w:rPr>
                <w:rFonts w:cs="Arial"/>
                <w:szCs w:val="22"/>
              </w:rPr>
              <w:t xml:space="preserve">Kronjydevej 8, </w:t>
            </w:r>
            <w:bookmarkStart w:id="5" w:name="site_postal_codes_id"/>
            <w:bookmarkEnd w:id="5"/>
            <w:r>
              <w:rPr>
                <w:rFonts w:cs="Arial"/>
                <w:szCs w:val="22"/>
              </w:rPr>
              <w:t xml:space="preserve">8960 </w:t>
            </w:r>
            <w:bookmarkStart w:id="6" w:name="postal_codes_postal_codes_name"/>
            <w:bookmarkEnd w:id="6"/>
            <w:r>
              <w:rPr>
                <w:rFonts w:cs="Arial"/>
                <w:szCs w:val="22"/>
              </w:rPr>
              <w:t>Randers SØ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CVR nummer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7" w:name="ind_industry_central_company_no"/>
            <w:bookmarkEnd w:id="7"/>
            <w:proofErr w:type="gramStart"/>
            <w:r>
              <w:rPr>
                <w:rFonts w:cs="Arial"/>
                <w:szCs w:val="22"/>
              </w:rPr>
              <w:t>33776039</w:t>
            </w:r>
            <w:proofErr w:type="gramEnd"/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Virksomhedstype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8" w:name="ind_industry_main_type"/>
            <w:bookmarkEnd w:id="8"/>
            <w:r>
              <w:rPr>
                <w:rFonts w:cs="Arial"/>
                <w:szCs w:val="22"/>
              </w:rPr>
              <w:t xml:space="preserve">604b11 </w:t>
            </w:r>
            <w:bookmarkStart w:id="9" w:name="ind_indtypes_ind_type_name"/>
            <w:bookmarkEnd w:id="9"/>
            <w:r>
              <w:rPr>
                <w:rFonts w:cs="Arial"/>
                <w:szCs w:val="22"/>
              </w:rPr>
              <w:t>Animalske råstoffer - Fiskemel mv., kap. &gt;75 t/dg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Tidspunkt for tilsynet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10" w:name="ind_inspec_real_act_date"/>
            <w:bookmarkEnd w:id="10"/>
            <w:r>
              <w:rPr>
                <w:rFonts w:cs="Arial"/>
                <w:szCs w:val="22"/>
              </w:rPr>
              <w:t>25. august 2017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Baggrunden for tilsynet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Opfølgning på klage</w:t>
            </w:r>
            <w:r w:rsidRPr="001566D0">
              <w:rPr>
                <w:rFonts w:cs="Arial"/>
                <w:szCs w:val="22"/>
              </w:rPr>
              <w:t xml:space="preserve"> 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Varsling af tilsynet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Uvarslet</w:t>
            </w:r>
            <w:proofErr w:type="spellEnd"/>
            <w:r>
              <w:rPr>
                <w:rFonts w:cs="Arial"/>
                <w:szCs w:val="22"/>
              </w:rPr>
              <w:t>, fordi øjemedet med tilsynets gennemførelse ville forspildes, hvis forudgående underretning skulle gives.</w:t>
            </w:r>
          </w:p>
          <w:p w:rsidR="00B97204" w:rsidRDefault="00B97204" w:rsidP="0061528C">
            <w:pPr>
              <w:rPr>
                <w:rFonts w:cs="Arial"/>
                <w:szCs w:val="22"/>
              </w:rPr>
            </w:pP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Deltagere fra virksomheden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11" w:name="ind_inspec_real_participants"/>
            <w:bookmarkEnd w:id="11"/>
            <w:r>
              <w:rPr>
                <w:rFonts w:cs="Arial"/>
                <w:szCs w:val="22"/>
              </w:rPr>
              <w:t>Teknisk chef Peter Tornby, og under sidste halvdel af tilsynet fabrikschef John Jensen</w:t>
            </w: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Øvrige deltagere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</w:p>
        </w:tc>
      </w:tr>
      <w:tr w:rsidR="00B97204" w:rsidRPr="00A75555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udført af</w:t>
            </w:r>
          </w:p>
        </w:tc>
        <w:tc>
          <w:tcPr>
            <w:tcW w:w="5387" w:type="dxa"/>
            <w:vAlign w:val="center"/>
          </w:tcPr>
          <w:p w:rsidR="00B97204" w:rsidRPr="00397F79" w:rsidRDefault="00B97204" w:rsidP="0061528C">
            <w:pPr>
              <w:rPr>
                <w:rFonts w:cs="Arial"/>
                <w:szCs w:val="22"/>
                <w:lang w:val="en-US"/>
              </w:rPr>
            </w:pPr>
            <w:r w:rsidRPr="00397F79">
              <w:rPr>
                <w:rFonts w:cs="Arial"/>
                <w:szCs w:val="22"/>
                <w:lang w:val="en-US"/>
              </w:rPr>
              <w:t xml:space="preserve"> </w:t>
            </w:r>
            <w:bookmarkStart w:id="12" w:name="case_officer_long_name"/>
            <w:bookmarkEnd w:id="12"/>
            <w:r w:rsidRPr="00397F79">
              <w:rPr>
                <w:rFonts w:cs="Arial"/>
                <w:szCs w:val="22"/>
                <w:lang w:val="en-US"/>
              </w:rPr>
              <w:t>Christina Ellegaard, Claus Lübeck Christensen</w:t>
            </w:r>
          </w:p>
        </w:tc>
      </w:tr>
      <w:tr w:rsidR="00B97204" w:rsidTr="0061528C"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omfattede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bookmarkStart w:id="13" w:name="ind_inspec_real_comments"/>
            <w:bookmarkEnd w:id="13"/>
            <w:r>
              <w:rPr>
                <w:rFonts w:cs="Arial"/>
                <w:szCs w:val="22"/>
              </w:rPr>
              <w:t>Lugt</w:t>
            </w:r>
          </w:p>
          <w:p w:rsidR="00B97204" w:rsidRPr="001566D0" w:rsidRDefault="00B97204" w:rsidP="0061528C">
            <w:pPr>
              <w:rPr>
                <w:rFonts w:cs="Arial"/>
                <w:color w:val="FF0000"/>
                <w:szCs w:val="22"/>
              </w:rPr>
            </w:pPr>
          </w:p>
        </w:tc>
      </w:tr>
      <w:tr w:rsidR="00B97204" w:rsidTr="0061528C">
        <w:trPr>
          <w:trHeight w:val="397"/>
        </w:trPr>
        <w:tc>
          <w:tcPr>
            <w:tcW w:w="2943" w:type="dxa"/>
            <w:vAlign w:val="center"/>
          </w:tcPr>
          <w:p w:rsidR="00B97204" w:rsidRDefault="00B97204" w:rsidP="0061528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Materiale udleveret </w:t>
            </w:r>
          </w:p>
        </w:tc>
        <w:tc>
          <w:tcPr>
            <w:tcW w:w="5387" w:type="dxa"/>
            <w:vAlign w:val="center"/>
          </w:tcPr>
          <w:p w:rsidR="00B97204" w:rsidRDefault="00B97204" w:rsidP="0061528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</w:t>
            </w:r>
          </w:p>
        </w:tc>
      </w:tr>
    </w:tbl>
    <w:p w:rsidR="00B97204" w:rsidRDefault="00B97204" w:rsidP="00B97204">
      <w:pPr>
        <w:ind w:right="-1050"/>
        <w:rPr>
          <w:rFonts w:cs="Arial"/>
          <w:szCs w:val="22"/>
        </w:rPr>
      </w:pPr>
    </w:p>
    <w:p w:rsidR="00B97204" w:rsidRPr="006A7890" w:rsidRDefault="00B97204" w:rsidP="00B97204">
      <w:pPr>
        <w:ind w:right="-1050"/>
        <w:rPr>
          <w:rFonts w:cs="Arial"/>
          <w:szCs w:val="22"/>
        </w:rPr>
      </w:pPr>
    </w:p>
    <w:p w:rsidR="00B97204" w:rsidRPr="00DD2715" w:rsidRDefault="00B97204" w:rsidP="00B97204">
      <w:pPr>
        <w:ind w:right="-1050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Uvarslet</w:t>
      </w:r>
      <w:proofErr w:type="spellEnd"/>
      <w:r>
        <w:rPr>
          <w:rFonts w:cs="Arial"/>
          <w:b/>
          <w:szCs w:val="22"/>
        </w:rPr>
        <w:t xml:space="preserve"> tilsyn på baggrund af klage</w:t>
      </w:r>
    </w:p>
    <w:p w:rsidR="00B97204" w:rsidRDefault="00B97204" w:rsidP="00B97204">
      <w:r>
        <w:t xml:space="preserve">Miljøstyrelsen foretog fredag den 25. august 2017 i tidsrummet kl 11:50-12:40 et </w:t>
      </w:r>
      <w:proofErr w:type="spellStart"/>
      <w:r>
        <w:t>uvarslet</w:t>
      </w:r>
      <w:proofErr w:type="spellEnd"/>
      <w:r>
        <w:t xml:space="preserve"> tilsyn på </w:t>
      </w:r>
      <w:proofErr w:type="spellStart"/>
      <w:r>
        <w:t>Daka</w:t>
      </w:r>
      <w:proofErr w:type="spellEnd"/>
      <w:r>
        <w:t xml:space="preserve">. Tilsynet skete på baggrund af en klage over lugt modtaget kl 10 samme dag. </w:t>
      </w:r>
    </w:p>
    <w:p w:rsidR="00B97204" w:rsidRDefault="00B97204" w:rsidP="00B97204"/>
    <w:p w:rsidR="00B97204" w:rsidRDefault="00B97204" w:rsidP="00B97204">
      <w:r>
        <w:t>Miljøstyrelsen observerede ved tilsynet:</w:t>
      </w:r>
    </w:p>
    <w:p w:rsidR="00B97204" w:rsidRDefault="00B97204" w:rsidP="00B97204"/>
    <w:p w:rsidR="00B97204" w:rsidRDefault="00B97204" w:rsidP="00B97204">
      <w:pPr>
        <w:pStyle w:val="Opstilling-punkttegn"/>
        <w:numPr>
          <w:ilvl w:val="0"/>
          <w:numId w:val="1"/>
        </w:numPr>
      </w:pPr>
      <w:r>
        <w:t>At alle porte og døre på fabrikken var lukkede bort set fra få minutter omkring passage af porte og døre</w:t>
      </w:r>
    </w:p>
    <w:p w:rsidR="00B97204" w:rsidRDefault="00B97204" w:rsidP="00B97204">
      <w:pPr>
        <w:pStyle w:val="Opstilling-punkttegn"/>
        <w:numPr>
          <w:ilvl w:val="0"/>
          <w:numId w:val="1"/>
        </w:numPr>
      </w:pPr>
      <w:r>
        <w:lastRenderedPageBreak/>
        <w:t>At der ikke var diffuse lugtkilder på fabrikkens område, som kunne give anledning til lugtgener hos naboer til fabrikken</w:t>
      </w:r>
    </w:p>
    <w:p w:rsidR="00B97204" w:rsidRDefault="00B97204" w:rsidP="00B97204">
      <w:pPr>
        <w:pStyle w:val="Opstilling-punkttegn"/>
        <w:numPr>
          <w:ilvl w:val="0"/>
          <w:numId w:val="1"/>
        </w:numPr>
      </w:pPr>
      <w:r>
        <w:t xml:space="preserve">At der var meget kraftig kortvarig diffus lugt fra bygningen med </w:t>
      </w:r>
      <w:proofErr w:type="spellStart"/>
      <w:r>
        <w:t>tryksterilisatorerne</w:t>
      </w:r>
      <w:proofErr w:type="spellEnd"/>
      <w:r>
        <w:t>, når porten dertil blev åbnet</w:t>
      </w:r>
    </w:p>
    <w:p w:rsidR="00B97204" w:rsidRDefault="00B97204" w:rsidP="00B97204">
      <w:pPr>
        <w:rPr>
          <w:rFonts w:cs="Arial"/>
          <w:szCs w:val="22"/>
        </w:rPr>
      </w:pPr>
      <w:r w:rsidRPr="00AF1170">
        <w:rPr>
          <w:rFonts w:cs="Arial"/>
          <w:szCs w:val="22"/>
        </w:rPr>
        <w:t xml:space="preserve"> </w:t>
      </w:r>
    </w:p>
    <w:p w:rsidR="00B97204" w:rsidRDefault="00B97204" w:rsidP="00B97204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Daka</w:t>
      </w:r>
      <w:proofErr w:type="spellEnd"/>
      <w:r>
        <w:rPr>
          <w:rFonts w:cs="Arial"/>
          <w:szCs w:val="22"/>
        </w:rPr>
        <w:t xml:space="preserve"> oplyste, at virksomheden forventer at foretage eftersyn og udskiftning af sten i lugtforbrændingsanlægget i påsken 2018. Det vil på det tidspunkt være tre år siden stenene sidst blev skiftet. </w:t>
      </w:r>
    </w:p>
    <w:p w:rsidR="00B97204" w:rsidRDefault="00B97204" w:rsidP="00B97204">
      <w:pPr>
        <w:ind w:right="-908"/>
        <w:rPr>
          <w:rFonts w:cs="Arial"/>
          <w:szCs w:val="22"/>
        </w:rPr>
      </w:pPr>
    </w:p>
    <w:p w:rsidR="00B97204" w:rsidRDefault="00B97204" w:rsidP="00B97204">
      <w:r>
        <w:t>Observationer, som Miljøstyrelsen foretog uden for virksomhedens skel før tilsynet viste ligeledes, at alle porte til råvarehallerne var lukkede.</w:t>
      </w:r>
    </w:p>
    <w:p w:rsidR="00B97204" w:rsidRDefault="00B97204" w:rsidP="00B97204"/>
    <w:p w:rsidR="00B97204" w:rsidRDefault="00B97204" w:rsidP="00B97204">
      <w:pPr>
        <w:ind w:right="-908"/>
        <w:rPr>
          <w:rFonts w:cs="Arial"/>
          <w:b/>
          <w:szCs w:val="22"/>
        </w:rPr>
      </w:pPr>
      <w:r>
        <w:rPr>
          <w:rFonts w:cs="Arial"/>
          <w:b/>
          <w:szCs w:val="22"/>
        </w:rPr>
        <w:t>Konstateret i forbindelse med klagen</w:t>
      </w:r>
    </w:p>
    <w:p w:rsidR="00B97204" w:rsidRDefault="00B97204" w:rsidP="00B97204">
      <w:r w:rsidRPr="009D0AE4">
        <w:t xml:space="preserve">Miljøstyrelsen modtog den 25. august 2017 </w:t>
      </w:r>
      <w:r>
        <w:t xml:space="preserve">kl 10 </w:t>
      </w:r>
      <w:r w:rsidRPr="009D0AE4">
        <w:t xml:space="preserve">en klage over kraftig lugt fra </w:t>
      </w:r>
      <w:proofErr w:type="spellStart"/>
      <w:r>
        <w:t>Daka</w:t>
      </w:r>
      <w:proofErr w:type="spellEnd"/>
      <w:r>
        <w:t xml:space="preserve">. Klager bor </w:t>
      </w:r>
      <w:r w:rsidRPr="009D0AE4">
        <w:t xml:space="preserve">Fjorddalen 18 </w:t>
      </w:r>
      <w:r>
        <w:t xml:space="preserve">i </w:t>
      </w:r>
      <w:r w:rsidRPr="009D0AE4">
        <w:t>Assentoft</w:t>
      </w:r>
      <w:r>
        <w:t>.</w:t>
      </w:r>
    </w:p>
    <w:p w:rsidR="00B97204" w:rsidRDefault="00B97204" w:rsidP="00B97204"/>
    <w:p w:rsidR="00B97204" w:rsidRDefault="00B97204" w:rsidP="00B97204">
      <w:r w:rsidRPr="009D0AE4">
        <w:t>Miljøstyrelsen besøgte klager og en nabo</w:t>
      </w:r>
      <w:r>
        <w:t>,</w:t>
      </w:r>
      <w:r w:rsidRPr="009D0AE4">
        <w:t xml:space="preserve"> Fjorddalen 12</w:t>
      </w:r>
      <w:r>
        <w:t>,</w:t>
      </w:r>
      <w:r w:rsidRPr="009D0AE4">
        <w:t xml:space="preserve"> i tidsrummet 11-11:40.</w:t>
      </w:r>
      <w:r>
        <w:t xml:space="preserve"> Både klager og dennes nabo, </w:t>
      </w:r>
      <w:r w:rsidRPr="009D0AE4">
        <w:t xml:space="preserve">blev bedt om at vurdere lugtens styrke på tidspunktet for tilsynet i forhold til lugtens styrke </w:t>
      </w:r>
      <w:r>
        <w:t>tidligere på formiddagen, h</w:t>
      </w:r>
      <w:r w:rsidRPr="009D0AE4">
        <w:t xml:space="preserve">vor lugten </w:t>
      </w:r>
      <w:r>
        <w:t xml:space="preserve">havde været </w:t>
      </w:r>
      <w:r w:rsidRPr="009D0AE4">
        <w:t>kraftig</w:t>
      </w:r>
      <w:r>
        <w:t>ere</w:t>
      </w:r>
      <w:r w:rsidRPr="009D0AE4">
        <w:t xml:space="preserve">. Begge vurderede, at den på tilsynet konstaterede lugtstyrke var på niveau 7-8 på en skala </w:t>
      </w:r>
      <w:r>
        <w:t xml:space="preserve">fra </w:t>
      </w:r>
      <w:r w:rsidRPr="009D0AE4">
        <w:t xml:space="preserve">1-10 i forhold til lugtstyrken </w:t>
      </w:r>
      <w:r>
        <w:t>om formiddagen på 10</w:t>
      </w:r>
      <w:r w:rsidRPr="009D0AE4">
        <w:t xml:space="preserve">. </w:t>
      </w:r>
    </w:p>
    <w:p w:rsidR="00B97204" w:rsidRDefault="00B97204" w:rsidP="00B97204"/>
    <w:p w:rsidR="00B97204" w:rsidRPr="009D0AE4" w:rsidRDefault="00B97204" w:rsidP="00B97204">
      <w:r w:rsidRPr="009D0AE4">
        <w:t xml:space="preserve">Under besøget observerede Miljøstyrelsen </w:t>
      </w:r>
      <w:r>
        <w:t xml:space="preserve">også </w:t>
      </w:r>
      <w:r w:rsidRPr="009D0AE4">
        <w:t xml:space="preserve">tydelig lugt fra </w:t>
      </w:r>
      <w:proofErr w:type="spellStart"/>
      <w:r w:rsidRPr="009D0AE4">
        <w:t>Daka</w:t>
      </w:r>
      <w:proofErr w:type="spellEnd"/>
      <w:r w:rsidRPr="009D0AE4">
        <w:t>. Miljøstyrelsen vurderer, at lugten kom fra fabrikkens 90 m høje skorsten og primært stammede fra lugtforbrændingsanlægget. Det vurderes samtidig, at lugten ikke oversteg 5 LE/s, som er virksomhedens grænseværdi for, hvor meget de må lugte ved nærmeste boliger.</w:t>
      </w:r>
    </w:p>
    <w:p w:rsidR="00B97204" w:rsidRPr="009D0AE4" w:rsidRDefault="00B97204" w:rsidP="00B97204"/>
    <w:p w:rsidR="00B97204" w:rsidRDefault="00B97204" w:rsidP="00B97204">
      <w:r w:rsidRPr="009D0AE4">
        <w:t xml:space="preserve">Efterfølgende observerede Miljøstyrelsen lugt ved boliger på Volkmøllevej og igen ved boligerne på Klostervej nær </w:t>
      </w:r>
      <w:proofErr w:type="spellStart"/>
      <w:r w:rsidRPr="009D0AE4">
        <w:t>Daka</w:t>
      </w:r>
      <w:proofErr w:type="spellEnd"/>
      <w:r w:rsidRPr="009D0AE4">
        <w:t>. På Klostervej var lugten en blanding af lugt fra lugtforbrændingsanlægget, råvarer og nyslået græs og halm.</w:t>
      </w:r>
      <w:bookmarkStart w:id="14" w:name="ind_inspec_report_media_filenameX11"/>
      <w:bookmarkEnd w:id="14"/>
    </w:p>
    <w:p w:rsidR="00B97204" w:rsidRDefault="00B97204" w:rsidP="00B97204"/>
    <w:p w:rsidR="00B97204" w:rsidRPr="00DD2715" w:rsidRDefault="00B97204" w:rsidP="00B97204">
      <w:pPr>
        <w:ind w:right="-1050"/>
        <w:rPr>
          <w:rFonts w:cs="Arial"/>
          <w:b/>
          <w:szCs w:val="22"/>
        </w:rPr>
      </w:pPr>
      <w:r w:rsidRPr="001566D0">
        <w:rPr>
          <w:rFonts w:cs="Arial"/>
          <w:b/>
          <w:szCs w:val="22"/>
        </w:rPr>
        <w:t>Håndhævelser</w:t>
      </w:r>
    </w:p>
    <w:p w:rsidR="002F5D9C" w:rsidRDefault="002F5D9C" w:rsidP="002F5D9C">
      <w:pPr>
        <w:ind w:right="-1050"/>
        <w:rPr>
          <w:rFonts w:cs="Arial"/>
          <w:szCs w:val="22"/>
        </w:rPr>
      </w:pPr>
      <w:r>
        <w:rPr>
          <w:rFonts w:cs="Arial"/>
          <w:szCs w:val="22"/>
        </w:rPr>
        <w:t xml:space="preserve">Der er ikke meddelt håndhævelser siden sidste fysiske basistilsyn (23. september 2015) og der er ikke givet håndhævelser, som følge af nærværende tilsyn. </w:t>
      </w:r>
    </w:p>
    <w:p w:rsidR="002F5D9C" w:rsidRDefault="002F5D9C" w:rsidP="002F5D9C">
      <w:pPr>
        <w:ind w:right="-1050"/>
        <w:rPr>
          <w:rFonts w:cs="Arial"/>
          <w:szCs w:val="22"/>
        </w:rPr>
      </w:pPr>
    </w:p>
    <w:p w:rsidR="002F5D9C" w:rsidRDefault="002F5D9C" w:rsidP="002F5D9C">
      <w:pPr>
        <w:ind w:right="-1050"/>
        <w:rPr>
          <w:rFonts w:cs="Arial"/>
          <w:b/>
          <w:szCs w:val="22"/>
        </w:rPr>
      </w:pPr>
      <w:r>
        <w:rPr>
          <w:rFonts w:cs="Arial"/>
          <w:b/>
          <w:szCs w:val="22"/>
        </w:rPr>
        <w:t>Indberetninger om egenkontrol</w:t>
      </w:r>
    </w:p>
    <w:p w:rsidR="002F5D9C" w:rsidRDefault="002F5D9C" w:rsidP="002F5D9C">
      <w:pPr>
        <w:ind w:right="-1050"/>
        <w:rPr>
          <w:rFonts w:cs="Arial"/>
          <w:szCs w:val="22"/>
        </w:rPr>
      </w:pPr>
      <w:r w:rsidRPr="002F5D9C">
        <w:rPr>
          <w:rFonts w:cs="Arial"/>
          <w:szCs w:val="22"/>
        </w:rPr>
        <w:t>Det er kun indberetninger af egenkontroldata for lugt</w:t>
      </w:r>
      <w:r w:rsidR="00A75555">
        <w:rPr>
          <w:rFonts w:cs="Arial"/>
          <w:szCs w:val="22"/>
        </w:rPr>
        <w:t>,</w:t>
      </w:r>
      <w:r w:rsidRPr="002F5D9C">
        <w:rPr>
          <w:rFonts w:cs="Arial"/>
          <w:szCs w:val="22"/>
        </w:rPr>
        <w:t xml:space="preserve"> der er relevant for dette tilsyn.</w:t>
      </w:r>
    </w:p>
    <w:p w:rsidR="002F5D9C" w:rsidRPr="002F5D9C" w:rsidRDefault="002F5D9C" w:rsidP="002F5D9C">
      <w:pPr>
        <w:ind w:right="-1050"/>
        <w:rPr>
          <w:rFonts w:cs="Arial"/>
          <w:szCs w:val="22"/>
        </w:rPr>
      </w:pPr>
    </w:p>
    <w:tbl>
      <w:tblPr>
        <w:tblStyle w:val="Tabel-Gitter"/>
        <w:tblW w:w="8330" w:type="dxa"/>
        <w:tblInd w:w="108" w:type="dxa"/>
        <w:tblLook w:val="04A0" w:firstRow="1" w:lastRow="0" w:firstColumn="1" w:lastColumn="0" w:noHBand="0" w:noVBand="1"/>
      </w:tblPr>
      <w:tblGrid>
        <w:gridCol w:w="1990"/>
        <w:gridCol w:w="6340"/>
      </w:tblGrid>
      <w:tr w:rsidR="002F5D9C" w:rsidTr="002F5D9C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9C" w:rsidRDefault="002F5D9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Kontrolområde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9C" w:rsidRDefault="002F5D9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Konklusion</w:t>
            </w:r>
          </w:p>
        </w:tc>
      </w:tr>
      <w:tr w:rsidR="002F5D9C" w:rsidTr="002F5D9C"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9C" w:rsidRDefault="002F5D9C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Lugt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9C" w:rsidRDefault="002F5D9C" w:rsidP="00A23BC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Egenkontroldata er fremsendt løbende efter hver måling minimum 8 gange om året. Der har </w:t>
            </w:r>
            <w:r w:rsidR="00A23BC0">
              <w:rPr>
                <w:rFonts w:cs="Arial"/>
                <w:szCs w:val="22"/>
              </w:rPr>
              <w:t xml:space="preserve">ikke været </w:t>
            </w:r>
            <w:r>
              <w:rPr>
                <w:rFonts w:cs="Arial"/>
                <w:szCs w:val="22"/>
              </w:rPr>
              <w:t>overskridelser af lugtvilkåret siden sidste basistilsyn</w:t>
            </w:r>
            <w:r w:rsidR="00A23BC0">
              <w:rPr>
                <w:rFonts w:cs="Arial"/>
                <w:szCs w:val="22"/>
              </w:rPr>
              <w:t xml:space="preserve"> i</w:t>
            </w:r>
            <w:r>
              <w:rPr>
                <w:rFonts w:cs="Arial"/>
                <w:szCs w:val="22"/>
              </w:rPr>
              <w:t xml:space="preserve"> september 2015.</w:t>
            </w:r>
          </w:p>
        </w:tc>
      </w:tr>
    </w:tbl>
    <w:p w:rsidR="002F5D9C" w:rsidRDefault="002F5D9C" w:rsidP="002F5D9C">
      <w:pPr>
        <w:ind w:right="-1050"/>
        <w:rPr>
          <w:rFonts w:cs="Arial"/>
          <w:szCs w:val="22"/>
        </w:rPr>
      </w:pPr>
    </w:p>
    <w:p w:rsidR="00B97204" w:rsidRPr="009D0AE4" w:rsidRDefault="00B97204" w:rsidP="00B97204">
      <w:pPr>
        <w:rPr>
          <w:highlight w:val="lightGray"/>
        </w:rPr>
      </w:pPr>
    </w:p>
    <w:bookmarkEnd w:id="0"/>
    <w:p w:rsidR="009350BC" w:rsidRPr="00B97204" w:rsidRDefault="009350BC" w:rsidP="00B97204"/>
    <w:sectPr w:rsidR="009350BC" w:rsidRPr="00B97204" w:rsidSect="00FA6B8D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680" w:left="1417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C8" w:rsidRDefault="004D3EC8">
      <w:r>
        <w:separator/>
      </w:r>
    </w:p>
  </w:endnote>
  <w:endnote w:type="continuationSeparator" w:id="0">
    <w:p w:rsidR="004D3EC8" w:rsidRDefault="004D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79" w:rsidRPr="00DE7479" w:rsidRDefault="00467E79" w:rsidP="00DE7479">
    <w:pPr>
      <w:jc w:val="right"/>
    </w:pPr>
    <w:r w:rsidRPr="00DE7479">
      <w:fldChar w:fldCharType="begin"/>
    </w:r>
    <w:r w:rsidRPr="00DE7479">
      <w:instrText xml:space="preserve"> PAGE </w:instrText>
    </w:r>
    <w:r w:rsidRPr="00DE7479">
      <w:fldChar w:fldCharType="separate"/>
    </w:r>
    <w:r w:rsidR="00126888">
      <w:rPr>
        <w:noProof/>
      </w:rPr>
      <w:t>2</w:t>
    </w:r>
    <w:r w:rsidRPr="00DE7479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2F" w:rsidRDefault="006E332F" w:rsidP="006E332F">
    <w:pPr>
      <w:pStyle w:val="Sidefod"/>
      <w:spacing w:before="240"/>
      <w:ind w:right="-1644"/>
      <w:rPr>
        <w:rFonts w:cs="Arial"/>
        <w:szCs w:val="14"/>
      </w:rPr>
    </w:pPr>
    <w:r>
      <w:rPr>
        <w:rFonts w:cs="Arial"/>
        <w:szCs w:val="14"/>
      </w:rPr>
      <w:t>Miljøstyrelsen • Lyseng Allé 1•</w:t>
    </w:r>
    <w:r>
      <w:t xml:space="preserve"> </w:t>
    </w:r>
    <w:r>
      <w:rPr>
        <w:rFonts w:cs="Arial"/>
        <w:szCs w:val="14"/>
      </w:rPr>
      <w:t>8270 Højbjerg</w:t>
    </w:r>
  </w:p>
  <w:p w:rsidR="006E332F" w:rsidRDefault="006E332F" w:rsidP="006E332F">
    <w:pPr>
      <w:pStyle w:val="Sidefod"/>
      <w:spacing w:after="300"/>
      <w:ind w:right="-1644"/>
      <w:rPr>
        <w:rFonts w:cs="Arial"/>
        <w:szCs w:val="14"/>
      </w:rPr>
    </w:pPr>
    <w:r>
      <w:rPr>
        <w:rFonts w:cs="Arial"/>
        <w:szCs w:val="14"/>
      </w:rPr>
      <w:t xml:space="preserve">Tlf. 72 54 40 00 • CVR </w:t>
    </w:r>
    <w:proofErr w:type="gramStart"/>
    <w:r>
      <w:rPr>
        <w:rFonts w:cs="Arial"/>
        <w:szCs w:val="14"/>
      </w:rPr>
      <w:t>25798376</w:t>
    </w:r>
    <w:proofErr w:type="gramEnd"/>
    <w:r>
      <w:rPr>
        <w:rFonts w:cs="Arial"/>
        <w:szCs w:val="14"/>
      </w:rPr>
      <w:t xml:space="preserve"> • EAN (drift)5798000863002 (tilskud)5798000863019 • aar@mst.dk • www.mst.dk</w:t>
    </w:r>
  </w:p>
  <w:p w:rsidR="006E332F" w:rsidRDefault="00F30C74" w:rsidP="006E332F">
    <w:pPr>
      <w:pStyle w:val="Sidefod"/>
      <w:spacing w:before="240"/>
      <w:ind w:right="-1644"/>
      <w:rPr>
        <w:rFonts w:cs="Arial"/>
        <w:szCs w:val="14"/>
      </w:rPr>
    </w:pPr>
    <w:r>
      <w:rPr>
        <w:rFonts w:cs="Arial"/>
        <w:szCs w:val="14"/>
      </w:rPr>
      <w:t>Miljøstyrelsen • Strandgade 29</w:t>
    </w:r>
    <w:r w:rsidR="006E332F">
      <w:rPr>
        <w:rFonts w:cs="Arial"/>
        <w:szCs w:val="14"/>
      </w:rPr>
      <w:t xml:space="preserve"> • 1401 København K</w:t>
    </w:r>
  </w:p>
  <w:p w:rsidR="006E332F" w:rsidRDefault="006E332F" w:rsidP="006E332F">
    <w:pPr>
      <w:pStyle w:val="Sidefod"/>
      <w:spacing w:after="300"/>
      <w:ind w:right="-1644"/>
      <w:rPr>
        <w:rFonts w:cs="Arial"/>
        <w:szCs w:val="14"/>
      </w:rPr>
    </w:pPr>
    <w:r>
      <w:rPr>
        <w:rFonts w:cs="Arial"/>
        <w:szCs w:val="14"/>
      </w:rPr>
      <w:t xml:space="preserve">Tlf. 72 54 40 00 • CVR </w:t>
    </w:r>
    <w:proofErr w:type="gramStart"/>
    <w:r>
      <w:rPr>
        <w:rFonts w:cs="Arial"/>
        <w:szCs w:val="14"/>
      </w:rPr>
      <w:t>25798376</w:t>
    </w:r>
    <w:proofErr w:type="gramEnd"/>
    <w:r>
      <w:rPr>
        <w:rFonts w:cs="Arial"/>
        <w:szCs w:val="14"/>
      </w:rPr>
      <w:t xml:space="preserve"> • EAN (drift)5798000863002 (tilskud)5798000863019 • mst@mst.dk • www.mst.dk</w:t>
    </w:r>
  </w:p>
  <w:p w:rsidR="00467E79" w:rsidRPr="006E332F" w:rsidRDefault="00467E79" w:rsidP="006E332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C8" w:rsidRDefault="004D3EC8">
      <w:r>
        <w:separator/>
      </w:r>
    </w:p>
  </w:footnote>
  <w:footnote w:type="continuationSeparator" w:id="0">
    <w:p w:rsidR="004D3EC8" w:rsidRDefault="004D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B8D" w:rsidRDefault="00EA6646">
    <w:pPr>
      <w:pStyle w:val="Sidehoved"/>
    </w:pPr>
    <w:bookmarkStart w:id="15" w:name="BIT_DocumentName"/>
    <w:bookmarkEnd w:id="15"/>
    <w:r>
      <w:rPr>
        <w:noProof/>
      </w:rPr>
      <w:drawing>
        <wp:anchor distT="0" distB="0" distL="114300" distR="114300" simplePos="0" relativeHeight="251659264" behindDoc="0" locked="1" layoutInCell="1" allowOverlap="1" wp14:anchorId="1E7470FE" wp14:editId="741F72EC">
          <wp:simplePos x="0" y="0"/>
          <wp:positionH relativeFrom="page">
            <wp:posOffset>5085080</wp:posOffset>
          </wp:positionH>
          <wp:positionV relativeFrom="page">
            <wp:posOffset>393700</wp:posOffset>
          </wp:positionV>
          <wp:extent cx="2627630" cy="793115"/>
          <wp:effectExtent l="0" t="0" r="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3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E24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103861"/>
    <w:multiLevelType w:val="hybridMultilevel"/>
    <w:tmpl w:val="2C341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E546B"/>
    <w:multiLevelType w:val="hybridMultilevel"/>
    <w:tmpl w:val="C90093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51279"/>
    <w:multiLevelType w:val="hybridMultilevel"/>
    <w:tmpl w:val="B95C8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81514"/>
    <w:multiLevelType w:val="hybridMultilevel"/>
    <w:tmpl w:val="34C02E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0269F"/>
    <w:multiLevelType w:val="hybridMultilevel"/>
    <w:tmpl w:val="A8069B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0"/>
  <w:doNotHyphenateCaps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8D"/>
    <w:rsid w:val="00002EA0"/>
    <w:rsid w:val="00003636"/>
    <w:rsid w:val="00005FAA"/>
    <w:rsid w:val="0001528D"/>
    <w:rsid w:val="000166A0"/>
    <w:rsid w:val="00030051"/>
    <w:rsid w:val="00037E7E"/>
    <w:rsid w:val="00060BC5"/>
    <w:rsid w:val="000646C9"/>
    <w:rsid w:val="000647F2"/>
    <w:rsid w:val="00070BA1"/>
    <w:rsid w:val="00073466"/>
    <w:rsid w:val="00073542"/>
    <w:rsid w:val="00082404"/>
    <w:rsid w:val="00083F31"/>
    <w:rsid w:val="00093415"/>
    <w:rsid w:val="0009426C"/>
    <w:rsid w:val="00096AA1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0F6927"/>
    <w:rsid w:val="001056F1"/>
    <w:rsid w:val="001062D0"/>
    <w:rsid w:val="001210A9"/>
    <w:rsid w:val="00126888"/>
    <w:rsid w:val="001354CC"/>
    <w:rsid w:val="0014150F"/>
    <w:rsid w:val="00142161"/>
    <w:rsid w:val="00143957"/>
    <w:rsid w:val="00144670"/>
    <w:rsid w:val="0014616C"/>
    <w:rsid w:val="00150899"/>
    <w:rsid w:val="00152CB8"/>
    <w:rsid w:val="001566D0"/>
    <w:rsid w:val="00156908"/>
    <w:rsid w:val="001743E7"/>
    <w:rsid w:val="001A4D56"/>
    <w:rsid w:val="001A58BF"/>
    <w:rsid w:val="001A6CB5"/>
    <w:rsid w:val="001A7E4B"/>
    <w:rsid w:val="001B3F10"/>
    <w:rsid w:val="001B72A9"/>
    <w:rsid w:val="001C2519"/>
    <w:rsid w:val="001C2544"/>
    <w:rsid w:val="001C417D"/>
    <w:rsid w:val="001C41CC"/>
    <w:rsid w:val="001C4328"/>
    <w:rsid w:val="001D1196"/>
    <w:rsid w:val="001D13F5"/>
    <w:rsid w:val="001D19D8"/>
    <w:rsid w:val="001E38EF"/>
    <w:rsid w:val="001E7F16"/>
    <w:rsid w:val="001F3A47"/>
    <w:rsid w:val="00200B86"/>
    <w:rsid w:val="0020134B"/>
    <w:rsid w:val="0020402C"/>
    <w:rsid w:val="002044E3"/>
    <w:rsid w:val="00204BF4"/>
    <w:rsid w:val="0020752B"/>
    <w:rsid w:val="00211AC9"/>
    <w:rsid w:val="00212497"/>
    <w:rsid w:val="002239C6"/>
    <w:rsid w:val="0023318E"/>
    <w:rsid w:val="00235C1F"/>
    <w:rsid w:val="002366E2"/>
    <w:rsid w:val="002550C0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A31D5"/>
    <w:rsid w:val="002C0011"/>
    <w:rsid w:val="002C042D"/>
    <w:rsid w:val="002C1C93"/>
    <w:rsid w:val="002C4595"/>
    <w:rsid w:val="002C4D00"/>
    <w:rsid w:val="002D00C9"/>
    <w:rsid w:val="002D268E"/>
    <w:rsid w:val="002D7F0F"/>
    <w:rsid w:val="002F5D9C"/>
    <w:rsid w:val="003001A2"/>
    <w:rsid w:val="00303057"/>
    <w:rsid w:val="00310C3C"/>
    <w:rsid w:val="003130DC"/>
    <w:rsid w:val="00313642"/>
    <w:rsid w:val="00314799"/>
    <w:rsid w:val="00315AC9"/>
    <w:rsid w:val="00320951"/>
    <w:rsid w:val="00322BBE"/>
    <w:rsid w:val="00326ED5"/>
    <w:rsid w:val="00331970"/>
    <w:rsid w:val="00343A37"/>
    <w:rsid w:val="00345FA9"/>
    <w:rsid w:val="003558D9"/>
    <w:rsid w:val="003617CD"/>
    <w:rsid w:val="003819FF"/>
    <w:rsid w:val="00385C06"/>
    <w:rsid w:val="00387E6E"/>
    <w:rsid w:val="003A3369"/>
    <w:rsid w:val="003A44A9"/>
    <w:rsid w:val="003D3CB2"/>
    <w:rsid w:val="003D518E"/>
    <w:rsid w:val="003E06B4"/>
    <w:rsid w:val="003E09D1"/>
    <w:rsid w:val="003E3617"/>
    <w:rsid w:val="003F0D75"/>
    <w:rsid w:val="00400C0D"/>
    <w:rsid w:val="0040506D"/>
    <w:rsid w:val="00406AF1"/>
    <w:rsid w:val="0041385B"/>
    <w:rsid w:val="00415BC0"/>
    <w:rsid w:val="00421059"/>
    <w:rsid w:val="004232F9"/>
    <w:rsid w:val="00440668"/>
    <w:rsid w:val="004421D7"/>
    <w:rsid w:val="00447B83"/>
    <w:rsid w:val="00450475"/>
    <w:rsid w:val="00452577"/>
    <w:rsid w:val="00452D01"/>
    <w:rsid w:val="00457882"/>
    <w:rsid w:val="00460B5A"/>
    <w:rsid w:val="0046426A"/>
    <w:rsid w:val="0046600E"/>
    <w:rsid w:val="00467E79"/>
    <w:rsid w:val="00476722"/>
    <w:rsid w:val="00481EEB"/>
    <w:rsid w:val="004942BD"/>
    <w:rsid w:val="00495993"/>
    <w:rsid w:val="004A3AAA"/>
    <w:rsid w:val="004A4315"/>
    <w:rsid w:val="004B5995"/>
    <w:rsid w:val="004B5AC3"/>
    <w:rsid w:val="004C237E"/>
    <w:rsid w:val="004C491E"/>
    <w:rsid w:val="004C63FE"/>
    <w:rsid w:val="004D23C9"/>
    <w:rsid w:val="004D3EC8"/>
    <w:rsid w:val="004D432C"/>
    <w:rsid w:val="004D6645"/>
    <w:rsid w:val="004E642A"/>
    <w:rsid w:val="004E7C82"/>
    <w:rsid w:val="00500EFC"/>
    <w:rsid w:val="00501E2E"/>
    <w:rsid w:val="00514A94"/>
    <w:rsid w:val="0051781E"/>
    <w:rsid w:val="00520971"/>
    <w:rsid w:val="005267CB"/>
    <w:rsid w:val="00531869"/>
    <w:rsid w:val="00535B7D"/>
    <w:rsid w:val="00536593"/>
    <w:rsid w:val="00554FAA"/>
    <w:rsid w:val="0056233F"/>
    <w:rsid w:val="00563773"/>
    <w:rsid w:val="005650F2"/>
    <w:rsid w:val="005672CB"/>
    <w:rsid w:val="00576B90"/>
    <w:rsid w:val="005770FE"/>
    <w:rsid w:val="00581E29"/>
    <w:rsid w:val="00590C13"/>
    <w:rsid w:val="0059175F"/>
    <w:rsid w:val="0059560E"/>
    <w:rsid w:val="00596C25"/>
    <w:rsid w:val="005A01E1"/>
    <w:rsid w:val="005A1E93"/>
    <w:rsid w:val="005A50B9"/>
    <w:rsid w:val="005C1434"/>
    <w:rsid w:val="005C4BDF"/>
    <w:rsid w:val="005C51A1"/>
    <w:rsid w:val="005D2B26"/>
    <w:rsid w:val="005D543F"/>
    <w:rsid w:val="005D671E"/>
    <w:rsid w:val="005D7152"/>
    <w:rsid w:val="005E352B"/>
    <w:rsid w:val="005E4484"/>
    <w:rsid w:val="005F4333"/>
    <w:rsid w:val="005F61FB"/>
    <w:rsid w:val="00604DC5"/>
    <w:rsid w:val="006067F0"/>
    <w:rsid w:val="00610541"/>
    <w:rsid w:val="00610A43"/>
    <w:rsid w:val="00611C5C"/>
    <w:rsid w:val="00612296"/>
    <w:rsid w:val="006161E8"/>
    <w:rsid w:val="00623A75"/>
    <w:rsid w:val="0063273A"/>
    <w:rsid w:val="00632DB3"/>
    <w:rsid w:val="00632EB9"/>
    <w:rsid w:val="006514D2"/>
    <w:rsid w:val="00655780"/>
    <w:rsid w:val="00656763"/>
    <w:rsid w:val="00656C96"/>
    <w:rsid w:val="00665676"/>
    <w:rsid w:val="006665A1"/>
    <w:rsid w:val="006706E8"/>
    <w:rsid w:val="0067149C"/>
    <w:rsid w:val="006714DD"/>
    <w:rsid w:val="0068783F"/>
    <w:rsid w:val="00696E85"/>
    <w:rsid w:val="006A18C5"/>
    <w:rsid w:val="006A7890"/>
    <w:rsid w:val="006D09A7"/>
    <w:rsid w:val="006E332F"/>
    <w:rsid w:val="006E7F1D"/>
    <w:rsid w:val="006F4DCD"/>
    <w:rsid w:val="00702FF2"/>
    <w:rsid w:val="00703B66"/>
    <w:rsid w:val="00705EAB"/>
    <w:rsid w:val="00723455"/>
    <w:rsid w:val="00724D6D"/>
    <w:rsid w:val="0073754C"/>
    <w:rsid w:val="0074716F"/>
    <w:rsid w:val="00753673"/>
    <w:rsid w:val="007540BD"/>
    <w:rsid w:val="00762205"/>
    <w:rsid w:val="0076323D"/>
    <w:rsid w:val="007830BE"/>
    <w:rsid w:val="007940C9"/>
    <w:rsid w:val="00796312"/>
    <w:rsid w:val="007973B9"/>
    <w:rsid w:val="007B1B23"/>
    <w:rsid w:val="007B21FA"/>
    <w:rsid w:val="007B2ADE"/>
    <w:rsid w:val="007B3940"/>
    <w:rsid w:val="007D492E"/>
    <w:rsid w:val="007E3A3B"/>
    <w:rsid w:val="007E51F2"/>
    <w:rsid w:val="007E5E97"/>
    <w:rsid w:val="007E7688"/>
    <w:rsid w:val="007F770C"/>
    <w:rsid w:val="00802CB9"/>
    <w:rsid w:val="00805473"/>
    <w:rsid w:val="00807BA4"/>
    <w:rsid w:val="00821133"/>
    <w:rsid w:val="008407EC"/>
    <w:rsid w:val="0084333E"/>
    <w:rsid w:val="0084379B"/>
    <w:rsid w:val="00844CA9"/>
    <w:rsid w:val="00853218"/>
    <w:rsid w:val="008559E9"/>
    <w:rsid w:val="00860D2C"/>
    <w:rsid w:val="00861CBA"/>
    <w:rsid w:val="00863B4C"/>
    <w:rsid w:val="00872AC0"/>
    <w:rsid w:val="00883796"/>
    <w:rsid w:val="00892B13"/>
    <w:rsid w:val="008A0939"/>
    <w:rsid w:val="008A1C6B"/>
    <w:rsid w:val="008B1B83"/>
    <w:rsid w:val="008B2406"/>
    <w:rsid w:val="008B3ADA"/>
    <w:rsid w:val="008C3B6B"/>
    <w:rsid w:val="008C5F4A"/>
    <w:rsid w:val="008E3990"/>
    <w:rsid w:val="008F272E"/>
    <w:rsid w:val="008F6B2B"/>
    <w:rsid w:val="00906916"/>
    <w:rsid w:val="00906B06"/>
    <w:rsid w:val="0092514B"/>
    <w:rsid w:val="009264AA"/>
    <w:rsid w:val="009350BC"/>
    <w:rsid w:val="009461F0"/>
    <w:rsid w:val="009601F5"/>
    <w:rsid w:val="00970F21"/>
    <w:rsid w:val="00975F3B"/>
    <w:rsid w:val="00980BA9"/>
    <w:rsid w:val="0098382A"/>
    <w:rsid w:val="009942B8"/>
    <w:rsid w:val="009943CD"/>
    <w:rsid w:val="00994E91"/>
    <w:rsid w:val="009B136A"/>
    <w:rsid w:val="009C308E"/>
    <w:rsid w:val="009C5ADA"/>
    <w:rsid w:val="009C6BB2"/>
    <w:rsid w:val="009E27B6"/>
    <w:rsid w:val="009E5309"/>
    <w:rsid w:val="009E7920"/>
    <w:rsid w:val="009F368F"/>
    <w:rsid w:val="009F4367"/>
    <w:rsid w:val="009F6C05"/>
    <w:rsid w:val="00A03CE6"/>
    <w:rsid w:val="00A03E48"/>
    <w:rsid w:val="00A04F0D"/>
    <w:rsid w:val="00A11F5A"/>
    <w:rsid w:val="00A158CB"/>
    <w:rsid w:val="00A23BC0"/>
    <w:rsid w:val="00A264E9"/>
    <w:rsid w:val="00A27ECA"/>
    <w:rsid w:val="00A34B40"/>
    <w:rsid w:val="00A36292"/>
    <w:rsid w:val="00A36D64"/>
    <w:rsid w:val="00A5408B"/>
    <w:rsid w:val="00A556CE"/>
    <w:rsid w:val="00A67D37"/>
    <w:rsid w:val="00A72086"/>
    <w:rsid w:val="00A72DDE"/>
    <w:rsid w:val="00A75555"/>
    <w:rsid w:val="00A923E2"/>
    <w:rsid w:val="00A964CE"/>
    <w:rsid w:val="00AB0B59"/>
    <w:rsid w:val="00AB7930"/>
    <w:rsid w:val="00AC35D6"/>
    <w:rsid w:val="00AD678B"/>
    <w:rsid w:val="00AE3964"/>
    <w:rsid w:val="00AE5A17"/>
    <w:rsid w:val="00AF1170"/>
    <w:rsid w:val="00AF5AF6"/>
    <w:rsid w:val="00B13BB6"/>
    <w:rsid w:val="00B14A3C"/>
    <w:rsid w:val="00B2565D"/>
    <w:rsid w:val="00B30727"/>
    <w:rsid w:val="00B441D7"/>
    <w:rsid w:val="00B53187"/>
    <w:rsid w:val="00B64BAB"/>
    <w:rsid w:val="00B734BB"/>
    <w:rsid w:val="00B77950"/>
    <w:rsid w:val="00B80700"/>
    <w:rsid w:val="00B857F0"/>
    <w:rsid w:val="00B86940"/>
    <w:rsid w:val="00B90A33"/>
    <w:rsid w:val="00B91712"/>
    <w:rsid w:val="00B91D48"/>
    <w:rsid w:val="00B932C3"/>
    <w:rsid w:val="00B97204"/>
    <w:rsid w:val="00BA7059"/>
    <w:rsid w:val="00BB40C8"/>
    <w:rsid w:val="00BB6148"/>
    <w:rsid w:val="00BB6985"/>
    <w:rsid w:val="00BC6602"/>
    <w:rsid w:val="00BD26BE"/>
    <w:rsid w:val="00BD787B"/>
    <w:rsid w:val="00BE0CE4"/>
    <w:rsid w:val="00BE352D"/>
    <w:rsid w:val="00BE6B25"/>
    <w:rsid w:val="00BE7D68"/>
    <w:rsid w:val="00C03ED1"/>
    <w:rsid w:val="00C20FB4"/>
    <w:rsid w:val="00C21584"/>
    <w:rsid w:val="00C26117"/>
    <w:rsid w:val="00C3559B"/>
    <w:rsid w:val="00C41BBD"/>
    <w:rsid w:val="00C44620"/>
    <w:rsid w:val="00C5474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6429"/>
    <w:rsid w:val="00CB5C14"/>
    <w:rsid w:val="00CC42E1"/>
    <w:rsid w:val="00CC6892"/>
    <w:rsid w:val="00CD31FE"/>
    <w:rsid w:val="00CD4F1D"/>
    <w:rsid w:val="00CE1EC6"/>
    <w:rsid w:val="00CE5201"/>
    <w:rsid w:val="00CF760D"/>
    <w:rsid w:val="00D008ED"/>
    <w:rsid w:val="00D01EDA"/>
    <w:rsid w:val="00D02263"/>
    <w:rsid w:val="00D05BAD"/>
    <w:rsid w:val="00D16472"/>
    <w:rsid w:val="00D321C9"/>
    <w:rsid w:val="00D37FC2"/>
    <w:rsid w:val="00D51C78"/>
    <w:rsid w:val="00D740A7"/>
    <w:rsid w:val="00D750F2"/>
    <w:rsid w:val="00D87042"/>
    <w:rsid w:val="00D922CF"/>
    <w:rsid w:val="00D951B4"/>
    <w:rsid w:val="00DA6734"/>
    <w:rsid w:val="00DA7ECF"/>
    <w:rsid w:val="00DB56B3"/>
    <w:rsid w:val="00DB60FB"/>
    <w:rsid w:val="00DB6E6F"/>
    <w:rsid w:val="00DD2715"/>
    <w:rsid w:val="00DE24BE"/>
    <w:rsid w:val="00DE5B21"/>
    <w:rsid w:val="00DE7479"/>
    <w:rsid w:val="00DF2F94"/>
    <w:rsid w:val="00E22672"/>
    <w:rsid w:val="00E260C1"/>
    <w:rsid w:val="00E26EAA"/>
    <w:rsid w:val="00E30FCA"/>
    <w:rsid w:val="00E36F97"/>
    <w:rsid w:val="00E410FA"/>
    <w:rsid w:val="00E42057"/>
    <w:rsid w:val="00E621C6"/>
    <w:rsid w:val="00E62BEE"/>
    <w:rsid w:val="00E63075"/>
    <w:rsid w:val="00E644BF"/>
    <w:rsid w:val="00E66D1B"/>
    <w:rsid w:val="00E72E25"/>
    <w:rsid w:val="00E73A40"/>
    <w:rsid w:val="00E81697"/>
    <w:rsid w:val="00E928D4"/>
    <w:rsid w:val="00E94852"/>
    <w:rsid w:val="00EA4D25"/>
    <w:rsid w:val="00EA576F"/>
    <w:rsid w:val="00EA6646"/>
    <w:rsid w:val="00EB0255"/>
    <w:rsid w:val="00EB3838"/>
    <w:rsid w:val="00EB4C77"/>
    <w:rsid w:val="00EB59FF"/>
    <w:rsid w:val="00EC2095"/>
    <w:rsid w:val="00EC5E51"/>
    <w:rsid w:val="00EC670A"/>
    <w:rsid w:val="00ED48AE"/>
    <w:rsid w:val="00EE65A7"/>
    <w:rsid w:val="00EF48EC"/>
    <w:rsid w:val="00EF6016"/>
    <w:rsid w:val="00F04F52"/>
    <w:rsid w:val="00F05E03"/>
    <w:rsid w:val="00F2061A"/>
    <w:rsid w:val="00F30057"/>
    <w:rsid w:val="00F30C74"/>
    <w:rsid w:val="00F34750"/>
    <w:rsid w:val="00F45FDD"/>
    <w:rsid w:val="00F47B3A"/>
    <w:rsid w:val="00F602C8"/>
    <w:rsid w:val="00F64D92"/>
    <w:rsid w:val="00F7168A"/>
    <w:rsid w:val="00F757BF"/>
    <w:rsid w:val="00F77228"/>
    <w:rsid w:val="00F90567"/>
    <w:rsid w:val="00F91352"/>
    <w:rsid w:val="00F922ED"/>
    <w:rsid w:val="00FA6B8D"/>
    <w:rsid w:val="00FB7ADE"/>
    <w:rsid w:val="00FC164F"/>
    <w:rsid w:val="00FD203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1C2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2519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uiPriority w:val="99"/>
    <w:rsid w:val="005A1E93"/>
    <w:pPr>
      <w:suppressAutoHyphens w:val="0"/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liste1nr1">
    <w:name w:val="liste1nr1"/>
    <w:basedOn w:val="Standardskrifttypeiafsnit"/>
    <w:uiPriority w:val="99"/>
    <w:rsid w:val="005A1E93"/>
    <w:rPr>
      <w:rFonts w:ascii="Tahoma" w:hAnsi="Tahoma" w:cs="Tahoma" w:hint="default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A7208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7208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72086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A7208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72086"/>
    <w:rPr>
      <w:rFonts w:ascii="Georgia" w:hAnsi="Georgia"/>
      <w:b/>
      <w:bCs/>
    </w:rPr>
  </w:style>
  <w:style w:type="paragraph" w:styleId="Listeafsnit">
    <w:name w:val="List Paragraph"/>
    <w:basedOn w:val="Normal"/>
    <w:uiPriority w:val="34"/>
    <w:qFormat/>
    <w:rsid w:val="00421059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rsid w:val="006E332F"/>
    <w:rPr>
      <w:rFonts w:ascii="Georgia" w:hAnsi="Georgia"/>
      <w:sz w:val="14"/>
      <w:szCs w:val="24"/>
    </w:rPr>
  </w:style>
  <w:style w:type="paragraph" w:styleId="Opstilling-punkttegn">
    <w:name w:val="List Bullet"/>
    <w:basedOn w:val="Normal"/>
    <w:unhideWhenUsed/>
    <w:rsid w:val="00B97204"/>
    <w:pPr>
      <w:tabs>
        <w:tab w:val="num" w:pos="360"/>
      </w:tabs>
      <w:ind w:left="36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1C2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2519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uiPriority w:val="99"/>
    <w:rsid w:val="005A1E93"/>
    <w:pPr>
      <w:suppressAutoHyphens w:val="0"/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liste1nr1">
    <w:name w:val="liste1nr1"/>
    <w:basedOn w:val="Standardskrifttypeiafsnit"/>
    <w:uiPriority w:val="99"/>
    <w:rsid w:val="005A1E93"/>
    <w:rPr>
      <w:rFonts w:ascii="Tahoma" w:hAnsi="Tahoma" w:cs="Tahoma" w:hint="default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A7208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7208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72086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A7208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72086"/>
    <w:rPr>
      <w:rFonts w:ascii="Georgia" w:hAnsi="Georgia"/>
      <w:b/>
      <w:bCs/>
    </w:rPr>
  </w:style>
  <w:style w:type="paragraph" w:styleId="Listeafsnit">
    <w:name w:val="List Paragraph"/>
    <w:basedOn w:val="Normal"/>
    <w:uiPriority w:val="34"/>
    <w:qFormat/>
    <w:rsid w:val="00421059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rsid w:val="006E332F"/>
    <w:rPr>
      <w:rFonts w:ascii="Georgia" w:hAnsi="Georgia"/>
      <w:sz w:val="14"/>
      <w:szCs w:val="24"/>
    </w:rPr>
  </w:style>
  <w:style w:type="paragraph" w:styleId="Opstilling-punkttegn">
    <w:name w:val="List Bullet"/>
    <w:basedOn w:val="Normal"/>
    <w:unhideWhenUsed/>
    <w:rsid w:val="00B97204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knu\AppData\Local\Milj&#248;ministeriet\Skabeloner\Almindeligt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EBDB-C30C-4E91-82AB-F52EEC74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Almindeligt brev.dotx</Template>
  <TotalTime>0</TotalTime>
  <Pages>2</Pages>
  <Words>483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Miljøministeriet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Ida Hansen</dc:creator>
  <cp:lastModifiedBy>Ellegaard, Christina</cp:lastModifiedBy>
  <cp:revision>2</cp:revision>
  <cp:lastPrinted>2013-12-12T11:54:00Z</cp:lastPrinted>
  <dcterms:created xsi:type="dcterms:W3CDTF">2017-09-21T07:44:00Z</dcterms:created>
  <dcterms:modified xsi:type="dcterms:W3CDTF">2017-09-21T07:44:00Z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ContentRemapped">
    <vt:lpwstr>true</vt:lpwstr>
  </property>
</Properties>
</file>