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AC6F15" w:rsidTr="00E94930">
        <w:trPr>
          <w:trHeight w:val="1417"/>
        </w:trPr>
        <w:tc>
          <w:tcPr>
            <w:tcW w:w="5670" w:type="dxa"/>
          </w:tcPr>
          <w:p w:rsidR="00AC6F15" w:rsidRPr="00AC6F15" w:rsidRDefault="00AC6F15" w:rsidP="00AC6F15">
            <w:pPr>
              <w:pStyle w:val="Modtager"/>
              <w:rPr>
                <w:rFonts w:ascii="Calibri" w:hAnsi="Calibri"/>
              </w:rPr>
            </w:pPr>
            <w:r w:rsidRPr="00AC6F15">
              <w:rPr>
                <w:rFonts w:ascii="Calibri" w:hAnsi="Calibri"/>
              </w:rPr>
              <w:t>Helsingør Kraftvarmeværk A/S</w:t>
            </w:r>
          </w:p>
          <w:p w:rsidR="00964195" w:rsidRPr="00AC6F15" w:rsidRDefault="00AC6F15" w:rsidP="00AC6F15">
            <w:pPr>
              <w:pStyle w:val="Modtager"/>
            </w:pPr>
            <w:r w:rsidRPr="00AC6F15">
              <w:rPr>
                <w:rFonts w:ascii="Calibri" w:hAnsi="Calibri"/>
              </w:rPr>
              <w:t>Att.: Claus Bo Frederiksen</w:t>
            </w:r>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AC6F15" w:rsidTr="00E94930">
        <w:trPr>
          <w:trHeight w:val="397"/>
        </w:trPr>
        <w:tc>
          <w:tcPr>
            <w:tcW w:w="4196" w:type="dxa"/>
            <w:vAlign w:val="bottom"/>
          </w:tcPr>
          <w:p w:rsidR="00964195" w:rsidRPr="00AC6F15" w:rsidRDefault="00AC6F15" w:rsidP="00AC6F15">
            <w:pPr>
              <w:pStyle w:val="KolofonFed"/>
            </w:pPr>
            <w:r w:rsidRPr="00AC6F15">
              <w:rPr>
                <w:rFonts w:ascii="Calibri" w:hAnsi="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AC6F15" w:rsidTr="00C97EEF">
        <w:trPr>
          <w:trHeight w:val="2835"/>
        </w:trPr>
        <w:tc>
          <w:tcPr>
            <w:tcW w:w="2268" w:type="dxa"/>
          </w:tcPr>
          <w:p w:rsidR="00AC6F15" w:rsidRPr="00AC6F15" w:rsidRDefault="00AC6F15" w:rsidP="00AC6F15">
            <w:pPr>
              <w:pStyle w:val="Kolofon"/>
              <w:rPr>
                <w:rFonts w:ascii="Calibri" w:hAnsi="Calibri"/>
              </w:rPr>
            </w:pPr>
            <w:r w:rsidRPr="00AC6F15">
              <w:rPr>
                <w:rFonts w:ascii="Calibri" w:hAnsi="Calibri"/>
              </w:rPr>
              <w:t>Natur og Miljø</w:t>
            </w:r>
          </w:p>
          <w:p w:rsidR="00AC6F15" w:rsidRPr="00AC6F15" w:rsidRDefault="00AC6F15" w:rsidP="00AC6F15">
            <w:pPr>
              <w:pStyle w:val="Kolofon"/>
              <w:rPr>
                <w:rFonts w:ascii="Calibri" w:hAnsi="Calibri"/>
              </w:rPr>
            </w:pPr>
            <w:r w:rsidRPr="00AC6F15">
              <w:rPr>
                <w:rFonts w:ascii="Calibri" w:hAnsi="Calibri"/>
              </w:rPr>
              <w:t>Prøvestensvej 52</w:t>
            </w:r>
          </w:p>
          <w:p w:rsidR="00AC6F15" w:rsidRPr="00AC6F15" w:rsidRDefault="00AC6F15" w:rsidP="00AC6F15">
            <w:pPr>
              <w:pStyle w:val="Kolofon"/>
              <w:rPr>
                <w:rFonts w:ascii="Calibri" w:hAnsi="Calibri"/>
              </w:rPr>
            </w:pPr>
            <w:r w:rsidRPr="00AC6F15">
              <w:rPr>
                <w:rFonts w:ascii="Calibri" w:hAnsi="Calibri"/>
              </w:rPr>
              <w:t>3000 Helsingør</w:t>
            </w:r>
          </w:p>
          <w:p w:rsidR="00AC6F15" w:rsidRPr="00AC6F15" w:rsidRDefault="00AC6F15" w:rsidP="00AC6F15">
            <w:pPr>
              <w:pStyle w:val="KolofonAfstand"/>
            </w:pPr>
          </w:p>
          <w:p w:rsidR="00AC6F15" w:rsidRPr="00AC6F15" w:rsidRDefault="00AC6F15" w:rsidP="00AC6F15">
            <w:pPr>
              <w:pStyle w:val="Kolofon"/>
              <w:rPr>
                <w:rFonts w:ascii="Calibri" w:hAnsi="Calibri"/>
              </w:rPr>
            </w:pPr>
            <w:r w:rsidRPr="00AC6F15">
              <w:rPr>
                <w:rFonts w:ascii="Calibri" w:hAnsi="Calibri"/>
              </w:rPr>
              <w:t>Cvr nr. 64 50 20 18</w:t>
            </w:r>
          </w:p>
          <w:p w:rsidR="00AC6F15" w:rsidRPr="00AC6F15" w:rsidRDefault="00DD36A0" w:rsidP="00AC6F15">
            <w:pPr>
              <w:pStyle w:val="Kolofon"/>
              <w:rPr>
                <w:rFonts w:ascii="Calibri" w:hAnsi="Calibri"/>
              </w:rPr>
            </w:pPr>
            <w:r>
              <w:rPr>
                <w:rFonts w:ascii="Calibri" w:hAnsi="Calibri"/>
              </w:rPr>
              <w:t xml:space="preserve">Dato </w:t>
            </w:r>
            <w:proofErr w:type="gramStart"/>
            <w:r>
              <w:rPr>
                <w:rFonts w:ascii="Calibri" w:hAnsi="Calibri"/>
              </w:rPr>
              <w:t>06</w:t>
            </w:r>
            <w:r w:rsidR="00AC6F15" w:rsidRPr="00AC6F15">
              <w:rPr>
                <w:rFonts w:ascii="Calibri" w:hAnsi="Calibri"/>
              </w:rPr>
              <w:t>.12.2016</w:t>
            </w:r>
            <w:proofErr w:type="gramEnd"/>
          </w:p>
          <w:p w:rsidR="00AC6F15" w:rsidRPr="00AC6F15" w:rsidRDefault="00AC6F15" w:rsidP="00AC6F15">
            <w:pPr>
              <w:pStyle w:val="Kolofon"/>
              <w:rPr>
                <w:rFonts w:ascii="Calibri" w:hAnsi="Calibri"/>
              </w:rPr>
            </w:pPr>
            <w:r w:rsidRPr="00AC6F15">
              <w:rPr>
                <w:rFonts w:ascii="Calibri" w:hAnsi="Calibri"/>
              </w:rPr>
              <w:t>Sagsnr. 16/</w:t>
            </w:r>
            <w:r w:rsidR="00A97C9C">
              <w:rPr>
                <w:rFonts w:ascii="Calibri" w:hAnsi="Calibri"/>
              </w:rPr>
              <w:t>520</w:t>
            </w:r>
          </w:p>
          <w:p w:rsidR="00AC6F15" w:rsidRPr="00AC6F15" w:rsidRDefault="00AC6F15" w:rsidP="00AC6F15">
            <w:pPr>
              <w:pStyle w:val="KolofonAfstand"/>
            </w:pPr>
          </w:p>
          <w:p w:rsidR="00AC6F15" w:rsidRPr="00AC6F15" w:rsidRDefault="00AC6F15" w:rsidP="00AC6F15">
            <w:pPr>
              <w:pStyle w:val="Kolofon"/>
              <w:rPr>
                <w:rFonts w:ascii="Calibri" w:hAnsi="Calibri"/>
              </w:rPr>
            </w:pPr>
            <w:r w:rsidRPr="00AC6F15">
              <w:rPr>
                <w:rFonts w:ascii="Calibri" w:hAnsi="Calibri"/>
              </w:rPr>
              <w:t>Sagsbehandler</w:t>
            </w:r>
          </w:p>
          <w:p w:rsidR="00AC6F15" w:rsidRPr="00AC6F15" w:rsidRDefault="00AC6F15" w:rsidP="00AC6F15">
            <w:pPr>
              <w:pStyle w:val="Kolofon"/>
              <w:rPr>
                <w:rFonts w:ascii="Calibri" w:hAnsi="Calibri"/>
              </w:rPr>
            </w:pPr>
            <w:r w:rsidRPr="00AC6F15">
              <w:rPr>
                <w:rFonts w:ascii="Calibri" w:hAnsi="Calibri"/>
                <w:b/>
              </w:rPr>
              <w:t>Malene Kamstrup</w:t>
            </w:r>
          </w:p>
          <w:p w:rsidR="00AC6F15" w:rsidRPr="00AC6F15" w:rsidRDefault="00AC6F15" w:rsidP="00AC6F15">
            <w:pPr>
              <w:pStyle w:val="Kolofon"/>
              <w:rPr>
                <w:rFonts w:ascii="Calibri" w:hAnsi="Calibri"/>
              </w:rPr>
            </w:pPr>
            <w:r w:rsidRPr="00AC6F15">
              <w:rPr>
                <w:rFonts w:ascii="Calibri" w:hAnsi="Calibri"/>
              </w:rPr>
              <w:t>Ingeniør</w:t>
            </w:r>
          </w:p>
          <w:p w:rsidR="00AC6F15" w:rsidRPr="00AC6F15" w:rsidRDefault="00AC6F15" w:rsidP="00AC6F15">
            <w:pPr>
              <w:pStyle w:val="Kolofon"/>
              <w:rPr>
                <w:rFonts w:ascii="Calibri" w:hAnsi="Calibri"/>
              </w:rPr>
            </w:pPr>
            <w:r w:rsidRPr="00AC6F15">
              <w:rPr>
                <w:rFonts w:ascii="Calibri" w:hAnsi="Calibri"/>
              </w:rPr>
              <w:t>Tlf. 49 28 24 54</w:t>
            </w:r>
          </w:p>
          <w:p w:rsidR="00AC6F15" w:rsidRPr="00AC6F15" w:rsidRDefault="00AC6F15" w:rsidP="00AC6F15">
            <w:pPr>
              <w:pStyle w:val="Kolofon"/>
              <w:rPr>
                <w:rFonts w:ascii="Calibri" w:hAnsi="Calibri"/>
              </w:rPr>
            </w:pPr>
            <w:r w:rsidRPr="00AC6F15">
              <w:rPr>
                <w:rFonts w:ascii="Calibri" w:hAnsi="Calibri"/>
              </w:rPr>
              <w:t>mka55@helsingor.dk</w:t>
            </w:r>
          </w:p>
          <w:p w:rsidR="00964195" w:rsidRPr="00AC6F15" w:rsidRDefault="00AC6F15" w:rsidP="00AC6F15">
            <w:pPr>
              <w:pStyle w:val="Kolofon"/>
            </w:pPr>
            <w:r w:rsidRPr="00AC6F15">
              <w:rPr>
                <w:rFonts w:ascii="Calibri" w:hAnsi="Calibri"/>
              </w:rPr>
              <w:t>www.helsingor.dk</w:t>
            </w:r>
          </w:p>
        </w:tc>
      </w:tr>
    </w:tbl>
    <w:tbl>
      <w:tblPr>
        <w:tblpPr w:leftFromText="141" w:rightFromText="141" w:vertAnchor="page" w:horzAnchor="page" w:tblpX="8901" w:tblpY="131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AC6F15" w:rsidTr="00B51C65">
        <w:trPr>
          <w:trHeight w:val="2835"/>
        </w:trPr>
        <w:tc>
          <w:tcPr>
            <w:tcW w:w="2268" w:type="dxa"/>
            <w:vAlign w:val="bottom"/>
          </w:tcPr>
          <w:p w:rsidR="00964195" w:rsidRPr="00AC6F15" w:rsidRDefault="00964195" w:rsidP="00B51C65">
            <w:pPr>
              <w:pStyle w:val="Kolofon"/>
            </w:pPr>
          </w:p>
        </w:tc>
      </w:tr>
    </w:tbl>
    <w:p w:rsidR="00E524FB" w:rsidRPr="00AC6F15" w:rsidRDefault="00E524FB" w:rsidP="00C40F85">
      <w:pPr>
        <w:pStyle w:val="Overskrift1"/>
      </w:pPr>
    </w:p>
    <w:p w:rsidR="00AC6F15" w:rsidRPr="00AC6F15" w:rsidRDefault="0062209E" w:rsidP="00AC6F15">
      <w:pPr>
        <w:rPr>
          <w:b/>
          <w:bCs/>
        </w:rPr>
      </w:pPr>
      <w:bookmarkStart w:id="0" w:name="_GoBack"/>
      <w:r>
        <w:rPr>
          <w:b/>
          <w:bCs/>
        </w:rPr>
        <w:t>R</w:t>
      </w:r>
      <w:r w:rsidR="00AC6F15" w:rsidRPr="00AC6F15">
        <w:rPr>
          <w:b/>
          <w:bCs/>
        </w:rPr>
        <w:t>eviderede vilkår i miljøgodkendelsen om egenkontrol og vedligehold</w:t>
      </w:r>
      <w:bookmarkEnd w:id="0"/>
    </w:p>
    <w:p w:rsidR="00AC6F15" w:rsidRPr="00AC6F15" w:rsidRDefault="00AC6F15" w:rsidP="00AC6F15">
      <w:pPr>
        <w:rPr>
          <w:bCs/>
        </w:rPr>
      </w:pPr>
      <w:r w:rsidRPr="00AC6F15">
        <w:rPr>
          <w:bCs/>
        </w:rPr>
        <w:t>Miljøstyrelsens referencelaborat</w:t>
      </w:r>
      <w:r w:rsidRPr="00AC6F15">
        <w:rPr>
          <w:bCs/>
        </w:rPr>
        <w:t>o</w:t>
      </w:r>
      <w:r w:rsidRPr="00AC6F15">
        <w:rPr>
          <w:bCs/>
        </w:rPr>
        <w:t>rium har revideret sit metodeblad, der beskriver hvordan man skal kvalitetssikre automatisk målende systemer samt hvordan de målte emissioner skal rapporteres til kommunen. For at sikre overen</w:t>
      </w:r>
      <w:r w:rsidRPr="00AC6F15">
        <w:rPr>
          <w:bCs/>
        </w:rPr>
        <w:t>s</w:t>
      </w:r>
      <w:r w:rsidRPr="00AC6F15">
        <w:rPr>
          <w:bCs/>
        </w:rPr>
        <w:t xml:space="preserve">stemmelse mellem metodebladet og miljøgodkendelsen, </w:t>
      </w:r>
      <w:r w:rsidR="00805B4E">
        <w:rPr>
          <w:bCs/>
        </w:rPr>
        <w:t>reviderer</w:t>
      </w:r>
      <w:r w:rsidRPr="00AC6F15">
        <w:rPr>
          <w:bCs/>
        </w:rPr>
        <w:t xml:space="preserve"> kommunen</w:t>
      </w:r>
      <w:r w:rsidR="00805B4E">
        <w:rPr>
          <w:bCs/>
        </w:rPr>
        <w:t xml:space="preserve"> </w:t>
      </w:r>
      <w:r w:rsidRPr="00AC6F15">
        <w:rPr>
          <w:bCs/>
        </w:rPr>
        <w:t xml:space="preserve">vilkårene for egenkontrol af emissioner til luft. </w:t>
      </w:r>
    </w:p>
    <w:p w:rsidR="00AC6F15" w:rsidRPr="00AC6F15" w:rsidRDefault="00AC6F15" w:rsidP="00AC6F15">
      <w:pPr>
        <w:rPr>
          <w:bCs/>
        </w:rPr>
      </w:pPr>
    </w:p>
    <w:p w:rsidR="00AC6F15" w:rsidRPr="00AC6F15" w:rsidRDefault="00AC6F15" w:rsidP="00AC6F15">
      <w:pPr>
        <w:rPr>
          <w:bCs/>
        </w:rPr>
      </w:pPr>
      <w:r w:rsidRPr="00AC6F15">
        <w:rPr>
          <w:bCs/>
        </w:rPr>
        <w:t>Samtidig er kommunen blevet opmærksom på, at vi skal meddele vilkår for vedl</w:t>
      </w:r>
      <w:r w:rsidRPr="00AC6F15">
        <w:rPr>
          <w:bCs/>
        </w:rPr>
        <w:t>i</w:t>
      </w:r>
      <w:r w:rsidRPr="00AC6F15">
        <w:rPr>
          <w:bCs/>
        </w:rPr>
        <w:t>gehold og monitering som opfølgning på jere</w:t>
      </w:r>
      <w:r w:rsidR="0062209E">
        <w:rPr>
          <w:bCs/>
        </w:rPr>
        <w:t xml:space="preserve">s basistilstandsrapport. Vi meddeler </w:t>
      </w:r>
      <w:r w:rsidRPr="00AC6F15">
        <w:rPr>
          <w:bCs/>
        </w:rPr>
        <w:t>derfor nye vilkår herfor.</w:t>
      </w:r>
    </w:p>
    <w:p w:rsidR="00AC6F15" w:rsidRPr="00AC6F15" w:rsidRDefault="00AC6F15" w:rsidP="00AC6F15">
      <w:pPr>
        <w:rPr>
          <w:bCs/>
        </w:rPr>
      </w:pPr>
    </w:p>
    <w:p w:rsidR="00AC6F15" w:rsidRPr="00AC6F15" w:rsidRDefault="00AC6F15" w:rsidP="00AC6F15">
      <w:pPr>
        <w:rPr>
          <w:bCs/>
        </w:rPr>
      </w:pPr>
      <w:r w:rsidRPr="00AC6F15">
        <w:rPr>
          <w:bCs/>
        </w:rPr>
        <w:t>T</w:t>
      </w:r>
      <w:r w:rsidR="0062209E">
        <w:rPr>
          <w:bCs/>
        </w:rPr>
        <w:t>ak for jeres kommentarer til mine</w:t>
      </w:r>
      <w:r w:rsidRPr="00AC6F15">
        <w:rPr>
          <w:bCs/>
        </w:rPr>
        <w:t xml:space="preserve"> forrige udkast af 24. november 2015</w:t>
      </w:r>
      <w:r w:rsidR="0062209E">
        <w:rPr>
          <w:bCs/>
        </w:rPr>
        <w:t xml:space="preserve"> og 17. oktober 2016</w:t>
      </w:r>
      <w:r w:rsidRPr="00AC6F15">
        <w:rPr>
          <w:bCs/>
        </w:rPr>
        <w:t>. D</w:t>
      </w:r>
      <w:r w:rsidR="0062209E">
        <w:rPr>
          <w:bCs/>
        </w:rPr>
        <w:t xml:space="preserve">isse vilkår </w:t>
      </w:r>
      <w:r w:rsidRPr="00AC6F15">
        <w:rPr>
          <w:bCs/>
        </w:rPr>
        <w:t>er re</w:t>
      </w:r>
      <w:r w:rsidR="0062209E">
        <w:rPr>
          <w:bCs/>
        </w:rPr>
        <w:t>ttet</w:t>
      </w:r>
      <w:r w:rsidRPr="00AC6F15">
        <w:rPr>
          <w:bCs/>
        </w:rPr>
        <w:t xml:space="preserve"> i forhold til jeres kommentarer. </w:t>
      </w:r>
    </w:p>
    <w:p w:rsidR="00AC6F15" w:rsidRPr="00AC6F15" w:rsidRDefault="00AC6F15" w:rsidP="00AC6F15"/>
    <w:p w:rsidR="00AC6F15" w:rsidRPr="00AC6F15" w:rsidRDefault="00AC6F15" w:rsidP="00AC6F15">
      <w:pPr>
        <w:rPr>
          <w:b/>
          <w:bCs/>
          <w:u w:val="single"/>
        </w:rPr>
      </w:pPr>
      <w:r w:rsidRPr="00AC6F15">
        <w:rPr>
          <w:b/>
          <w:bCs/>
          <w:u w:val="single"/>
        </w:rPr>
        <w:t>Egenkontrol af emissioner til luft</w:t>
      </w:r>
    </w:p>
    <w:p w:rsidR="00AC6F15" w:rsidRPr="00AC6F15" w:rsidRDefault="00AC6F15" w:rsidP="00AC6F15">
      <w:pPr>
        <w:rPr>
          <w:bCs/>
        </w:rPr>
      </w:pPr>
      <w:r w:rsidRPr="00AC6F15">
        <w:rPr>
          <w:b/>
          <w:bCs/>
        </w:rPr>
        <w:t>Baggrund</w:t>
      </w:r>
    </w:p>
    <w:p w:rsidR="00AC6F15" w:rsidRPr="00AC6F15" w:rsidRDefault="00AC6F15" w:rsidP="00AC6F15">
      <w:pPr>
        <w:rPr>
          <w:bCs/>
        </w:rPr>
      </w:pPr>
      <w:r w:rsidRPr="00AC6F15">
        <w:rPr>
          <w:bCs/>
        </w:rPr>
        <w:t xml:space="preserve">Anlægget består af en </w:t>
      </w:r>
      <w:proofErr w:type="spellStart"/>
      <w:r w:rsidRPr="00AC6F15">
        <w:rPr>
          <w:bCs/>
        </w:rPr>
        <w:t>flisfyret</w:t>
      </w:r>
      <w:proofErr w:type="spellEnd"/>
      <w:r w:rsidRPr="00AC6F15">
        <w:rPr>
          <w:bCs/>
        </w:rPr>
        <w:t xml:space="preserve"> kedel med en </w:t>
      </w:r>
      <w:proofErr w:type="spellStart"/>
      <w:r w:rsidRPr="00AC6F15">
        <w:rPr>
          <w:bCs/>
        </w:rPr>
        <w:t>indfyret</w:t>
      </w:r>
      <w:proofErr w:type="spellEnd"/>
      <w:r w:rsidRPr="00AC6F15">
        <w:rPr>
          <w:bCs/>
        </w:rPr>
        <w:t xml:space="preserve"> effekt på ca. 70 MW. Anlæ</w:t>
      </w:r>
      <w:r w:rsidRPr="00AC6F15">
        <w:rPr>
          <w:bCs/>
        </w:rPr>
        <w:t>g</w:t>
      </w:r>
      <w:r w:rsidRPr="00AC6F15">
        <w:rPr>
          <w:bCs/>
        </w:rPr>
        <w:t>get er reguleret af miljøgodkendelsen fra juli 2015, hvor kommunen har indskrevet kravene fra bekendtgørelsen om store fyr</w:t>
      </w:r>
      <w:r w:rsidRPr="00AC6F15">
        <w:rPr>
          <w:bCs/>
          <w:vertAlign w:val="superscript"/>
        </w:rPr>
        <w:footnoteReference w:id="1"/>
      </w:r>
      <w:r w:rsidRPr="00AC6F15">
        <w:rPr>
          <w:bCs/>
        </w:rPr>
        <w:t>. Miljøgodkendelsen stiller skærpede krav i forhold til bekendtgørelsen, da vi også har krævet bedst tilgængelig teknol</w:t>
      </w:r>
      <w:r w:rsidRPr="00AC6F15">
        <w:rPr>
          <w:bCs/>
        </w:rPr>
        <w:t>o</w:t>
      </w:r>
      <w:r w:rsidRPr="00AC6F15">
        <w:rPr>
          <w:bCs/>
        </w:rPr>
        <w:t xml:space="preserve">gi, som beskrevet i </w:t>
      </w:r>
      <w:proofErr w:type="spellStart"/>
      <w:r w:rsidRPr="00AC6F15">
        <w:rPr>
          <w:bCs/>
        </w:rPr>
        <w:t>bref</w:t>
      </w:r>
      <w:proofErr w:type="spellEnd"/>
      <w:r w:rsidRPr="00AC6F15">
        <w:rPr>
          <w:bCs/>
        </w:rPr>
        <w:t>-noten</w:t>
      </w:r>
      <w:r w:rsidRPr="00AC6F15">
        <w:rPr>
          <w:bCs/>
          <w:vertAlign w:val="superscript"/>
        </w:rPr>
        <w:footnoteReference w:id="2"/>
      </w:r>
      <w:r w:rsidRPr="00AC6F15">
        <w:rPr>
          <w:bCs/>
        </w:rPr>
        <w:t xml:space="preserve">. </w:t>
      </w:r>
    </w:p>
    <w:p w:rsidR="00AC6F15" w:rsidRPr="00AC6F15" w:rsidRDefault="00AC6F15" w:rsidP="00AC6F15">
      <w:pPr>
        <w:rPr>
          <w:bCs/>
        </w:rPr>
      </w:pPr>
    </w:p>
    <w:p w:rsidR="00AC6F15" w:rsidRPr="00AC6F15" w:rsidRDefault="00AC6F15" w:rsidP="00AC6F15">
      <w:pPr>
        <w:rPr>
          <w:bCs/>
        </w:rPr>
      </w:pPr>
      <w:r w:rsidRPr="00AC6F15">
        <w:rPr>
          <w:bCs/>
        </w:rPr>
        <w:t>Miljøstyrelsens Referencelaboratorium for emissioner til luft har revideret met</w:t>
      </w:r>
      <w:r w:rsidRPr="00AC6F15">
        <w:rPr>
          <w:bCs/>
        </w:rPr>
        <w:t>o</w:t>
      </w:r>
      <w:r w:rsidRPr="00AC6F15">
        <w:rPr>
          <w:bCs/>
        </w:rPr>
        <w:t xml:space="preserve">deblad, MEL16, om kvalitetssikring af automatisk målende systemer. Formålet med dette metodeblad er at sikre en ensartet fortolkning af både bekendtgørelsen og en række standarder. Samtidig er den tekniske rapport 39 udgået. De fleste </w:t>
      </w:r>
      <w:r w:rsidRPr="00AC6F15">
        <w:rPr>
          <w:bCs/>
        </w:rPr>
        <w:lastRenderedPageBreak/>
        <w:t>krav er allerede fastsat i vilkår i miljøgodkendelsen, der mangler kun få vigtige detaljer.</w:t>
      </w:r>
    </w:p>
    <w:p w:rsidR="00AC6F15" w:rsidRPr="00AC6F15" w:rsidRDefault="00AC6F15" w:rsidP="00AC6F15">
      <w:pPr>
        <w:rPr>
          <w:bCs/>
        </w:rPr>
      </w:pPr>
    </w:p>
    <w:p w:rsidR="00AC6F15" w:rsidRPr="00AC6F15" w:rsidRDefault="00AC6F15" w:rsidP="00AC6F15">
      <w:pPr>
        <w:rPr>
          <w:bCs/>
        </w:rPr>
      </w:pPr>
      <w:r w:rsidRPr="00AC6F15">
        <w:rPr>
          <w:bCs/>
        </w:rPr>
        <w:t>I miljøgodkendelsen fra juli 2015 er fastsat grænser for emission af en lang række parametre med krav om at følgende skal måles med automatisk målende syst</w:t>
      </w:r>
      <w:r w:rsidRPr="00AC6F15">
        <w:rPr>
          <w:bCs/>
        </w:rPr>
        <w:t>e</w:t>
      </w:r>
      <w:r w:rsidRPr="00AC6F15">
        <w:rPr>
          <w:bCs/>
        </w:rPr>
        <w:t>mer:</w:t>
      </w:r>
    </w:p>
    <w:p w:rsidR="00AC6F15" w:rsidRPr="00AC6F15" w:rsidRDefault="00AC6F15" w:rsidP="00AC6F15">
      <w:pPr>
        <w:numPr>
          <w:ilvl w:val="0"/>
          <w:numId w:val="5"/>
        </w:numPr>
        <w:rPr>
          <w:bCs/>
        </w:rPr>
      </w:pPr>
      <w:proofErr w:type="spellStart"/>
      <w:r w:rsidRPr="00AC6F15">
        <w:rPr>
          <w:bCs/>
        </w:rPr>
        <w:t>NO</w:t>
      </w:r>
      <w:r w:rsidRPr="00AC6F15">
        <w:rPr>
          <w:bCs/>
          <w:vertAlign w:val="subscript"/>
        </w:rPr>
        <w:t>x</w:t>
      </w:r>
      <w:proofErr w:type="spellEnd"/>
    </w:p>
    <w:p w:rsidR="00AC6F15" w:rsidRPr="00AC6F15" w:rsidRDefault="00AC6F15" w:rsidP="00AC6F15">
      <w:pPr>
        <w:numPr>
          <w:ilvl w:val="0"/>
          <w:numId w:val="5"/>
        </w:numPr>
        <w:rPr>
          <w:bCs/>
        </w:rPr>
      </w:pPr>
      <w:r w:rsidRPr="00AC6F15">
        <w:rPr>
          <w:bCs/>
        </w:rPr>
        <w:t>CO</w:t>
      </w:r>
    </w:p>
    <w:p w:rsidR="00AC6F15" w:rsidRPr="00AC6F15" w:rsidRDefault="00AC6F15" w:rsidP="00AC6F15">
      <w:pPr>
        <w:numPr>
          <w:ilvl w:val="0"/>
          <w:numId w:val="5"/>
        </w:numPr>
        <w:rPr>
          <w:bCs/>
        </w:rPr>
      </w:pPr>
      <w:r w:rsidRPr="00AC6F15">
        <w:rPr>
          <w:bCs/>
        </w:rPr>
        <w:t>SO</w:t>
      </w:r>
      <w:r w:rsidRPr="00AC6F15">
        <w:rPr>
          <w:bCs/>
          <w:vertAlign w:val="subscript"/>
        </w:rPr>
        <w:t>2</w:t>
      </w:r>
    </w:p>
    <w:p w:rsidR="00AC6F15" w:rsidRPr="00AC6F15" w:rsidRDefault="00AC6F15" w:rsidP="00AC6F15">
      <w:pPr>
        <w:numPr>
          <w:ilvl w:val="0"/>
          <w:numId w:val="5"/>
        </w:numPr>
        <w:rPr>
          <w:bCs/>
        </w:rPr>
      </w:pPr>
      <w:r w:rsidRPr="00AC6F15">
        <w:rPr>
          <w:bCs/>
        </w:rPr>
        <w:t>NH</w:t>
      </w:r>
      <w:r w:rsidRPr="00AC6F15">
        <w:rPr>
          <w:bCs/>
          <w:vertAlign w:val="subscript"/>
        </w:rPr>
        <w:t>3</w:t>
      </w:r>
    </w:p>
    <w:p w:rsidR="00AC6F15" w:rsidRPr="00AC6F15" w:rsidRDefault="00AC6F15" w:rsidP="00AC6F15">
      <w:pPr>
        <w:numPr>
          <w:ilvl w:val="0"/>
          <w:numId w:val="5"/>
        </w:numPr>
        <w:rPr>
          <w:bCs/>
        </w:rPr>
      </w:pPr>
      <w:proofErr w:type="spellStart"/>
      <w:r w:rsidRPr="00AC6F15">
        <w:rPr>
          <w:bCs/>
        </w:rPr>
        <w:t>HCl</w:t>
      </w:r>
      <w:proofErr w:type="spellEnd"/>
      <w:r w:rsidRPr="00AC6F15">
        <w:rPr>
          <w:bCs/>
        </w:rPr>
        <w:t xml:space="preserve"> og</w:t>
      </w:r>
    </w:p>
    <w:p w:rsidR="00AC6F15" w:rsidRPr="00AC6F15" w:rsidRDefault="00AC6F15" w:rsidP="00AC6F15">
      <w:pPr>
        <w:numPr>
          <w:ilvl w:val="0"/>
          <w:numId w:val="5"/>
        </w:numPr>
        <w:rPr>
          <w:bCs/>
        </w:rPr>
      </w:pPr>
      <w:r w:rsidRPr="00AC6F15">
        <w:rPr>
          <w:bCs/>
        </w:rPr>
        <w:t>støv</w:t>
      </w:r>
    </w:p>
    <w:p w:rsidR="00AC6F15" w:rsidRPr="00AC6F15" w:rsidRDefault="00AC6F15" w:rsidP="00AC6F15">
      <w:pPr>
        <w:rPr>
          <w:bCs/>
        </w:rPr>
      </w:pPr>
    </w:p>
    <w:p w:rsidR="00AC6F15" w:rsidRPr="00AC6F15" w:rsidRDefault="00AC6F15" w:rsidP="00AC6F15">
      <w:pPr>
        <w:rPr>
          <w:bCs/>
        </w:rPr>
      </w:pPr>
      <w:r w:rsidRPr="00AC6F15">
        <w:rPr>
          <w:bCs/>
        </w:rPr>
        <w:t>I vilkår 11 og bilag 3 punkt 8 er det fastsat, at værket skal måle koncentrationen af ilt, temperatur, tryk og vandindhold kontinuert som sekundære parametre. Form</w:t>
      </w:r>
      <w:r w:rsidRPr="00AC6F15">
        <w:rPr>
          <w:bCs/>
        </w:rPr>
        <w:t>å</w:t>
      </w:r>
      <w:r w:rsidRPr="00AC6F15">
        <w:rPr>
          <w:bCs/>
        </w:rPr>
        <w:t xml:space="preserve">let er at kunne regne de primære parametre om til referencetilstanden, der er </w:t>
      </w:r>
      <w:proofErr w:type="gramStart"/>
      <w:r w:rsidRPr="00AC6F15">
        <w:rPr>
          <w:bCs/>
        </w:rPr>
        <w:t>6%</w:t>
      </w:r>
      <w:proofErr w:type="gramEnd"/>
      <w:r w:rsidRPr="00AC6F15">
        <w:rPr>
          <w:bCs/>
        </w:rPr>
        <w:t xml:space="preserve"> ilt, tør gas, 0</w:t>
      </w:r>
      <w:r w:rsidRPr="00AC6F15">
        <w:rPr>
          <w:bCs/>
          <w:vertAlign w:val="superscript"/>
        </w:rPr>
        <w:t>o</w:t>
      </w:r>
      <w:r w:rsidRPr="00AC6F15">
        <w:rPr>
          <w:bCs/>
        </w:rPr>
        <w:t xml:space="preserve">C og 1 atm. Bilaget skriver dog, at måling af vandindholdet ikke er nødvendig hvis prøven tørres inden gassen analyseres. Kommunen tilføjer derfor dette i et nyt vilkår 11a. Da bekendtgørelsen kræver måling af temperatur og tryk, kan jeg desværre ikke dispensere fra dette. Jeg forventer dog, at I får brug for at måle disse tre parametre uanset, da støv som regel skal måles in </w:t>
      </w:r>
      <w:proofErr w:type="spellStart"/>
      <w:r w:rsidRPr="00AC6F15">
        <w:rPr>
          <w:bCs/>
        </w:rPr>
        <w:t>situ</w:t>
      </w:r>
      <w:proofErr w:type="spellEnd"/>
      <w:r w:rsidRPr="00AC6F15">
        <w:rPr>
          <w:bCs/>
        </w:rPr>
        <w:t xml:space="preserve">. </w:t>
      </w:r>
    </w:p>
    <w:p w:rsidR="00AC6F15" w:rsidRPr="00AC6F15" w:rsidRDefault="00AC6F15" w:rsidP="00AC6F15">
      <w:pPr>
        <w:rPr>
          <w:bCs/>
          <w:u w:val="single"/>
        </w:rPr>
      </w:pPr>
    </w:p>
    <w:p w:rsidR="00AC6F15" w:rsidRPr="00AC6F15" w:rsidRDefault="00AC6F15" w:rsidP="00AC6F15">
      <w:pPr>
        <w:rPr>
          <w:bCs/>
          <w:u w:val="single"/>
        </w:rPr>
      </w:pPr>
      <w:r w:rsidRPr="00AC6F15">
        <w:rPr>
          <w:bCs/>
          <w:u w:val="single"/>
        </w:rPr>
        <w:t>Usikkerhed på målingerne</w:t>
      </w:r>
    </w:p>
    <w:p w:rsidR="00AC6F15" w:rsidRPr="00AC6F15" w:rsidRDefault="00AC6F15" w:rsidP="00AC6F15">
      <w:pPr>
        <w:rPr>
          <w:bCs/>
        </w:rPr>
      </w:pPr>
      <w:r w:rsidRPr="00AC6F15">
        <w:rPr>
          <w:bCs/>
        </w:rPr>
        <w:t>For at sikre, at måleresultaterne er gode nok, er der fastsat krav til den samlede usikkerhed, målingerne højst må have. Det er:</w:t>
      </w:r>
    </w:p>
    <w:p w:rsidR="00AC6F15" w:rsidRPr="00AC6F15" w:rsidRDefault="00AC6F15" w:rsidP="00AC6F15">
      <w:pPr>
        <w:numPr>
          <w:ilvl w:val="0"/>
          <w:numId w:val="5"/>
        </w:numPr>
        <w:rPr>
          <w:bCs/>
          <w:lang w:bidi="da-DK"/>
        </w:rPr>
      </w:pPr>
      <w:proofErr w:type="spellStart"/>
      <w:r w:rsidRPr="00AC6F15">
        <w:rPr>
          <w:bCs/>
          <w:lang w:bidi="da-DK"/>
        </w:rPr>
        <w:t>NO</w:t>
      </w:r>
      <w:r w:rsidRPr="00AC6F15">
        <w:rPr>
          <w:bCs/>
          <w:vertAlign w:val="subscript"/>
          <w:lang w:bidi="da-DK"/>
        </w:rPr>
        <w:t>x</w:t>
      </w:r>
      <w:proofErr w:type="spellEnd"/>
      <w:r w:rsidRPr="00AC6F15">
        <w:rPr>
          <w:bCs/>
          <w:lang w:bidi="da-DK"/>
        </w:rPr>
        <w:t xml:space="preserve">: </w:t>
      </w:r>
      <w:r w:rsidRPr="00AC6F15">
        <w:rPr>
          <w:bCs/>
          <w:lang w:bidi="da-DK"/>
        </w:rPr>
        <w:tab/>
        <w:t>30 mg/m</w:t>
      </w:r>
      <w:r w:rsidRPr="00AC6F15">
        <w:rPr>
          <w:bCs/>
          <w:vertAlign w:val="superscript"/>
          <w:lang w:bidi="da-DK"/>
        </w:rPr>
        <w:t>3</w:t>
      </w:r>
      <w:r w:rsidRPr="00AC6F15">
        <w:rPr>
          <w:bCs/>
          <w:lang w:bidi="da-DK"/>
        </w:rPr>
        <w:t>(ref.), fastsat af bekendtgørelsen</w:t>
      </w:r>
    </w:p>
    <w:p w:rsidR="00AC6F15" w:rsidRPr="00AC6F15" w:rsidRDefault="00AC6F15" w:rsidP="00AC6F15">
      <w:pPr>
        <w:numPr>
          <w:ilvl w:val="0"/>
          <w:numId w:val="5"/>
        </w:numPr>
        <w:rPr>
          <w:bCs/>
          <w:lang w:bidi="da-DK"/>
        </w:rPr>
      </w:pPr>
      <w:r w:rsidRPr="00AC6F15">
        <w:rPr>
          <w:bCs/>
          <w:lang w:bidi="da-DK"/>
        </w:rPr>
        <w:t>CO:</w:t>
      </w:r>
      <w:r w:rsidRPr="00AC6F15">
        <w:rPr>
          <w:bCs/>
          <w:lang w:bidi="da-DK"/>
        </w:rPr>
        <w:tab/>
        <w:t>5 mg/m</w:t>
      </w:r>
      <w:r w:rsidRPr="00AC6F15">
        <w:rPr>
          <w:bCs/>
          <w:vertAlign w:val="superscript"/>
          <w:lang w:bidi="da-DK"/>
        </w:rPr>
        <w:t>3</w:t>
      </w:r>
      <w:r w:rsidRPr="00AC6F15">
        <w:rPr>
          <w:bCs/>
          <w:lang w:bidi="da-DK"/>
        </w:rPr>
        <w:t>(ref.), fastsat af bekendtgørelsen</w:t>
      </w:r>
    </w:p>
    <w:p w:rsidR="00AC6F15" w:rsidRPr="00AC6F15" w:rsidRDefault="00AC6F15" w:rsidP="00AC6F15">
      <w:pPr>
        <w:numPr>
          <w:ilvl w:val="0"/>
          <w:numId w:val="5"/>
        </w:numPr>
        <w:rPr>
          <w:bCs/>
          <w:lang w:bidi="da-DK"/>
        </w:rPr>
      </w:pPr>
      <w:r w:rsidRPr="00AC6F15">
        <w:rPr>
          <w:bCs/>
          <w:lang w:bidi="da-DK"/>
        </w:rPr>
        <w:t>SO</w:t>
      </w:r>
      <w:r w:rsidRPr="00AC6F15">
        <w:rPr>
          <w:bCs/>
          <w:vertAlign w:val="subscript"/>
          <w:lang w:bidi="da-DK"/>
        </w:rPr>
        <w:t>2</w:t>
      </w:r>
      <w:r w:rsidRPr="00AC6F15">
        <w:rPr>
          <w:bCs/>
          <w:lang w:bidi="da-DK"/>
        </w:rPr>
        <w:t>:</w:t>
      </w:r>
      <w:r w:rsidRPr="00AC6F15">
        <w:rPr>
          <w:bCs/>
          <w:lang w:bidi="da-DK"/>
        </w:rPr>
        <w:tab/>
        <w:t>5 mg/m</w:t>
      </w:r>
      <w:r w:rsidRPr="00AC6F15">
        <w:rPr>
          <w:bCs/>
          <w:vertAlign w:val="superscript"/>
          <w:lang w:bidi="da-DK"/>
        </w:rPr>
        <w:t>3</w:t>
      </w:r>
      <w:r w:rsidRPr="00AC6F15">
        <w:rPr>
          <w:bCs/>
          <w:lang w:bidi="da-DK"/>
        </w:rPr>
        <w:t>(ref.), fastsat af bekendtgørelsen</w:t>
      </w:r>
    </w:p>
    <w:p w:rsidR="00AC6F15" w:rsidRPr="00AC6F15" w:rsidRDefault="00AC6F15" w:rsidP="00AC6F15">
      <w:pPr>
        <w:numPr>
          <w:ilvl w:val="0"/>
          <w:numId w:val="5"/>
        </w:numPr>
        <w:rPr>
          <w:bCs/>
          <w:lang w:bidi="da-DK"/>
        </w:rPr>
      </w:pPr>
      <w:r w:rsidRPr="00AC6F15">
        <w:rPr>
          <w:bCs/>
          <w:lang w:bidi="da-DK"/>
        </w:rPr>
        <w:t>NH</w:t>
      </w:r>
      <w:r w:rsidRPr="00AC6F15">
        <w:rPr>
          <w:bCs/>
          <w:vertAlign w:val="subscript"/>
          <w:lang w:bidi="da-DK"/>
        </w:rPr>
        <w:t>3</w:t>
      </w:r>
      <w:r w:rsidRPr="00AC6F15">
        <w:rPr>
          <w:bCs/>
          <w:lang w:bidi="da-DK"/>
        </w:rPr>
        <w:t>:</w:t>
      </w:r>
      <w:r w:rsidRPr="00AC6F15">
        <w:rPr>
          <w:bCs/>
          <w:lang w:bidi="da-DK"/>
        </w:rPr>
        <w:tab/>
        <w:t>40 % af 10 mg/m</w:t>
      </w:r>
      <w:r w:rsidRPr="00AC6F15">
        <w:rPr>
          <w:bCs/>
          <w:vertAlign w:val="superscript"/>
          <w:lang w:bidi="da-DK"/>
        </w:rPr>
        <w:t>3</w:t>
      </w:r>
      <w:r w:rsidRPr="00AC6F15">
        <w:rPr>
          <w:bCs/>
          <w:lang w:bidi="da-DK"/>
        </w:rPr>
        <w:t>(ref.) eller 4 mg/m</w:t>
      </w:r>
      <w:r w:rsidRPr="00AC6F15">
        <w:rPr>
          <w:bCs/>
          <w:vertAlign w:val="superscript"/>
          <w:lang w:bidi="da-DK"/>
        </w:rPr>
        <w:t>3</w:t>
      </w:r>
      <w:r w:rsidRPr="00AC6F15">
        <w:rPr>
          <w:bCs/>
          <w:lang w:bidi="da-DK"/>
        </w:rPr>
        <w:t>(ref.). Gælder for affaldsfo</w:t>
      </w:r>
      <w:r w:rsidRPr="00AC6F15">
        <w:rPr>
          <w:bCs/>
          <w:lang w:bidi="da-DK"/>
        </w:rPr>
        <w:t>r</w:t>
      </w:r>
      <w:r w:rsidRPr="00AC6F15">
        <w:rPr>
          <w:bCs/>
          <w:lang w:bidi="da-DK"/>
        </w:rPr>
        <w:t>brændingsanlæg</w:t>
      </w:r>
      <w:r w:rsidRPr="00AC6F15">
        <w:rPr>
          <w:bCs/>
          <w:vertAlign w:val="superscript"/>
          <w:lang w:bidi="da-DK"/>
        </w:rPr>
        <w:footnoteReference w:id="3"/>
      </w:r>
      <w:r w:rsidRPr="00AC6F15">
        <w:rPr>
          <w:bCs/>
          <w:lang w:bidi="da-DK"/>
        </w:rPr>
        <w:t>.</w:t>
      </w:r>
    </w:p>
    <w:p w:rsidR="00AC6F15" w:rsidRPr="00AC6F15" w:rsidRDefault="00AC6F15" w:rsidP="00AC6F15">
      <w:pPr>
        <w:numPr>
          <w:ilvl w:val="0"/>
          <w:numId w:val="5"/>
        </w:numPr>
        <w:rPr>
          <w:bCs/>
          <w:lang w:bidi="da-DK"/>
        </w:rPr>
      </w:pPr>
      <w:proofErr w:type="spellStart"/>
      <w:r w:rsidRPr="00AC6F15">
        <w:rPr>
          <w:bCs/>
          <w:lang w:bidi="da-DK"/>
        </w:rPr>
        <w:t>HCl</w:t>
      </w:r>
      <w:proofErr w:type="spellEnd"/>
      <w:r w:rsidRPr="00AC6F15">
        <w:rPr>
          <w:bCs/>
          <w:lang w:bidi="da-DK"/>
        </w:rPr>
        <w:t>:</w:t>
      </w:r>
      <w:r w:rsidRPr="00AC6F15">
        <w:rPr>
          <w:bCs/>
          <w:lang w:bidi="da-DK"/>
        </w:rPr>
        <w:tab/>
      </w:r>
      <w:proofErr w:type="gramStart"/>
      <w:r w:rsidRPr="00AC6F15">
        <w:rPr>
          <w:bCs/>
          <w:lang w:bidi="da-DK"/>
        </w:rPr>
        <w:t>40%</w:t>
      </w:r>
      <w:proofErr w:type="gramEnd"/>
      <w:r w:rsidRPr="00AC6F15">
        <w:rPr>
          <w:bCs/>
          <w:lang w:bidi="da-DK"/>
        </w:rPr>
        <w:t xml:space="preserve"> af grænsen eller 2 mg/m</w:t>
      </w:r>
      <w:r w:rsidRPr="00AC6F15">
        <w:rPr>
          <w:bCs/>
          <w:vertAlign w:val="superscript"/>
          <w:lang w:bidi="da-DK"/>
        </w:rPr>
        <w:t>3</w:t>
      </w:r>
      <w:r w:rsidRPr="00AC6F15">
        <w:rPr>
          <w:bCs/>
          <w:lang w:bidi="da-DK"/>
        </w:rPr>
        <w:t>(ref.), anbefalet af miljøstyrelsens MEL24</w:t>
      </w:r>
    </w:p>
    <w:p w:rsidR="00AC6F15" w:rsidRPr="00AC6F15" w:rsidRDefault="00AC6F15" w:rsidP="00AC6F15">
      <w:pPr>
        <w:numPr>
          <w:ilvl w:val="0"/>
          <w:numId w:val="5"/>
        </w:numPr>
        <w:rPr>
          <w:bCs/>
          <w:lang w:bidi="da-DK"/>
        </w:rPr>
      </w:pPr>
      <w:r w:rsidRPr="00AC6F15">
        <w:rPr>
          <w:bCs/>
          <w:lang w:bidi="da-DK"/>
        </w:rPr>
        <w:t>Støv:</w:t>
      </w:r>
      <w:r w:rsidRPr="00AC6F15">
        <w:rPr>
          <w:bCs/>
          <w:lang w:bidi="da-DK"/>
        </w:rPr>
        <w:tab/>
      </w:r>
      <w:proofErr w:type="gramStart"/>
      <w:r w:rsidRPr="00AC6F15">
        <w:rPr>
          <w:bCs/>
          <w:lang w:bidi="da-DK"/>
        </w:rPr>
        <w:t>30%</w:t>
      </w:r>
      <w:proofErr w:type="gramEnd"/>
      <w:r w:rsidRPr="00AC6F15">
        <w:rPr>
          <w:bCs/>
          <w:lang w:bidi="da-DK"/>
        </w:rPr>
        <w:t xml:space="preserve"> af 20 mg/m</w:t>
      </w:r>
      <w:r w:rsidRPr="00AC6F15">
        <w:rPr>
          <w:bCs/>
          <w:vertAlign w:val="superscript"/>
          <w:lang w:bidi="da-DK"/>
        </w:rPr>
        <w:t>3</w:t>
      </w:r>
      <w:r w:rsidRPr="00AC6F15">
        <w:rPr>
          <w:bCs/>
          <w:lang w:bidi="da-DK"/>
        </w:rPr>
        <w:t>(ref.) eller 6 mg/m</w:t>
      </w:r>
      <w:r w:rsidRPr="00AC6F15">
        <w:rPr>
          <w:bCs/>
          <w:vertAlign w:val="superscript"/>
          <w:lang w:bidi="da-DK"/>
        </w:rPr>
        <w:t>3</w:t>
      </w:r>
      <w:r w:rsidRPr="00AC6F15">
        <w:rPr>
          <w:bCs/>
          <w:lang w:bidi="da-DK"/>
        </w:rPr>
        <w:t>(ref.), fastsat af bekendtgøre</w:t>
      </w:r>
      <w:r w:rsidRPr="00AC6F15">
        <w:rPr>
          <w:bCs/>
          <w:lang w:bidi="da-DK"/>
        </w:rPr>
        <w:t>l</w:t>
      </w:r>
      <w:r w:rsidRPr="00AC6F15">
        <w:rPr>
          <w:bCs/>
          <w:lang w:bidi="da-DK"/>
        </w:rPr>
        <w:t>sen.</w:t>
      </w:r>
    </w:p>
    <w:p w:rsidR="00AC6F15" w:rsidRPr="00AC6F15" w:rsidRDefault="00AC6F15" w:rsidP="00AC6F15">
      <w:pPr>
        <w:rPr>
          <w:bCs/>
          <w:lang w:bidi="da-DK"/>
        </w:rPr>
      </w:pPr>
      <w:r w:rsidRPr="00AC6F15">
        <w:rPr>
          <w:bCs/>
          <w:lang w:bidi="da-DK"/>
        </w:rPr>
        <w:t>Bemærk, at vi ved mødet nævnte, at emissionsgrænsen for støv i bekendtgørelsen er 30 mg/Nm</w:t>
      </w:r>
      <w:r w:rsidRPr="00AC6F15">
        <w:rPr>
          <w:bCs/>
          <w:vertAlign w:val="superscript"/>
          <w:lang w:bidi="da-DK"/>
        </w:rPr>
        <w:t>3</w:t>
      </w:r>
      <w:r w:rsidRPr="00AC6F15">
        <w:rPr>
          <w:bCs/>
          <w:lang w:bidi="da-DK"/>
        </w:rPr>
        <w:t xml:space="preserve"> – det er den dog ikke. Grænsen for nye anlæg er 20 mg/Nm</w:t>
      </w:r>
      <w:r w:rsidRPr="00AC6F15">
        <w:rPr>
          <w:bCs/>
          <w:vertAlign w:val="superscript"/>
          <w:lang w:bidi="da-DK"/>
        </w:rPr>
        <w:t>3</w:t>
      </w:r>
      <w:r w:rsidRPr="00AC6F15">
        <w:rPr>
          <w:bCs/>
          <w:lang w:bidi="da-DK"/>
        </w:rPr>
        <w:t xml:space="preserve">. Jeg foreslår derfor, at vi sætter kravet til usikkerheden til </w:t>
      </w:r>
      <w:proofErr w:type="gramStart"/>
      <w:r w:rsidRPr="00AC6F15">
        <w:rPr>
          <w:bCs/>
          <w:lang w:bidi="da-DK"/>
        </w:rPr>
        <w:t>30%</w:t>
      </w:r>
      <w:proofErr w:type="gramEnd"/>
      <w:r w:rsidRPr="00AC6F15">
        <w:rPr>
          <w:bCs/>
          <w:lang w:bidi="da-DK"/>
        </w:rPr>
        <w:t xml:space="preserve"> af 20 mg/m</w:t>
      </w:r>
      <w:r w:rsidRPr="00AC6F15">
        <w:rPr>
          <w:bCs/>
          <w:vertAlign w:val="superscript"/>
          <w:lang w:bidi="da-DK"/>
        </w:rPr>
        <w:t>3</w:t>
      </w:r>
      <w:r w:rsidRPr="00AC6F15">
        <w:rPr>
          <w:bCs/>
          <w:lang w:bidi="da-DK"/>
        </w:rPr>
        <w:t>(ref.) eller 6 mg/m</w:t>
      </w:r>
      <w:r w:rsidRPr="00AC6F15">
        <w:rPr>
          <w:bCs/>
          <w:vertAlign w:val="superscript"/>
          <w:lang w:bidi="da-DK"/>
        </w:rPr>
        <w:t>3</w:t>
      </w:r>
      <w:r w:rsidRPr="00AC6F15">
        <w:rPr>
          <w:bCs/>
          <w:lang w:bidi="da-DK"/>
        </w:rPr>
        <w:t>(ref.).</w:t>
      </w:r>
    </w:p>
    <w:p w:rsidR="00AC6F15" w:rsidRPr="00AC6F15" w:rsidRDefault="00AC6F15" w:rsidP="00AC6F15">
      <w:pPr>
        <w:rPr>
          <w:bCs/>
          <w:lang w:bidi="da-DK"/>
        </w:rPr>
      </w:pPr>
    </w:p>
    <w:p w:rsidR="00AC6F15" w:rsidRPr="00AC6F15" w:rsidRDefault="00AC6F15" w:rsidP="00AC6F15">
      <w:pPr>
        <w:rPr>
          <w:bCs/>
          <w:lang w:bidi="da-DK"/>
        </w:rPr>
      </w:pPr>
      <w:r w:rsidRPr="00AC6F15">
        <w:rPr>
          <w:bCs/>
          <w:lang w:bidi="da-DK"/>
        </w:rPr>
        <w:t>Denne usikkerhed består af tre dele: Instrumentets usikkerhed, usikkerhed fra målestedet og usikkerhed fra de perifere parametre (temperatur, ilt, mm.)</w:t>
      </w:r>
    </w:p>
    <w:p w:rsidR="00AC6F15" w:rsidRPr="00AC6F15" w:rsidRDefault="00AC6F15" w:rsidP="00AC6F15">
      <w:pPr>
        <w:rPr>
          <w:bCs/>
          <w:lang w:bidi="da-DK"/>
        </w:rPr>
      </w:pPr>
    </w:p>
    <w:p w:rsidR="00AC6F15" w:rsidRPr="00AC6F15" w:rsidRDefault="00AC6F15" w:rsidP="00AC6F15">
      <w:pPr>
        <w:rPr>
          <w:bCs/>
          <w:lang w:bidi="da-DK"/>
        </w:rPr>
      </w:pPr>
      <w:r w:rsidRPr="00AC6F15">
        <w:rPr>
          <w:bCs/>
          <w:u w:val="single"/>
          <w:lang w:bidi="da-DK"/>
        </w:rPr>
        <w:t>Hvornår er grænserne overholdt?</w:t>
      </w:r>
    </w:p>
    <w:p w:rsidR="00AC6F15" w:rsidRPr="00AC6F15" w:rsidRDefault="00AC6F15" w:rsidP="00AC6F15">
      <w:pPr>
        <w:rPr>
          <w:bCs/>
          <w:lang w:bidi="da-DK"/>
        </w:rPr>
      </w:pPr>
      <w:r w:rsidRPr="00AC6F15">
        <w:rPr>
          <w:bCs/>
          <w:lang w:bidi="da-DK"/>
        </w:rPr>
        <w:t>Når hvert år er gået, og der er samlet timemiddelværdier for alle årets timer, skal det afgøres om grænserne er overholdt. MEL 16 kapitel 4 beskriver hvordan væ</w:t>
      </w:r>
      <w:r w:rsidRPr="00AC6F15">
        <w:rPr>
          <w:bCs/>
          <w:lang w:bidi="da-DK"/>
        </w:rPr>
        <w:t>r</w:t>
      </w:r>
      <w:r w:rsidRPr="00AC6F15">
        <w:rPr>
          <w:bCs/>
          <w:lang w:bidi="da-DK"/>
        </w:rPr>
        <w:t>ket skal samle, behandle og rapportere data til kommunen. Data, der har været behandlet på denne måde er valideret.</w:t>
      </w:r>
    </w:p>
    <w:p w:rsidR="00AC6F15" w:rsidRPr="00AC6F15" w:rsidRDefault="00AC6F15" w:rsidP="00AC6F15">
      <w:pPr>
        <w:rPr>
          <w:bCs/>
          <w:lang w:bidi="da-DK"/>
        </w:rPr>
      </w:pPr>
      <w:r w:rsidRPr="00AC6F15">
        <w:rPr>
          <w:bCs/>
          <w:lang w:bidi="da-DK"/>
        </w:rPr>
        <w:t xml:space="preserve">Grænserne er overholdt, når </w:t>
      </w:r>
    </w:p>
    <w:p w:rsidR="00AC6F15" w:rsidRPr="00AC6F15" w:rsidRDefault="00AC6F15" w:rsidP="0062209E">
      <w:pPr>
        <w:numPr>
          <w:ilvl w:val="0"/>
          <w:numId w:val="2"/>
        </w:numPr>
        <w:ind w:left="567" w:hanging="425"/>
        <w:rPr>
          <w:bCs/>
          <w:lang w:bidi="da-DK"/>
        </w:rPr>
      </w:pPr>
      <w:r w:rsidRPr="00AC6F15">
        <w:rPr>
          <w:bCs/>
          <w:lang w:bidi="da-DK"/>
        </w:rPr>
        <w:t>Alle validerede månedsmiddelværdier overholder deres respektive grænser.</w:t>
      </w:r>
    </w:p>
    <w:p w:rsidR="00AC6F15" w:rsidRPr="00AC6F15" w:rsidRDefault="00AC6F15" w:rsidP="0062209E">
      <w:pPr>
        <w:numPr>
          <w:ilvl w:val="0"/>
          <w:numId w:val="2"/>
        </w:numPr>
        <w:ind w:left="567" w:hanging="425"/>
        <w:rPr>
          <w:bCs/>
          <w:lang w:bidi="da-DK"/>
        </w:rPr>
      </w:pPr>
      <w:r w:rsidRPr="00AC6F15">
        <w:rPr>
          <w:bCs/>
          <w:lang w:bidi="da-DK"/>
        </w:rPr>
        <w:t>Alle validerede døgnmiddelværdier overholder 110 % af de relevante emi</w:t>
      </w:r>
      <w:r w:rsidRPr="00AC6F15">
        <w:rPr>
          <w:bCs/>
          <w:lang w:bidi="da-DK"/>
        </w:rPr>
        <w:t>s</w:t>
      </w:r>
      <w:r w:rsidRPr="00AC6F15">
        <w:rPr>
          <w:bCs/>
          <w:lang w:bidi="da-DK"/>
        </w:rPr>
        <w:t>sionsgrænser.</w:t>
      </w:r>
    </w:p>
    <w:p w:rsidR="00AC6F15" w:rsidRPr="00AC6F15" w:rsidRDefault="00AC6F15" w:rsidP="0062209E">
      <w:pPr>
        <w:numPr>
          <w:ilvl w:val="0"/>
          <w:numId w:val="2"/>
        </w:numPr>
        <w:ind w:left="567" w:hanging="425"/>
        <w:rPr>
          <w:bCs/>
          <w:lang w:bidi="da-DK"/>
        </w:rPr>
      </w:pPr>
      <w:r w:rsidRPr="00AC6F15">
        <w:rPr>
          <w:bCs/>
          <w:lang w:bidi="da-DK"/>
        </w:rPr>
        <w:t>Tæl hvor mange validerede timemiddelværdier, der overskrider deres græ</w:t>
      </w:r>
      <w:r w:rsidRPr="00AC6F15">
        <w:rPr>
          <w:bCs/>
          <w:lang w:bidi="da-DK"/>
        </w:rPr>
        <w:t>n</w:t>
      </w:r>
      <w:r w:rsidRPr="00AC6F15">
        <w:rPr>
          <w:bCs/>
          <w:lang w:bidi="da-DK"/>
        </w:rPr>
        <w:t xml:space="preserve">se x to. </w:t>
      </w:r>
      <w:proofErr w:type="gramStart"/>
      <w:r w:rsidRPr="00AC6F15">
        <w:rPr>
          <w:bCs/>
          <w:lang w:bidi="da-DK"/>
        </w:rPr>
        <w:t>95%</w:t>
      </w:r>
      <w:proofErr w:type="gramEnd"/>
      <w:r w:rsidRPr="00AC6F15">
        <w:rPr>
          <w:bCs/>
          <w:lang w:bidi="da-DK"/>
        </w:rPr>
        <w:t xml:space="preserve"> af alle de validerede timegennemsnitsværdier i årets løb ove</w:t>
      </w:r>
      <w:r w:rsidRPr="00AC6F15">
        <w:rPr>
          <w:bCs/>
          <w:lang w:bidi="da-DK"/>
        </w:rPr>
        <w:t>r</w:t>
      </w:r>
      <w:r w:rsidRPr="00AC6F15">
        <w:rPr>
          <w:bCs/>
          <w:lang w:bidi="da-DK"/>
        </w:rPr>
        <w:t>holder 200 % af de relevante emissionsgrænser.</w:t>
      </w:r>
    </w:p>
    <w:p w:rsidR="00AC6F15" w:rsidRPr="00AC6F15" w:rsidRDefault="00AC6F15" w:rsidP="00AC6F15">
      <w:pPr>
        <w:rPr>
          <w:bCs/>
          <w:lang w:bidi="da-DK"/>
        </w:rPr>
      </w:pPr>
    </w:p>
    <w:p w:rsidR="00AC6F15" w:rsidRPr="00AC6F15" w:rsidRDefault="00AC6F15" w:rsidP="00AC6F15">
      <w:pPr>
        <w:rPr>
          <w:bCs/>
          <w:lang w:bidi="da-DK"/>
        </w:rPr>
      </w:pPr>
      <w:r w:rsidRPr="00AC6F15">
        <w:rPr>
          <w:bCs/>
          <w:lang w:bidi="da-DK"/>
        </w:rPr>
        <w:t>Krav til målingerne er desuden at hvis der er mere end ti døgn på et år, hvor mere end tre timemiddelværdier skal fjernes pga. fejl ved måleudstyret, skal værket gøre noget for at forbedre målesystemet.</w:t>
      </w:r>
    </w:p>
    <w:p w:rsidR="00AC6F15" w:rsidRPr="00AC6F15" w:rsidRDefault="00AC6F15" w:rsidP="00AC6F15">
      <w:pPr>
        <w:rPr>
          <w:bCs/>
          <w:lang w:bidi="da-DK"/>
        </w:rPr>
      </w:pPr>
    </w:p>
    <w:p w:rsidR="00AC6F15" w:rsidRPr="00AC6F15" w:rsidRDefault="00AC6F15" w:rsidP="00AC6F15">
      <w:pPr>
        <w:rPr>
          <w:bCs/>
          <w:u w:val="single"/>
          <w:lang w:bidi="da-DK"/>
        </w:rPr>
      </w:pPr>
      <w:r w:rsidRPr="00AC6F15">
        <w:rPr>
          <w:bCs/>
          <w:u w:val="single"/>
          <w:lang w:bidi="da-DK"/>
        </w:rPr>
        <w:t>Kvalitetshåndbog</w:t>
      </w:r>
    </w:p>
    <w:p w:rsidR="00AC6F15" w:rsidRPr="00AC6F15" w:rsidRDefault="00AC6F15" w:rsidP="00AC6F15">
      <w:pPr>
        <w:rPr>
          <w:bCs/>
          <w:lang w:bidi="da-DK"/>
        </w:rPr>
      </w:pPr>
      <w:r w:rsidRPr="00AC6F15">
        <w:rPr>
          <w:bCs/>
          <w:lang w:bidi="da-DK"/>
        </w:rPr>
        <w:t xml:space="preserve">MEL 16 anbefaler, at værket fører en kvalitetshåndbog, hvor alle nødvendige data, procedurer, mm. </w:t>
      </w:r>
      <w:proofErr w:type="gramStart"/>
      <w:r w:rsidRPr="00AC6F15">
        <w:rPr>
          <w:bCs/>
          <w:lang w:bidi="da-DK"/>
        </w:rPr>
        <w:t>om alle måleapparater er samlet.</w:t>
      </w:r>
      <w:proofErr w:type="gramEnd"/>
    </w:p>
    <w:p w:rsidR="00AC6F15" w:rsidRPr="00AC6F15" w:rsidRDefault="00AC6F15" w:rsidP="00AC6F15">
      <w:pPr>
        <w:rPr>
          <w:bCs/>
          <w:u w:val="single"/>
        </w:rPr>
      </w:pPr>
    </w:p>
    <w:p w:rsidR="00AC6F15" w:rsidRPr="0062209E" w:rsidRDefault="00AC6F15" w:rsidP="00AC6F15">
      <w:pPr>
        <w:rPr>
          <w:bCs/>
          <w:u w:val="single"/>
        </w:rPr>
      </w:pPr>
      <w:r w:rsidRPr="0062209E">
        <w:rPr>
          <w:bCs/>
          <w:u w:val="single"/>
        </w:rPr>
        <w:t>Kommunens vurdering af egenkontrol af emissioner til luft</w:t>
      </w:r>
    </w:p>
    <w:p w:rsidR="00AC6F15" w:rsidRPr="00AC6F15" w:rsidRDefault="00AC6F15" w:rsidP="00AC6F15">
      <w:pPr>
        <w:rPr>
          <w:bCs/>
        </w:rPr>
      </w:pPr>
      <w:r w:rsidRPr="00AC6F15">
        <w:rPr>
          <w:bCs/>
        </w:rPr>
        <w:t>Kommunen har ikke i den gældende miljøgodkendelse fastsat krav til usikkerheden på målingerne. Vi vurderer derfor, at vi bør fastsætte de nævnte krav i et nyt vi</w:t>
      </w:r>
      <w:r w:rsidRPr="00AC6F15">
        <w:rPr>
          <w:bCs/>
        </w:rPr>
        <w:t>l</w:t>
      </w:r>
      <w:r w:rsidRPr="00AC6F15">
        <w:rPr>
          <w:bCs/>
        </w:rPr>
        <w:t>kår.</w:t>
      </w:r>
    </w:p>
    <w:p w:rsidR="00AC6F15" w:rsidRPr="00AC6F15" w:rsidRDefault="00AC6F15" w:rsidP="00AC6F15">
      <w:pPr>
        <w:rPr>
          <w:bCs/>
        </w:rPr>
      </w:pPr>
    </w:p>
    <w:p w:rsidR="00AC6F15" w:rsidRPr="00AC6F15" w:rsidRDefault="00AC6F15" w:rsidP="00AC6F15">
      <w:pPr>
        <w:rPr>
          <w:bCs/>
        </w:rPr>
      </w:pPr>
      <w:r w:rsidRPr="00AC6F15">
        <w:rPr>
          <w:bCs/>
        </w:rPr>
        <w:t>I vilkår 15 om de automatisk målende systemer er der sneget sig et par fejl ind. Kommunen beklager og retter vilkåret.</w:t>
      </w:r>
    </w:p>
    <w:p w:rsidR="00AC6F15" w:rsidRPr="00AC6F15" w:rsidRDefault="00AC6F15" w:rsidP="00AC6F15">
      <w:pPr>
        <w:rPr>
          <w:bCs/>
        </w:rPr>
      </w:pPr>
    </w:p>
    <w:p w:rsidR="00AC6F15" w:rsidRPr="00AC6F15" w:rsidRDefault="00AC6F15" w:rsidP="00AC6F15">
      <w:pPr>
        <w:rPr>
          <w:bCs/>
        </w:rPr>
      </w:pPr>
      <w:r w:rsidRPr="00AC6F15">
        <w:rPr>
          <w:bCs/>
        </w:rPr>
        <w:t>Kommunen vurderer, at det er en god hjælp til både værket og kommunen med en kvalitetshåndbog, og stiller derfor et nyt vilkår herom.</w:t>
      </w:r>
    </w:p>
    <w:p w:rsidR="00AC6F15" w:rsidRPr="00AC6F15" w:rsidRDefault="00AC6F15" w:rsidP="00AC6F15">
      <w:pPr>
        <w:rPr>
          <w:bCs/>
        </w:rPr>
      </w:pPr>
    </w:p>
    <w:p w:rsidR="00AC6F15" w:rsidRPr="00AC6F15" w:rsidRDefault="00AC6F15" w:rsidP="00AC6F15">
      <w:pPr>
        <w:rPr>
          <w:b/>
          <w:bCs/>
          <w:u w:val="single"/>
        </w:rPr>
      </w:pPr>
      <w:r w:rsidRPr="00AC6F15">
        <w:rPr>
          <w:b/>
          <w:bCs/>
          <w:u w:val="single"/>
        </w:rPr>
        <w:br w:type="column"/>
      </w:r>
      <w:r w:rsidRPr="00AC6F15">
        <w:rPr>
          <w:b/>
          <w:bCs/>
          <w:u w:val="single"/>
        </w:rPr>
        <w:lastRenderedPageBreak/>
        <w:t>Affald</w:t>
      </w:r>
    </w:p>
    <w:p w:rsidR="00AC6F15" w:rsidRPr="00AC6F15" w:rsidRDefault="00AC6F15" w:rsidP="00AC6F15">
      <w:pPr>
        <w:rPr>
          <w:bCs/>
        </w:rPr>
      </w:pPr>
      <w:r w:rsidRPr="0062209E">
        <w:rPr>
          <w:bCs/>
        </w:rPr>
        <w:t>I miljøgodkendelsen har kommunen fastsat hvor store mængder affald, som væ</w:t>
      </w:r>
      <w:r w:rsidRPr="0062209E">
        <w:rPr>
          <w:bCs/>
        </w:rPr>
        <w:t>r</w:t>
      </w:r>
      <w:r w:rsidRPr="0062209E">
        <w:rPr>
          <w:bCs/>
        </w:rPr>
        <w:t>ket må opbevare. I har lov til at måtte opbevare 50 m</w:t>
      </w:r>
      <w:r w:rsidRPr="0062209E">
        <w:rPr>
          <w:bCs/>
          <w:vertAlign w:val="superscript"/>
        </w:rPr>
        <w:t>3</w:t>
      </w:r>
      <w:r w:rsidRPr="0062209E">
        <w:rPr>
          <w:bCs/>
        </w:rPr>
        <w:t xml:space="preserve"> aske. Men nu har I vurderet, at dette ikke er nok, og at det vil være mere effektivt at kunne opbevare op til </w:t>
      </w:r>
      <w:r w:rsidR="0062209E" w:rsidRPr="0062209E">
        <w:rPr>
          <w:bCs/>
        </w:rPr>
        <w:t>1</w:t>
      </w:r>
      <w:r w:rsidRPr="0062209E">
        <w:rPr>
          <w:bCs/>
        </w:rPr>
        <w:t xml:space="preserve">20 </w:t>
      </w:r>
      <w:r w:rsidR="0062209E" w:rsidRPr="0062209E">
        <w:rPr>
          <w:bCs/>
        </w:rPr>
        <w:t>ton</w:t>
      </w:r>
      <w:r w:rsidRPr="0062209E">
        <w:rPr>
          <w:bCs/>
        </w:rPr>
        <w:t>. Kommunen ændrer derfor vilkåret.</w:t>
      </w:r>
    </w:p>
    <w:p w:rsidR="00AC6F15" w:rsidRPr="00AC6F15" w:rsidRDefault="00AC6F15" w:rsidP="00AC6F15">
      <w:pPr>
        <w:rPr>
          <w:bCs/>
        </w:rPr>
      </w:pPr>
    </w:p>
    <w:p w:rsidR="00AC6F15" w:rsidRPr="00AC6F15" w:rsidRDefault="00AC6F15" w:rsidP="00AC6F15">
      <w:pPr>
        <w:rPr>
          <w:b/>
          <w:bCs/>
          <w:u w:val="single"/>
        </w:rPr>
      </w:pPr>
      <w:r w:rsidRPr="00AC6F15">
        <w:rPr>
          <w:b/>
          <w:bCs/>
          <w:u w:val="single"/>
        </w:rPr>
        <w:t>Basistilstandsrapport</w:t>
      </w:r>
    </w:p>
    <w:p w:rsidR="00AC6F15" w:rsidRPr="00AC6F15" w:rsidRDefault="00AC6F15" w:rsidP="00AC6F15">
      <w:pPr>
        <w:rPr>
          <w:b/>
          <w:bCs/>
        </w:rPr>
      </w:pPr>
      <w:r w:rsidRPr="00AC6F15">
        <w:rPr>
          <w:b/>
          <w:bCs/>
        </w:rPr>
        <w:t>Baggrund</w:t>
      </w:r>
    </w:p>
    <w:p w:rsidR="00AC6F15" w:rsidRPr="00AC6F15" w:rsidRDefault="00AC6F15" w:rsidP="00AC6F15">
      <w:pPr>
        <w:rPr>
          <w:bCs/>
        </w:rPr>
      </w:pPr>
      <w:r w:rsidRPr="00AC6F15">
        <w:rPr>
          <w:bCs/>
        </w:rPr>
        <w:t>I godkendelsesbekendtgørelsen</w:t>
      </w:r>
      <w:r w:rsidRPr="00AC6F15">
        <w:rPr>
          <w:bCs/>
          <w:vertAlign w:val="superscript"/>
        </w:rPr>
        <w:footnoteReference w:id="4"/>
      </w:r>
      <w:r w:rsidRPr="00AC6F15">
        <w:rPr>
          <w:bCs/>
        </w:rPr>
        <w:t xml:space="preserve"> § 21 stk. 2 står, at kommunen skal fastsætte vilkår om regelmæssig vedligeholdelse af de foranstaltninger, der træffes for at forhi</w:t>
      </w:r>
      <w:r w:rsidRPr="00AC6F15">
        <w:rPr>
          <w:bCs/>
        </w:rPr>
        <w:t>n</w:t>
      </w:r>
      <w:r w:rsidRPr="00AC6F15">
        <w:rPr>
          <w:bCs/>
        </w:rPr>
        <w:t>dre emissioner til jord- og grundvand, og om monitering af jord- og grundvand i forhold til de relevante farlige stoffer. Moniteringen skal som udgangspunkt finde sted mindst hvert 5. år for grundvand og mindst hvert 10. år for jord.</w:t>
      </w:r>
    </w:p>
    <w:p w:rsidR="00AC6F15" w:rsidRPr="00AC6F15" w:rsidRDefault="00AC6F15" w:rsidP="00AC6F15">
      <w:pPr>
        <w:rPr>
          <w:bCs/>
        </w:rPr>
      </w:pPr>
    </w:p>
    <w:p w:rsidR="00AC6F15" w:rsidRPr="00AC6F15" w:rsidRDefault="00AC6F15" w:rsidP="00AC6F15">
      <w:pPr>
        <w:rPr>
          <w:bCs/>
        </w:rPr>
      </w:pPr>
      <w:r w:rsidRPr="00AC6F15">
        <w:rPr>
          <w:bCs/>
        </w:rPr>
        <w:t>Værket er omfattet af reglerne om basistilstandsrapport på grund af følgende fa</w:t>
      </w:r>
      <w:r w:rsidRPr="00AC6F15">
        <w:rPr>
          <w:bCs/>
        </w:rPr>
        <w:t>r</w:t>
      </w:r>
      <w:r w:rsidRPr="00AC6F15">
        <w:rPr>
          <w:bCs/>
        </w:rPr>
        <w:t>lige relevante stoffer og produkter:</w:t>
      </w:r>
    </w:p>
    <w:tbl>
      <w:tblPr>
        <w:tblStyle w:val="Tabel-Gitter"/>
        <w:tblW w:w="0" w:type="auto"/>
        <w:tblLook w:val="04A0" w:firstRow="1" w:lastRow="0" w:firstColumn="1" w:lastColumn="0" w:noHBand="0" w:noVBand="1"/>
      </w:tblPr>
      <w:tblGrid>
        <w:gridCol w:w="3598"/>
        <w:gridCol w:w="3598"/>
      </w:tblGrid>
      <w:tr w:rsidR="00AC6F15" w:rsidRPr="00AC6F15" w:rsidTr="000C0D07">
        <w:tc>
          <w:tcPr>
            <w:tcW w:w="3598" w:type="dxa"/>
          </w:tcPr>
          <w:p w:rsidR="00AC6F15" w:rsidRPr="0062209E" w:rsidRDefault="00AC6F15" w:rsidP="00AC6F15">
            <w:pPr>
              <w:rPr>
                <w:b/>
                <w:bCs/>
              </w:rPr>
            </w:pPr>
            <w:r w:rsidRPr="0062209E">
              <w:rPr>
                <w:b/>
                <w:bCs/>
              </w:rPr>
              <w:t>Produkt</w:t>
            </w:r>
          </w:p>
        </w:tc>
        <w:tc>
          <w:tcPr>
            <w:tcW w:w="3598" w:type="dxa"/>
          </w:tcPr>
          <w:p w:rsidR="00AC6F15" w:rsidRPr="0062209E" w:rsidRDefault="00AC6F15" w:rsidP="00AC6F15">
            <w:pPr>
              <w:rPr>
                <w:b/>
                <w:bCs/>
              </w:rPr>
            </w:pPr>
            <w:r w:rsidRPr="0062209E">
              <w:rPr>
                <w:b/>
                <w:bCs/>
              </w:rPr>
              <w:t>Farlige stoffer</w:t>
            </w:r>
          </w:p>
        </w:tc>
      </w:tr>
      <w:tr w:rsidR="00AC6F15" w:rsidRPr="00AC6F15" w:rsidTr="000C0D07">
        <w:tc>
          <w:tcPr>
            <w:tcW w:w="3598" w:type="dxa"/>
          </w:tcPr>
          <w:p w:rsidR="00AC6F15" w:rsidRPr="00AC6F15" w:rsidRDefault="00AC6F15" w:rsidP="00AC6F15">
            <w:pPr>
              <w:rPr>
                <w:bCs/>
              </w:rPr>
            </w:pPr>
            <w:r w:rsidRPr="00AC6F15">
              <w:rPr>
                <w:bCs/>
              </w:rPr>
              <w:t>Brændsel</w:t>
            </w:r>
          </w:p>
        </w:tc>
        <w:tc>
          <w:tcPr>
            <w:tcW w:w="3598" w:type="dxa"/>
          </w:tcPr>
          <w:p w:rsidR="00AC6F15" w:rsidRPr="00AC6F15" w:rsidRDefault="00AC6F15" w:rsidP="00AC6F15">
            <w:pPr>
              <w:rPr>
                <w:bCs/>
              </w:rPr>
            </w:pPr>
            <w:r w:rsidRPr="00AC6F15">
              <w:rPr>
                <w:bCs/>
              </w:rPr>
              <w:t>Cd, Hg, Ni, PAH, PCB, fenol</w:t>
            </w:r>
          </w:p>
        </w:tc>
      </w:tr>
      <w:tr w:rsidR="00AC6F15" w:rsidRPr="00AC6F15" w:rsidTr="000C0D07">
        <w:tc>
          <w:tcPr>
            <w:tcW w:w="3598" w:type="dxa"/>
          </w:tcPr>
          <w:p w:rsidR="00AC6F15" w:rsidRPr="00AC6F15" w:rsidRDefault="00AC6F15" w:rsidP="00AC6F15">
            <w:pPr>
              <w:rPr>
                <w:bCs/>
              </w:rPr>
            </w:pPr>
            <w:r w:rsidRPr="00AC6F15">
              <w:rPr>
                <w:bCs/>
              </w:rPr>
              <w:t>Smøreolie og hydraulikolie</w:t>
            </w:r>
          </w:p>
        </w:tc>
        <w:tc>
          <w:tcPr>
            <w:tcW w:w="3598" w:type="dxa"/>
          </w:tcPr>
          <w:p w:rsidR="00AC6F15" w:rsidRPr="00AC6F15" w:rsidRDefault="00AC6F15" w:rsidP="00AC6F15">
            <w:pPr>
              <w:rPr>
                <w:bCs/>
              </w:rPr>
            </w:pPr>
            <w:r w:rsidRPr="00AC6F15">
              <w:rPr>
                <w:bCs/>
              </w:rPr>
              <w:t>olie</w:t>
            </w:r>
          </w:p>
        </w:tc>
      </w:tr>
      <w:tr w:rsidR="00AC6F15" w:rsidRPr="00AC6F15" w:rsidTr="000C0D07">
        <w:tc>
          <w:tcPr>
            <w:tcW w:w="3598" w:type="dxa"/>
          </w:tcPr>
          <w:p w:rsidR="00AC6F15" w:rsidRPr="00AC6F15" w:rsidRDefault="00AC6F15" w:rsidP="00AC6F15">
            <w:pPr>
              <w:rPr>
                <w:bCs/>
              </w:rPr>
            </w:pPr>
            <w:r w:rsidRPr="00AC6F15">
              <w:rPr>
                <w:bCs/>
              </w:rPr>
              <w:t>Flyveaske</w:t>
            </w:r>
          </w:p>
        </w:tc>
        <w:tc>
          <w:tcPr>
            <w:tcW w:w="3598"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w:t>
            </w:r>
            <w:proofErr w:type="spellStart"/>
            <w:r w:rsidRPr="00AC6F15">
              <w:rPr>
                <w:bCs/>
              </w:rPr>
              <w:t>Cr</w:t>
            </w:r>
            <w:proofErr w:type="spellEnd"/>
            <w:r w:rsidRPr="00AC6F15">
              <w:rPr>
                <w:bCs/>
              </w:rPr>
              <w:t xml:space="preserve"> og PAH</w:t>
            </w:r>
          </w:p>
        </w:tc>
      </w:tr>
      <w:tr w:rsidR="00AC6F15" w:rsidRPr="00AC6F15" w:rsidTr="000C0D07">
        <w:tc>
          <w:tcPr>
            <w:tcW w:w="3598" w:type="dxa"/>
          </w:tcPr>
          <w:p w:rsidR="00AC6F15" w:rsidRPr="00AC6F15" w:rsidRDefault="00AC6F15" w:rsidP="00AC6F15">
            <w:pPr>
              <w:rPr>
                <w:bCs/>
              </w:rPr>
            </w:pPr>
            <w:r w:rsidRPr="00AC6F15">
              <w:rPr>
                <w:bCs/>
              </w:rPr>
              <w:t>Slagge</w:t>
            </w:r>
          </w:p>
        </w:tc>
        <w:tc>
          <w:tcPr>
            <w:tcW w:w="3598"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w:t>
            </w:r>
            <w:proofErr w:type="spellStart"/>
            <w:r w:rsidRPr="00AC6F15">
              <w:rPr>
                <w:bCs/>
              </w:rPr>
              <w:t>Cr</w:t>
            </w:r>
            <w:proofErr w:type="spellEnd"/>
            <w:r w:rsidRPr="00AC6F15">
              <w:rPr>
                <w:bCs/>
              </w:rPr>
              <w:t xml:space="preserve"> og PAH</w:t>
            </w:r>
          </w:p>
        </w:tc>
      </w:tr>
      <w:tr w:rsidR="00AC6F15" w:rsidRPr="00AC6F15" w:rsidTr="000C0D07">
        <w:tc>
          <w:tcPr>
            <w:tcW w:w="3598" w:type="dxa"/>
          </w:tcPr>
          <w:p w:rsidR="00AC6F15" w:rsidRPr="00AC6F15" w:rsidRDefault="00AC6F15" w:rsidP="00AC6F15">
            <w:pPr>
              <w:rPr>
                <w:bCs/>
              </w:rPr>
            </w:pPr>
            <w:r w:rsidRPr="00AC6F15">
              <w:rPr>
                <w:bCs/>
              </w:rPr>
              <w:t>Spildevand</w:t>
            </w:r>
          </w:p>
        </w:tc>
        <w:tc>
          <w:tcPr>
            <w:tcW w:w="3598"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w:t>
            </w:r>
            <w:proofErr w:type="spellStart"/>
            <w:r w:rsidRPr="00AC6F15">
              <w:rPr>
                <w:bCs/>
              </w:rPr>
              <w:t>Cr</w:t>
            </w:r>
            <w:proofErr w:type="spellEnd"/>
            <w:r w:rsidRPr="00AC6F15">
              <w:rPr>
                <w:bCs/>
              </w:rPr>
              <w:t xml:space="preserve"> og PAH</w:t>
            </w:r>
          </w:p>
        </w:tc>
      </w:tr>
      <w:tr w:rsidR="00AC6F15" w:rsidRPr="00AC6F15" w:rsidTr="000C0D07">
        <w:tc>
          <w:tcPr>
            <w:tcW w:w="3598" w:type="dxa"/>
          </w:tcPr>
          <w:p w:rsidR="00AC6F15" w:rsidRPr="00AC6F15" w:rsidRDefault="00AC6F15" w:rsidP="00AC6F15">
            <w:pPr>
              <w:rPr>
                <w:bCs/>
              </w:rPr>
            </w:pPr>
            <w:r w:rsidRPr="00AC6F15">
              <w:rPr>
                <w:bCs/>
              </w:rPr>
              <w:t>Slam rensning af spildevand</w:t>
            </w:r>
          </w:p>
        </w:tc>
        <w:tc>
          <w:tcPr>
            <w:tcW w:w="3598"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w:t>
            </w:r>
            <w:proofErr w:type="spellStart"/>
            <w:r w:rsidRPr="00AC6F15">
              <w:rPr>
                <w:bCs/>
              </w:rPr>
              <w:t>Cr</w:t>
            </w:r>
            <w:proofErr w:type="spellEnd"/>
            <w:r w:rsidRPr="00AC6F15">
              <w:rPr>
                <w:bCs/>
              </w:rPr>
              <w:t xml:space="preserve"> og PAH</w:t>
            </w:r>
          </w:p>
        </w:tc>
      </w:tr>
    </w:tbl>
    <w:p w:rsidR="00AC6F15" w:rsidRPr="00AC6F15" w:rsidRDefault="00AC6F15" w:rsidP="00AC6F15">
      <w:pPr>
        <w:rPr>
          <w:bCs/>
        </w:rPr>
      </w:pPr>
    </w:p>
    <w:p w:rsidR="00AC6F15" w:rsidRPr="00AC6F15" w:rsidRDefault="00AC6F15" w:rsidP="00AC6F15">
      <w:pPr>
        <w:rPr>
          <w:bCs/>
        </w:rPr>
      </w:pPr>
      <w:r w:rsidRPr="00AC6F15">
        <w:rPr>
          <w:bCs/>
        </w:rPr>
        <w:t>Værket indsendte derfor en basistilstandsrapport den 23. marts 2014, hvor det blandt andet foreslår et program til monitering af hhv. jord og grundvand. Basisti</w:t>
      </w:r>
      <w:r w:rsidRPr="00AC6F15">
        <w:rPr>
          <w:bCs/>
        </w:rPr>
        <w:t>l</w:t>
      </w:r>
      <w:r w:rsidRPr="00AC6F15">
        <w:rPr>
          <w:bCs/>
        </w:rPr>
        <w:t xml:space="preserve">standsrapporten er ikke færdig endnu, men værket vil gøre den færdig så snart placering af olieudskillere, siloer, kloakker, mm. </w:t>
      </w:r>
      <w:proofErr w:type="gramStart"/>
      <w:r w:rsidRPr="00AC6F15">
        <w:rPr>
          <w:bCs/>
        </w:rPr>
        <w:t>er besluttet.</w:t>
      </w:r>
      <w:proofErr w:type="gramEnd"/>
    </w:p>
    <w:p w:rsidR="00AC6F15" w:rsidRPr="00AC6F15" w:rsidRDefault="00AC6F15" w:rsidP="00AC6F15">
      <w:pPr>
        <w:rPr>
          <w:bCs/>
        </w:rPr>
      </w:pPr>
    </w:p>
    <w:p w:rsidR="00AC6F15" w:rsidRPr="00AC6F15" w:rsidRDefault="00AC6F15" w:rsidP="00AC6F15">
      <w:pPr>
        <w:rPr>
          <w:bCs/>
          <w:u w:val="single"/>
        </w:rPr>
      </w:pPr>
      <w:r w:rsidRPr="00AC6F15">
        <w:rPr>
          <w:bCs/>
          <w:u w:val="single"/>
        </w:rPr>
        <w:t>Regelmæssig vedligeholdelse af foranstaltninger</w:t>
      </w:r>
    </w:p>
    <w:p w:rsidR="00AC6F15" w:rsidRPr="00AC6F15" w:rsidRDefault="00AC6F15" w:rsidP="00AC6F15">
      <w:pPr>
        <w:rPr>
          <w:bCs/>
        </w:rPr>
      </w:pPr>
      <w:r w:rsidRPr="00AC6F15">
        <w:rPr>
          <w:bCs/>
        </w:rPr>
        <w:t>I miljøgodkendelsen er fastsat en række vilkår for at minimere risikoen for at for</w:t>
      </w:r>
      <w:r w:rsidRPr="00AC6F15">
        <w:rPr>
          <w:bCs/>
        </w:rPr>
        <w:t>u</w:t>
      </w:r>
      <w:r w:rsidRPr="00AC6F15">
        <w:rPr>
          <w:bCs/>
        </w:rPr>
        <w:t>rene jord og grundvand. Det er:</w:t>
      </w:r>
    </w:p>
    <w:p w:rsidR="00AC6F15" w:rsidRPr="00AC6F15" w:rsidRDefault="00AC6F15" w:rsidP="00AC6F15">
      <w:pPr>
        <w:rPr>
          <w:bCs/>
        </w:rPr>
      </w:pPr>
      <w:r w:rsidRPr="00AC6F15">
        <w:rPr>
          <w:bCs/>
        </w:rPr>
        <w:t>Vilkår 50</w:t>
      </w:r>
      <w:r w:rsidRPr="00AC6F15">
        <w:rPr>
          <w:bCs/>
        </w:rPr>
        <w:tab/>
        <w:t>Brændsel og sigterest må højst opbevares i et år.</w:t>
      </w:r>
    </w:p>
    <w:p w:rsidR="00AC6F15" w:rsidRPr="00AC6F15" w:rsidRDefault="00AC6F15" w:rsidP="00AC6F15">
      <w:pPr>
        <w:rPr>
          <w:bCs/>
        </w:rPr>
      </w:pPr>
      <w:r w:rsidRPr="00AC6F15">
        <w:rPr>
          <w:bCs/>
        </w:rPr>
        <w:t>Vilkår 52</w:t>
      </w:r>
      <w:r w:rsidRPr="00AC6F15">
        <w:rPr>
          <w:bCs/>
        </w:rPr>
        <w:tab/>
        <w:t>Flyveaske skal opbevares i lukket silo</w:t>
      </w:r>
    </w:p>
    <w:p w:rsidR="00AC6F15" w:rsidRPr="00AC6F15" w:rsidRDefault="00AC6F15" w:rsidP="0062209E">
      <w:pPr>
        <w:ind w:left="1304" w:hanging="1304"/>
        <w:rPr>
          <w:bCs/>
        </w:rPr>
      </w:pPr>
      <w:r w:rsidRPr="00AC6F15">
        <w:rPr>
          <w:bCs/>
        </w:rPr>
        <w:t>Vilkår 53</w:t>
      </w:r>
      <w:r w:rsidRPr="00AC6F15">
        <w:rPr>
          <w:bCs/>
        </w:rPr>
        <w:tab/>
        <w:t>Slagger og bundaske skal opbevares indendørs og må ikke håndt</w:t>
      </w:r>
      <w:r w:rsidRPr="00AC6F15">
        <w:rPr>
          <w:bCs/>
        </w:rPr>
        <w:t>e</w:t>
      </w:r>
      <w:r w:rsidRPr="00AC6F15">
        <w:rPr>
          <w:bCs/>
        </w:rPr>
        <w:t>res udendørs.</w:t>
      </w:r>
    </w:p>
    <w:p w:rsidR="00AC6F15" w:rsidRPr="00AC6F15" w:rsidRDefault="00AC6F15" w:rsidP="0062209E">
      <w:pPr>
        <w:ind w:left="1304" w:hanging="1304"/>
        <w:rPr>
          <w:bCs/>
        </w:rPr>
      </w:pPr>
      <w:r w:rsidRPr="00AC6F15">
        <w:rPr>
          <w:bCs/>
        </w:rPr>
        <w:t>Vilkår 54</w:t>
      </w:r>
      <w:r w:rsidRPr="00AC6F15">
        <w:rPr>
          <w:bCs/>
        </w:rPr>
        <w:tab/>
        <w:t>Beholdere, rør og pumpesumpe med processpildevand skal inspic</w:t>
      </w:r>
      <w:r w:rsidRPr="00AC6F15">
        <w:rPr>
          <w:bCs/>
        </w:rPr>
        <w:t>e</w:t>
      </w:r>
      <w:r w:rsidRPr="00AC6F15">
        <w:rPr>
          <w:bCs/>
        </w:rPr>
        <w:t>res regelmæssigt.</w:t>
      </w:r>
    </w:p>
    <w:p w:rsidR="00AC6F15" w:rsidRPr="00AC6F15" w:rsidRDefault="00AC6F15" w:rsidP="0062209E">
      <w:pPr>
        <w:ind w:left="1304" w:hanging="1304"/>
        <w:rPr>
          <w:bCs/>
        </w:rPr>
      </w:pPr>
      <w:r w:rsidRPr="00AC6F15">
        <w:rPr>
          <w:bCs/>
        </w:rPr>
        <w:t>Vilkår 55</w:t>
      </w:r>
      <w:r w:rsidRPr="00AC6F15">
        <w:rPr>
          <w:bCs/>
        </w:rPr>
        <w:tab/>
        <w:t>Farligt affald skal opbevares indendørs og så spild kan holdes tilb</w:t>
      </w:r>
      <w:r w:rsidRPr="00AC6F15">
        <w:rPr>
          <w:bCs/>
        </w:rPr>
        <w:t>a</w:t>
      </w:r>
      <w:r w:rsidRPr="00AC6F15">
        <w:rPr>
          <w:bCs/>
        </w:rPr>
        <w:t>ge. Dette omfatter også slam fra spildevandsrensning.</w:t>
      </w:r>
    </w:p>
    <w:p w:rsidR="00AC6F15" w:rsidRPr="00AC6F15" w:rsidRDefault="00AC6F15" w:rsidP="00AC6F15">
      <w:pPr>
        <w:rPr>
          <w:bCs/>
        </w:rPr>
      </w:pPr>
    </w:p>
    <w:p w:rsidR="00AC6F15" w:rsidRPr="00AC6F15" w:rsidRDefault="00AC6F15" w:rsidP="00AC6F15">
      <w:pPr>
        <w:rPr>
          <w:bCs/>
        </w:rPr>
      </w:pPr>
      <w:r w:rsidRPr="00AC6F15">
        <w:rPr>
          <w:bCs/>
        </w:rPr>
        <w:lastRenderedPageBreak/>
        <w:t>I basistilstandsrapporten samt i brev af 11. februar 2014 beskriver værket hvilke foranstaltninger, det planlægger at gennemføre for at minimere risikoen for at forurene med de relevante farlige stoffer. Udover de foranstaltninger, der er fas</w:t>
      </w:r>
      <w:r w:rsidRPr="00AC6F15">
        <w:rPr>
          <w:bCs/>
        </w:rPr>
        <w:t>t</w:t>
      </w:r>
      <w:r w:rsidRPr="00AC6F15">
        <w:rPr>
          <w:bCs/>
        </w:rPr>
        <w:t>sat i de nævnte vilkår er det:</w:t>
      </w:r>
    </w:p>
    <w:p w:rsidR="00AC6F15" w:rsidRPr="00AC6F15" w:rsidRDefault="00AC6F15" w:rsidP="00AC6F15">
      <w:pPr>
        <w:rPr>
          <w:bCs/>
        </w:rPr>
      </w:pPr>
    </w:p>
    <w:p w:rsidR="00AC6F15" w:rsidRPr="00AC6F15" w:rsidRDefault="00AC6F15" w:rsidP="00AC6F15">
      <w:pPr>
        <w:rPr>
          <w:bCs/>
        </w:rPr>
      </w:pPr>
      <w:r w:rsidRPr="00AC6F15">
        <w:rPr>
          <w:bCs/>
          <w:u w:val="single"/>
        </w:rPr>
        <w:t>Brændsel</w:t>
      </w:r>
      <w:r w:rsidRPr="00AC6F15">
        <w:rPr>
          <w:bCs/>
        </w:rPr>
        <w:t xml:space="preserve">: </w:t>
      </w:r>
      <w:r w:rsidRPr="00AC6F15">
        <w:rPr>
          <w:bCs/>
        </w:rPr>
        <w:tab/>
      </w:r>
    </w:p>
    <w:p w:rsidR="00AC6F15" w:rsidRPr="00AC6F15" w:rsidRDefault="00AC6F15" w:rsidP="00AC6F15">
      <w:pPr>
        <w:numPr>
          <w:ilvl w:val="0"/>
          <w:numId w:val="7"/>
        </w:numPr>
        <w:rPr>
          <w:bCs/>
        </w:rPr>
      </w:pPr>
      <w:r w:rsidRPr="00AC6F15">
        <w:rPr>
          <w:bCs/>
        </w:rPr>
        <w:t>Brændslet vil primært bestå af skovflis og kun træ med limrester i begræ</w:t>
      </w:r>
      <w:r w:rsidRPr="00AC6F15">
        <w:rPr>
          <w:bCs/>
        </w:rPr>
        <w:t>n</w:t>
      </w:r>
      <w:r w:rsidRPr="00AC6F15">
        <w:rPr>
          <w:bCs/>
        </w:rPr>
        <w:t>set omfang.</w:t>
      </w:r>
    </w:p>
    <w:p w:rsidR="00AC6F15" w:rsidRPr="00AC6F15" w:rsidRDefault="00AC6F15" w:rsidP="00AC6F15">
      <w:pPr>
        <w:numPr>
          <w:ilvl w:val="0"/>
          <w:numId w:val="6"/>
        </w:numPr>
        <w:rPr>
          <w:bCs/>
        </w:rPr>
      </w:pPr>
      <w:r w:rsidRPr="00AC6F15">
        <w:rPr>
          <w:bCs/>
        </w:rPr>
        <w:t>Sigterest fra brændsel opbevares i containere.</w:t>
      </w:r>
    </w:p>
    <w:p w:rsidR="00AC6F15" w:rsidRPr="00AC6F15" w:rsidRDefault="00AC6F15" w:rsidP="00AC6F15">
      <w:pPr>
        <w:numPr>
          <w:ilvl w:val="0"/>
          <w:numId w:val="6"/>
        </w:numPr>
        <w:rPr>
          <w:bCs/>
        </w:rPr>
      </w:pPr>
      <w:r w:rsidRPr="00AC6F15">
        <w:rPr>
          <w:bCs/>
        </w:rPr>
        <w:t>Brændsel opbevares og transporteres under tag, således at der ikke ko</w:t>
      </w:r>
      <w:r w:rsidRPr="00AC6F15">
        <w:rPr>
          <w:bCs/>
        </w:rPr>
        <w:t>m</w:t>
      </w:r>
      <w:r w:rsidRPr="00AC6F15">
        <w:rPr>
          <w:bCs/>
        </w:rPr>
        <w:t xml:space="preserve">mer regnvand til brændslet, og derved dannes der ikke </w:t>
      </w:r>
      <w:proofErr w:type="spellStart"/>
      <w:r w:rsidRPr="00AC6F15">
        <w:rPr>
          <w:bCs/>
        </w:rPr>
        <w:t>perkolat</w:t>
      </w:r>
      <w:proofErr w:type="spellEnd"/>
      <w:r w:rsidRPr="00AC6F15">
        <w:rPr>
          <w:bCs/>
        </w:rPr>
        <w:t>. Der er i</w:t>
      </w:r>
      <w:r w:rsidRPr="00AC6F15">
        <w:rPr>
          <w:bCs/>
        </w:rPr>
        <w:t>k</w:t>
      </w:r>
      <w:r w:rsidRPr="00AC6F15">
        <w:rPr>
          <w:bCs/>
        </w:rPr>
        <w:t xml:space="preserve">ke afløb fra hverken modtagersilo eller brændselssiloer. Tip og grav til brændsel vil blive placeret under tag. </w:t>
      </w:r>
    </w:p>
    <w:p w:rsidR="00AC6F15" w:rsidRPr="00AC6F15" w:rsidRDefault="00AC6F15" w:rsidP="00AC6F15">
      <w:pPr>
        <w:rPr>
          <w:bCs/>
        </w:rPr>
      </w:pPr>
      <w:r w:rsidRPr="00AC6F15">
        <w:rPr>
          <w:bCs/>
          <w:u w:val="single"/>
        </w:rPr>
        <w:t>Smøreolie og hydraulikolie</w:t>
      </w:r>
      <w:r w:rsidRPr="00AC6F15">
        <w:rPr>
          <w:bCs/>
        </w:rPr>
        <w:t>:</w:t>
      </w:r>
    </w:p>
    <w:p w:rsidR="00AC6F15" w:rsidRPr="00AC6F15" w:rsidRDefault="00AC6F15" w:rsidP="00AC6F15">
      <w:pPr>
        <w:numPr>
          <w:ilvl w:val="0"/>
          <w:numId w:val="8"/>
        </w:numPr>
        <w:rPr>
          <w:bCs/>
        </w:rPr>
      </w:pPr>
      <w:r w:rsidRPr="00AC6F15">
        <w:rPr>
          <w:bCs/>
        </w:rPr>
        <w:t>Ny smøreolie og hydraulikolie opbevares indendørs og på spildbakker, der kan tilbageholde et evt. spild.</w:t>
      </w:r>
    </w:p>
    <w:p w:rsidR="00AC6F15" w:rsidRPr="00AC6F15" w:rsidRDefault="00AC6F15" w:rsidP="00AC6F15">
      <w:pPr>
        <w:numPr>
          <w:ilvl w:val="0"/>
          <w:numId w:val="8"/>
        </w:numPr>
        <w:rPr>
          <w:bCs/>
        </w:rPr>
      </w:pPr>
      <w:r w:rsidRPr="00AC6F15">
        <w:rPr>
          <w:bCs/>
        </w:rPr>
        <w:t>Al lastbiltransport foregår på asfalterede veje og pladser, hvorfra overfl</w:t>
      </w:r>
      <w:r w:rsidRPr="00AC6F15">
        <w:rPr>
          <w:bCs/>
        </w:rPr>
        <w:t>a</w:t>
      </w:r>
      <w:r w:rsidRPr="00AC6F15">
        <w:rPr>
          <w:bCs/>
        </w:rPr>
        <w:t xml:space="preserve">devand ledes til Egebækken via </w:t>
      </w:r>
      <w:r w:rsidR="006761B7">
        <w:rPr>
          <w:bCs/>
        </w:rPr>
        <w:t xml:space="preserve">sandfang, </w:t>
      </w:r>
      <w:r w:rsidRPr="00AC6F15">
        <w:rPr>
          <w:bCs/>
        </w:rPr>
        <w:t>olieudskiller</w:t>
      </w:r>
      <w:r w:rsidR="006761B7">
        <w:rPr>
          <w:bCs/>
        </w:rPr>
        <w:t xml:space="preserve"> og bassin</w:t>
      </w:r>
      <w:r w:rsidRPr="00AC6F15">
        <w:rPr>
          <w:bCs/>
        </w:rPr>
        <w:t>, der tilb</w:t>
      </w:r>
      <w:r w:rsidRPr="00AC6F15">
        <w:rPr>
          <w:bCs/>
        </w:rPr>
        <w:t>a</w:t>
      </w:r>
      <w:r w:rsidRPr="00AC6F15">
        <w:rPr>
          <w:bCs/>
        </w:rPr>
        <w:t>geholder spild og dryp.</w:t>
      </w:r>
    </w:p>
    <w:p w:rsidR="00AC6F15" w:rsidRPr="00AC6F15" w:rsidRDefault="00AC6F15" w:rsidP="00AC6F15">
      <w:pPr>
        <w:rPr>
          <w:bCs/>
          <w:u w:val="single"/>
        </w:rPr>
      </w:pPr>
      <w:r w:rsidRPr="00AC6F15">
        <w:rPr>
          <w:bCs/>
          <w:u w:val="single"/>
        </w:rPr>
        <w:t>Flyvesake:</w:t>
      </w:r>
    </w:p>
    <w:p w:rsidR="00AC6F15" w:rsidRPr="006761B7" w:rsidRDefault="00AC6F15" w:rsidP="00AC6F15">
      <w:pPr>
        <w:numPr>
          <w:ilvl w:val="0"/>
          <w:numId w:val="9"/>
        </w:numPr>
        <w:rPr>
          <w:bCs/>
        </w:rPr>
      </w:pPr>
      <w:r w:rsidRPr="006761B7">
        <w:rPr>
          <w:bCs/>
        </w:rPr>
        <w:t xml:space="preserve">Flyveaske opbevares i en silo, der er placeret </w:t>
      </w:r>
      <w:r w:rsidR="005610A5" w:rsidRPr="006761B7">
        <w:rPr>
          <w:bCs/>
        </w:rPr>
        <w:t xml:space="preserve">indendørs og </w:t>
      </w:r>
      <w:r w:rsidRPr="006761B7">
        <w:rPr>
          <w:bCs/>
        </w:rPr>
        <w:t>på et areal med tæt belægning (vilkår 52). Diffuse udslip fra siloen</w:t>
      </w:r>
      <w:r w:rsidR="005610A5" w:rsidRPr="006761B7">
        <w:rPr>
          <w:bCs/>
        </w:rPr>
        <w:t xml:space="preserve"> vil blive støvsuget op.</w:t>
      </w:r>
    </w:p>
    <w:p w:rsidR="00AC6F15" w:rsidRPr="00AC6F15" w:rsidRDefault="00AC6F15" w:rsidP="00AC6F15">
      <w:pPr>
        <w:rPr>
          <w:bCs/>
          <w:u w:val="single"/>
        </w:rPr>
      </w:pPr>
      <w:r w:rsidRPr="00AC6F15">
        <w:rPr>
          <w:bCs/>
          <w:u w:val="single"/>
        </w:rPr>
        <w:t>Slagge:</w:t>
      </w:r>
    </w:p>
    <w:p w:rsidR="00AC6F15" w:rsidRPr="00AC6F15" w:rsidRDefault="00AC6F15" w:rsidP="00AC6F15">
      <w:pPr>
        <w:numPr>
          <w:ilvl w:val="0"/>
          <w:numId w:val="6"/>
        </w:numPr>
        <w:rPr>
          <w:bCs/>
        </w:rPr>
      </w:pPr>
      <w:r w:rsidRPr="00AC6F15">
        <w:rPr>
          <w:bCs/>
        </w:rPr>
        <w:t>Slagge opbevares indendørs (vilkår 53).</w:t>
      </w:r>
    </w:p>
    <w:p w:rsidR="00AC6F15" w:rsidRPr="00AC6F15" w:rsidRDefault="00AC6F15" w:rsidP="00AC6F15">
      <w:pPr>
        <w:rPr>
          <w:bCs/>
          <w:u w:val="single"/>
        </w:rPr>
      </w:pPr>
      <w:r w:rsidRPr="00AC6F15">
        <w:rPr>
          <w:bCs/>
          <w:u w:val="single"/>
        </w:rPr>
        <w:t>Spildevand:</w:t>
      </w:r>
    </w:p>
    <w:p w:rsidR="00AC6F15" w:rsidRPr="00AC6F15" w:rsidRDefault="00AC6F15" w:rsidP="00AC6F15">
      <w:pPr>
        <w:numPr>
          <w:ilvl w:val="0"/>
          <w:numId w:val="6"/>
        </w:numPr>
        <w:rPr>
          <w:bCs/>
        </w:rPr>
      </w:pPr>
      <w:r w:rsidRPr="00AC6F15">
        <w:rPr>
          <w:bCs/>
        </w:rPr>
        <w:t>Underjordiske rør til spildevand mv. etableres som tætte rør.</w:t>
      </w:r>
    </w:p>
    <w:p w:rsidR="00AC6F15" w:rsidRPr="00AC6F15" w:rsidRDefault="00AC6F15" w:rsidP="00AC6F15">
      <w:pPr>
        <w:rPr>
          <w:bCs/>
        </w:rPr>
      </w:pPr>
    </w:p>
    <w:p w:rsidR="00AC6F15" w:rsidRPr="00AC6F15" w:rsidRDefault="00AC6F15" w:rsidP="00AC6F15">
      <w:pPr>
        <w:rPr>
          <w:bCs/>
          <w:u w:val="single"/>
        </w:rPr>
      </w:pPr>
      <w:r w:rsidRPr="00AC6F15">
        <w:rPr>
          <w:bCs/>
          <w:u w:val="single"/>
        </w:rPr>
        <w:t>Monitering</w:t>
      </w:r>
    </w:p>
    <w:p w:rsidR="00AC6F15" w:rsidRPr="00AC6F15" w:rsidRDefault="00AC6F15" w:rsidP="00AC6F15">
      <w:pPr>
        <w:rPr>
          <w:bCs/>
        </w:rPr>
      </w:pPr>
      <w:r w:rsidRPr="00AC6F15">
        <w:rPr>
          <w:bCs/>
        </w:rPr>
        <w:t>Værket har i basistilstandsrapporten foreslået, at der hhv. hvert femte og hvert tiende år skal tages prøver af grundvand og jord for at vise, at der ikke er sket n</w:t>
      </w:r>
      <w:r w:rsidRPr="00AC6F15">
        <w:rPr>
          <w:bCs/>
        </w:rPr>
        <w:t>o</w:t>
      </w:r>
      <w:r w:rsidRPr="00AC6F15">
        <w:rPr>
          <w:bCs/>
        </w:rPr>
        <w:t>gen forurening. Prøverne skal tages der, hvor risikoen for forurening er størst.</w:t>
      </w:r>
    </w:p>
    <w:p w:rsidR="00AC6F15" w:rsidRPr="00AC6F15" w:rsidRDefault="00AC6F15" w:rsidP="00AC6F15">
      <w:pPr>
        <w:rPr>
          <w:bCs/>
        </w:rPr>
      </w:pPr>
    </w:p>
    <w:p w:rsidR="00AC6F15" w:rsidRPr="00AC6F15" w:rsidRDefault="00AC6F15" w:rsidP="00AC6F15">
      <w:pPr>
        <w:rPr>
          <w:bCs/>
        </w:rPr>
      </w:pPr>
      <w:r w:rsidRPr="00AC6F15">
        <w:rPr>
          <w:bCs/>
        </w:rPr>
        <w:t>I oktober 2014 tog værket fire prøver af grundvandet og 16 prøver af jord.</w:t>
      </w:r>
    </w:p>
    <w:p w:rsidR="00AC6F15" w:rsidRPr="00AC6F15" w:rsidRDefault="00AC6F15" w:rsidP="00AC6F15">
      <w:pPr>
        <w:rPr>
          <w:bCs/>
        </w:rPr>
      </w:pPr>
    </w:p>
    <w:p w:rsidR="00AC6F15" w:rsidRPr="00AC6F15" w:rsidRDefault="00AC6F15" w:rsidP="00AC6F15">
      <w:pPr>
        <w:rPr>
          <w:b/>
          <w:bCs/>
        </w:rPr>
      </w:pPr>
      <w:r w:rsidRPr="00AC6F15">
        <w:rPr>
          <w:b/>
          <w:bCs/>
        </w:rPr>
        <w:t>Kommunens vurdering af vedligehold</w:t>
      </w:r>
    </w:p>
    <w:p w:rsidR="00AC6F15" w:rsidRPr="00AC6F15" w:rsidRDefault="00AC6F15" w:rsidP="00AC6F15">
      <w:pPr>
        <w:rPr>
          <w:bCs/>
        </w:rPr>
      </w:pPr>
      <w:r w:rsidRPr="00AC6F15">
        <w:rPr>
          <w:bCs/>
        </w:rPr>
        <w:t>Kommunen vurderer, at de foranstaltninger, som værket beskriver, vil minimere risikoen for at forurene jord og grundvand. Kommunen vurderer desuden at san</w:t>
      </w:r>
      <w:r w:rsidRPr="00AC6F15">
        <w:rPr>
          <w:bCs/>
        </w:rPr>
        <w:t>d</w:t>
      </w:r>
      <w:r w:rsidRPr="00AC6F15">
        <w:rPr>
          <w:bCs/>
        </w:rPr>
        <w:t>fang og olieudskillere skal etableres som helstøbte og tætte samt tilsluttes kloak med tætte samlinger. Dette er for at minimere risikoen for at der vil ske en forur</w:t>
      </w:r>
      <w:r w:rsidRPr="00AC6F15">
        <w:rPr>
          <w:bCs/>
        </w:rPr>
        <w:t>e</w:t>
      </w:r>
      <w:r w:rsidRPr="00AC6F15">
        <w:rPr>
          <w:bCs/>
        </w:rPr>
        <w:t>ning herfra fra olie og flyveaske.</w:t>
      </w:r>
    </w:p>
    <w:p w:rsidR="00AC6F15" w:rsidRPr="00AC6F15" w:rsidRDefault="00AC6F15" w:rsidP="00AC6F15">
      <w:pPr>
        <w:rPr>
          <w:bCs/>
        </w:rPr>
      </w:pPr>
    </w:p>
    <w:p w:rsidR="00AC6F15" w:rsidRPr="00AC6F15" w:rsidRDefault="00AC6F15" w:rsidP="00AC6F15">
      <w:pPr>
        <w:rPr>
          <w:bCs/>
        </w:rPr>
      </w:pPr>
      <w:r w:rsidRPr="00AC6F15">
        <w:rPr>
          <w:bCs/>
        </w:rPr>
        <w:t>Kommunen vil derfor stille vilkår om at værket skal indrette sig som beskrevet i ovenstående punkter, samt stille vilkår om at værket regelmæssigt skal tilse og vedligeholde foranstaltningerne. Resultatet af tilsynene skal føres i journal.</w:t>
      </w:r>
    </w:p>
    <w:p w:rsidR="00AC6F15" w:rsidRPr="00AC6F15" w:rsidRDefault="00AC6F15" w:rsidP="00AC6F15">
      <w:pPr>
        <w:rPr>
          <w:bCs/>
        </w:rPr>
      </w:pPr>
    </w:p>
    <w:p w:rsidR="00AC6F15" w:rsidRPr="00AC6F15" w:rsidRDefault="00AC6F15" w:rsidP="00AC6F15">
      <w:pPr>
        <w:rPr>
          <w:b/>
          <w:bCs/>
        </w:rPr>
      </w:pPr>
      <w:r w:rsidRPr="00AC6F15">
        <w:rPr>
          <w:b/>
          <w:bCs/>
        </w:rPr>
        <w:t>Kommunens vurdering af monitering</w:t>
      </w:r>
    </w:p>
    <w:p w:rsidR="00AC6F15" w:rsidRPr="00AC6F15" w:rsidRDefault="00AC6F15" w:rsidP="00AC6F15">
      <w:pPr>
        <w:rPr>
          <w:bCs/>
        </w:rPr>
      </w:pPr>
      <w:r w:rsidRPr="00AC6F15">
        <w:rPr>
          <w:bCs/>
        </w:rPr>
        <w:t>Kommunen vurderer, at værket skal monitere jord og grundvand for de seks pr</w:t>
      </w:r>
      <w:r w:rsidRPr="00AC6F15">
        <w:rPr>
          <w:bCs/>
        </w:rPr>
        <w:t>o</w:t>
      </w:r>
      <w:r w:rsidRPr="00AC6F15">
        <w:rPr>
          <w:bCs/>
        </w:rPr>
        <w:t>dukter, der udløser kravet om basistilstandsrapporten. Kommunen vurderer des</w:t>
      </w:r>
      <w:r w:rsidRPr="00AC6F15">
        <w:rPr>
          <w:bCs/>
        </w:rPr>
        <w:t>u</w:t>
      </w:r>
      <w:r w:rsidRPr="00AC6F15">
        <w:rPr>
          <w:bCs/>
        </w:rPr>
        <w:t xml:space="preserve">den, at jord og grundvand skal analyseres for de farlige stoffer, som de respektive produkter indeholder. </w:t>
      </w:r>
    </w:p>
    <w:p w:rsidR="00AC6F15" w:rsidRPr="00AC6F15" w:rsidRDefault="00AC6F15" w:rsidP="00AC6F15">
      <w:pPr>
        <w:rPr>
          <w:bCs/>
        </w:rPr>
      </w:pPr>
    </w:p>
    <w:p w:rsidR="00AC6F15" w:rsidRPr="00AC6F15" w:rsidRDefault="00AC6F15" w:rsidP="00AC6F15">
      <w:pPr>
        <w:rPr>
          <w:bCs/>
        </w:rPr>
      </w:pPr>
      <w:r w:rsidRPr="00AC6F15">
        <w:rPr>
          <w:bCs/>
        </w:rPr>
        <w:t>Kommunen stiller ikke krav om at jordprøverne skal tages samme sted hver gang. Kommunen vurderer, at det kan være bedre, at værket fra gang til gang vurderer hvor risikoen for en forurening siden sidst har været størst. Fx på grund af spild eller andre hændelser. Kommunen stiller derfor vilkår om at værket skal foreslå en plan for prøvesteder forud for hver prøvekampagne. Forslaget skal omfatte oply</w:t>
      </w:r>
      <w:r w:rsidRPr="00AC6F15">
        <w:rPr>
          <w:bCs/>
        </w:rPr>
        <w:t>s</w:t>
      </w:r>
      <w:r w:rsidRPr="00AC6F15">
        <w:rPr>
          <w:bCs/>
        </w:rPr>
        <w:t>ning om hvor dybt prøverne skal tages.</w:t>
      </w:r>
    </w:p>
    <w:p w:rsidR="00AC6F15" w:rsidRPr="00AC6F15" w:rsidRDefault="00AC6F15" w:rsidP="00AC6F15">
      <w:pPr>
        <w:rPr>
          <w:bCs/>
        </w:rPr>
      </w:pPr>
    </w:p>
    <w:p w:rsidR="00AC6F15" w:rsidRPr="00AC6F15" w:rsidRDefault="00AC6F15" w:rsidP="00AC6F15">
      <w:pPr>
        <w:rPr>
          <w:bCs/>
        </w:rPr>
      </w:pPr>
      <w:r w:rsidRPr="00AC6F15">
        <w:rPr>
          <w:bCs/>
        </w:rPr>
        <w:t>Foruden de steder, som er foreslået i basistilstandsrapporten, vurderer komm</w:t>
      </w:r>
      <w:r w:rsidRPr="00AC6F15">
        <w:rPr>
          <w:bCs/>
        </w:rPr>
        <w:t>u</w:t>
      </w:r>
      <w:r w:rsidRPr="00AC6F15">
        <w:rPr>
          <w:bCs/>
        </w:rPr>
        <w:t>nen, at værket også skal tage prøver ved kloakker til processpildevand, og olieu</w:t>
      </w:r>
      <w:r w:rsidRPr="00AC6F15">
        <w:rPr>
          <w:bCs/>
        </w:rPr>
        <w:t>d</w:t>
      </w:r>
      <w:r w:rsidRPr="00AC6F15">
        <w:rPr>
          <w:bCs/>
        </w:rPr>
        <w:t>skillere til overfladevand, hvor der samles spild af smøreolie og hydraulikolie. Sla</w:t>
      </w:r>
      <w:r w:rsidRPr="00AC6F15">
        <w:rPr>
          <w:bCs/>
        </w:rPr>
        <w:t>g</w:t>
      </w:r>
      <w:r w:rsidRPr="00AC6F15">
        <w:rPr>
          <w:bCs/>
        </w:rPr>
        <w:t>ge, slam fra rensning af spildevand og farligt affald i øvrigt skal opbevares inde</w:t>
      </w:r>
      <w:r w:rsidRPr="00AC6F15">
        <w:rPr>
          <w:bCs/>
        </w:rPr>
        <w:t>n</w:t>
      </w:r>
      <w:r w:rsidRPr="00AC6F15">
        <w:rPr>
          <w:bCs/>
        </w:rPr>
        <w:t xml:space="preserve">dørs. Da kommunen forventer, at alle gulve er tætte, vurderer vi, at det ikke er nødvendigt tage prøver indendørs.   </w:t>
      </w:r>
    </w:p>
    <w:p w:rsidR="00AC6F15" w:rsidRPr="00AC6F15" w:rsidRDefault="00AC6F15" w:rsidP="00AC6F15">
      <w:pPr>
        <w:rPr>
          <w:bCs/>
        </w:rPr>
      </w:pPr>
    </w:p>
    <w:p w:rsidR="00AC6F15" w:rsidRPr="00AC6F15" w:rsidRDefault="00AD4F8E" w:rsidP="00AC6F15">
      <w:pPr>
        <w:rPr>
          <w:b/>
          <w:bCs/>
          <w:u w:val="single"/>
        </w:rPr>
      </w:pPr>
      <w:r>
        <w:rPr>
          <w:b/>
          <w:bCs/>
          <w:u w:val="single"/>
        </w:rPr>
        <w:t xml:space="preserve">Kommunens </w:t>
      </w:r>
      <w:r w:rsidR="00AC6F15" w:rsidRPr="00AC6F15">
        <w:rPr>
          <w:b/>
          <w:bCs/>
          <w:u w:val="single"/>
        </w:rPr>
        <w:t>afgørelse</w:t>
      </w:r>
    </w:p>
    <w:p w:rsidR="00AC6F15" w:rsidRPr="00AC6F15" w:rsidRDefault="00AC6F15" w:rsidP="00AC6F15">
      <w:pPr>
        <w:rPr>
          <w:bCs/>
        </w:rPr>
      </w:pPr>
      <w:r w:rsidRPr="00AC6F15">
        <w:rPr>
          <w:bCs/>
        </w:rPr>
        <w:t>Med hjemmel i mil</w:t>
      </w:r>
      <w:r w:rsidR="00AD4F8E">
        <w:rPr>
          <w:bCs/>
        </w:rPr>
        <w:t>jøbeskyttelsesloven</w:t>
      </w:r>
      <w:proofErr w:type="gramStart"/>
      <w:r w:rsidR="00AD4F8E">
        <w:rPr>
          <w:bCs/>
        </w:rPr>
        <w:t xml:space="preserve"> §72</w:t>
      </w:r>
      <w:proofErr w:type="gramEnd"/>
      <w:r w:rsidR="00AD4F8E">
        <w:rPr>
          <w:bCs/>
        </w:rPr>
        <w:t xml:space="preserve"> meddeler</w:t>
      </w:r>
      <w:r w:rsidRPr="00AC6F15">
        <w:rPr>
          <w:bCs/>
        </w:rPr>
        <w:t xml:space="preserve"> Helsingør Kommune følge</w:t>
      </w:r>
      <w:r w:rsidRPr="00AC6F15">
        <w:rPr>
          <w:bCs/>
        </w:rPr>
        <w:t>n</w:t>
      </w:r>
      <w:r w:rsidRPr="00AC6F15">
        <w:rPr>
          <w:bCs/>
        </w:rPr>
        <w:t>de ændringer af miljøgodkendelsen fra juli 2015. (Vilkår 55a er dog efter</w:t>
      </w:r>
      <w:proofErr w:type="gramStart"/>
      <w:r w:rsidRPr="00AC6F15">
        <w:rPr>
          <w:bCs/>
        </w:rPr>
        <w:t xml:space="preserve"> §41</w:t>
      </w:r>
      <w:proofErr w:type="gramEnd"/>
      <w:r w:rsidRPr="00AC6F15">
        <w:rPr>
          <w:bCs/>
        </w:rPr>
        <w:t>):</w:t>
      </w:r>
    </w:p>
    <w:p w:rsidR="00AC6F15" w:rsidRPr="00AC6F15" w:rsidRDefault="00AC6F15" w:rsidP="00AC6F15">
      <w:pPr>
        <w:rPr>
          <w:bCs/>
        </w:rPr>
      </w:pPr>
    </w:p>
    <w:p w:rsidR="00AC6F15" w:rsidRPr="00AC6F15" w:rsidRDefault="00AC6F15" w:rsidP="00AC6F15">
      <w:pPr>
        <w:rPr>
          <w:b/>
          <w:bCs/>
        </w:rPr>
      </w:pPr>
      <w:r w:rsidRPr="00AC6F15">
        <w:rPr>
          <w:b/>
          <w:bCs/>
        </w:rPr>
        <w:t>Emission til luft</w:t>
      </w:r>
    </w:p>
    <w:p w:rsidR="00AC6F15" w:rsidRPr="00AC6F15" w:rsidRDefault="00AC6F15" w:rsidP="00AD4F8E">
      <w:pPr>
        <w:ind w:left="851" w:hanging="851"/>
        <w:rPr>
          <w:bCs/>
        </w:rPr>
      </w:pPr>
      <w:r w:rsidRPr="00AC6F15">
        <w:rPr>
          <w:bCs/>
        </w:rPr>
        <w:t>Nyt 11a</w:t>
      </w:r>
      <w:r w:rsidRPr="00AC6F15">
        <w:rPr>
          <w:bCs/>
        </w:rPr>
        <w:tab/>
        <w:t>Måling af vandindholdet ikke er nødvendig hvis prøven tørres inden ga</w:t>
      </w:r>
      <w:r w:rsidRPr="00AC6F15">
        <w:rPr>
          <w:bCs/>
        </w:rPr>
        <w:t>s</w:t>
      </w:r>
      <w:r w:rsidRPr="00AC6F15">
        <w:rPr>
          <w:bCs/>
        </w:rPr>
        <w:t>sen analyseres.</w:t>
      </w:r>
    </w:p>
    <w:p w:rsidR="00AC6F15" w:rsidRPr="00AC6F15" w:rsidRDefault="00AC6F15" w:rsidP="00AC6F15">
      <w:pPr>
        <w:rPr>
          <w:bCs/>
        </w:rPr>
      </w:pPr>
    </w:p>
    <w:p w:rsidR="00AC6F15" w:rsidRPr="00AC6F15" w:rsidRDefault="00AC6F15" w:rsidP="00AD4F8E">
      <w:pPr>
        <w:ind w:left="851" w:hanging="851"/>
        <w:rPr>
          <w:bCs/>
        </w:rPr>
      </w:pPr>
      <w:r w:rsidRPr="00AC6F15">
        <w:rPr>
          <w:bCs/>
        </w:rPr>
        <w:t>Nyt 11b</w:t>
      </w:r>
      <w:r w:rsidRPr="00AC6F15">
        <w:rPr>
          <w:bCs/>
        </w:rPr>
        <w:tab/>
        <w:t>For at sikre, at måleresultaterne er gode nok, må målingernes samlede usikkerhed højst være:</w:t>
      </w:r>
    </w:p>
    <w:p w:rsidR="00AC6F15" w:rsidRPr="00AC6F15" w:rsidRDefault="00AC6F15" w:rsidP="00AD4F8E">
      <w:pPr>
        <w:numPr>
          <w:ilvl w:val="0"/>
          <w:numId w:val="5"/>
        </w:numPr>
        <w:ind w:firstLine="131"/>
        <w:rPr>
          <w:bCs/>
          <w:lang w:bidi="da-DK"/>
        </w:rPr>
      </w:pPr>
      <w:proofErr w:type="spellStart"/>
      <w:r w:rsidRPr="00AC6F15">
        <w:rPr>
          <w:bCs/>
          <w:lang w:bidi="da-DK"/>
        </w:rPr>
        <w:t>NO</w:t>
      </w:r>
      <w:r w:rsidRPr="00AC6F15">
        <w:rPr>
          <w:bCs/>
          <w:vertAlign w:val="subscript"/>
          <w:lang w:bidi="da-DK"/>
        </w:rPr>
        <w:t>x</w:t>
      </w:r>
      <w:proofErr w:type="spellEnd"/>
      <w:r w:rsidRPr="00AC6F15">
        <w:rPr>
          <w:bCs/>
          <w:lang w:bidi="da-DK"/>
        </w:rPr>
        <w:t>: 30 mg/m</w:t>
      </w:r>
      <w:r w:rsidRPr="00AC6F15">
        <w:rPr>
          <w:bCs/>
          <w:vertAlign w:val="superscript"/>
          <w:lang w:bidi="da-DK"/>
        </w:rPr>
        <w:t>3</w:t>
      </w:r>
      <w:r w:rsidRPr="00AC6F15">
        <w:rPr>
          <w:bCs/>
          <w:lang w:bidi="da-DK"/>
        </w:rPr>
        <w:t>(ref.)</w:t>
      </w:r>
    </w:p>
    <w:p w:rsidR="00AC6F15" w:rsidRPr="00AC6F15" w:rsidRDefault="00AC6F15" w:rsidP="00AD4F8E">
      <w:pPr>
        <w:numPr>
          <w:ilvl w:val="0"/>
          <w:numId w:val="5"/>
        </w:numPr>
        <w:ind w:firstLine="131"/>
        <w:rPr>
          <w:bCs/>
          <w:lang w:bidi="da-DK"/>
        </w:rPr>
      </w:pPr>
      <w:r w:rsidRPr="00AC6F15">
        <w:rPr>
          <w:bCs/>
          <w:lang w:bidi="da-DK"/>
        </w:rPr>
        <w:t>CO: 5 mg/m</w:t>
      </w:r>
      <w:r w:rsidRPr="00AC6F15">
        <w:rPr>
          <w:bCs/>
          <w:vertAlign w:val="superscript"/>
          <w:lang w:bidi="da-DK"/>
        </w:rPr>
        <w:t>3</w:t>
      </w:r>
      <w:r w:rsidRPr="00AC6F15">
        <w:rPr>
          <w:bCs/>
          <w:lang w:bidi="da-DK"/>
        </w:rPr>
        <w:t>(ref.)</w:t>
      </w:r>
    </w:p>
    <w:p w:rsidR="00AC6F15" w:rsidRPr="00AC6F15" w:rsidRDefault="00AC6F15" w:rsidP="00AD4F8E">
      <w:pPr>
        <w:numPr>
          <w:ilvl w:val="0"/>
          <w:numId w:val="5"/>
        </w:numPr>
        <w:ind w:firstLine="131"/>
        <w:rPr>
          <w:bCs/>
          <w:lang w:bidi="da-DK"/>
        </w:rPr>
      </w:pPr>
      <w:r w:rsidRPr="00AC6F15">
        <w:rPr>
          <w:bCs/>
          <w:lang w:bidi="da-DK"/>
        </w:rPr>
        <w:t>SO</w:t>
      </w:r>
      <w:r w:rsidRPr="00AC6F15">
        <w:rPr>
          <w:bCs/>
          <w:vertAlign w:val="subscript"/>
          <w:lang w:bidi="da-DK"/>
        </w:rPr>
        <w:t>2</w:t>
      </w:r>
      <w:r w:rsidRPr="00AC6F15">
        <w:rPr>
          <w:bCs/>
          <w:lang w:bidi="da-DK"/>
        </w:rPr>
        <w:t>: 5 mg/m</w:t>
      </w:r>
      <w:r w:rsidRPr="00AC6F15">
        <w:rPr>
          <w:bCs/>
          <w:vertAlign w:val="superscript"/>
          <w:lang w:bidi="da-DK"/>
        </w:rPr>
        <w:t>3</w:t>
      </w:r>
      <w:r w:rsidRPr="00AC6F15">
        <w:rPr>
          <w:bCs/>
          <w:lang w:bidi="da-DK"/>
        </w:rPr>
        <w:t>(ref.)</w:t>
      </w:r>
    </w:p>
    <w:p w:rsidR="00AC6F15" w:rsidRPr="00AC6F15" w:rsidRDefault="00AC6F15" w:rsidP="00AD4F8E">
      <w:pPr>
        <w:numPr>
          <w:ilvl w:val="0"/>
          <w:numId w:val="5"/>
        </w:numPr>
        <w:ind w:firstLine="131"/>
        <w:rPr>
          <w:bCs/>
          <w:lang w:bidi="da-DK"/>
        </w:rPr>
      </w:pPr>
      <w:r w:rsidRPr="00AC6F15">
        <w:rPr>
          <w:bCs/>
          <w:lang w:bidi="da-DK"/>
        </w:rPr>
        <w:t>NH</w:t>
      </w:r>
      <w:r w:rsidRPr="00AC6F15">
        <w:rPr>
          <w:bCs/>
          <w:vertAlign w:val="subscript"/>
          <w:lang w:bidi="da-DK"/>
        </w:rPr>
        <w:t>3</w:t>
      </w:r>
      <w:r w:rsidRPr="00AC6F15">
        <w:rPr>
          <w:bCs/>
          <w:lang w:bidi="da-DK"/>
        </w:rPr>
        <w:t>: 4 mg/m</w:t>
      </w:r>
      <w:r w:rsidRPr="00AC6F15">
        <w:rPr>
          <w:bCs/>
          <w:vertAlign w:val="superscript"/>
          <w:lang w:bidi="da-DK"/>
        </w:rPr>
        <w:t>3</w:t>
      </w:r>
      <w:r w:rsidRPr="00AC6F15">
        <w:rPr>
          <w:bCs/>
          <w:lang w:bidi="da-DK"/>
        </w:rPr>
        <w:t>(ref.)</w:t>
      </w:r>
    </w:p>
    <w:p w:rsidR="00AC6F15" w:rsidRPr="00AC6F15" w:rsidRDefault="00AC6F15" w:rsidP="00AD4F8E">
      <w:pPr>
        <w:numPr>
          <w:ilvl w:val="0"/>
          <w:numId w:val="5"/>
        </w:numPr>
        <w:ind w:firstLine="131"/>
        <w:rPr>
          <w:bCs/>
          <w:lang w:bidi="da-DK"/>
        </w:rPr>
      </w:pPr>
      <w:proofErr w:type="spellStart"/>
      <w:r w:rsidRPr="00AC6F15">
        <w:rPr>
          <w:bCs/>
          <w:lang w:bidi="da-DK"/>
        </w:rPr>
        <w:t>HCl</w:t>
      </w:r>
      <w:proofErr w:type="spellEnd"/>
      <w:r w:rsidRPr="00AC6F15">
        <w:rPr>
          <w:bCs/>
          <w:lang w:bidi="da-DK"/>
        </w:rPr>
        <w:t>: 2 mg/m</w:t>
      </w:r>
      <w:r w:rsidRPr="00AC6F15">
        <w:rPr>
          <w:bCs/>
          <w:vertAlign w:val="superscript"/>
          <w:lang w:bidi="da-DK"/>
        </w:rPr>
        <w:t>3</w:t>
      </w:r>
      <w:r w:rsidRPr="00AC6F15">
        <w:rPr>
          <w:bCs/>
          <w:lang w:bidi="da-DK"/>
        </w:rPr>
        <w:t>(ref.)</w:t>
      </w:r>
    </w:p>
    <w:p w:rsidR="00AC6F15" w:rsidRPr="00AC6F15" w:rsidRDefault="00AC6F15" w:rsidP="00AD4F8E">
      <w:pPr>
        <w:numPr>
          <w:ilvl w:val="0"/>
          <w:numId w:val="5"/>
        </w:numPr>
        <w:ind w:firstLine="131"/>
        <w:rPr>
          <w:bCs/>
          <w:lang w:bidi="da-DK"/>
        </w:rPr>
      </w:pPr>
      <w:r w:rsidRPr="00AC6F15">
        <w:rPr>
          <w:bCs/>
          <w:lang w:bidi="da-DK"/>
        </w:rPr>
        <w:t>Støv: 6 mg/m</w:t>
      </w:r>
      <w:r w:rsidRPr="00AC6F15">
        <w:rPr>
          <w:bCs/>
          <w:vertAlign w:val="superscript"/>
          <w:lang w:bidi="da-DK"/>
        </w:rPr>
        <w:t>3</w:t>
      </w:r>
      <w:r w:rsidRPr="00AC6F15">
        <w:rPr>
          <w:bCs/>
          <w:lang w:bidi="da-DK"/>
        </w:rPr>
        <w:t>(ref.)</w:t>
      </w:r>
    </w:p>
    <w:p w:rsidR="00AC6F15" w:rsidRPr="00AC6F15" w:rsidRDefault="00AC6F15" w:rsidP="00AC6F15">
      <w:pPr>
        <w:rPr>
          <w:bCs/>
          <w:lang w:bidi="da-DK"/>
        </w:rPr>
      </w:pPr>
    </w:p>
    <w:p w:rsidR="00AC6F15" w:rsidRPr="00AC6F15" w:rsidRDefault="00AC6F15" w:rsidP="00AD4F8E">
      <w:pPr>
        <w:ind w:left="720"/>
        <w:rPr>
          <w:bCs/>
          <w:lang w:bidi="da-DK"/>
        </w:rPr>
      </w:pPr>
      <w:r w:rsidRPr="00AC6F15">
        <w:rPr>
          <w:bCs/>
          <w:lang w:bidi="da-DK"/>
        </w:rPr>
        <w:t>Denne usikkerhed består af tre dele: Instrumentets usikkerhed, usikkerhed fra målestedet og usikkerhed fra de perifere parametre (temperatur, ilt, mm.)</w:t>
      </w:r>
    </w:p>
    <w:p w:rsidR="00AC6F15" w:rsidRPr="00AC6F15" w:rsidRDefault="00AC6F15" w:rsidP="00AC6F15">
      <w:pPr>
        <w:rPr>
          <w:bCs/>
        </w:rPr>
      </w:pPr>
    </w:p>
    <w:p w:rsidR="00AC6F15" w:rsidRPr="00AC6F15" w:rsidRDefault="00AC6F15" w:rsidP="00AC6F15">
      <w:pPr>
        <w:rPr>
          <w:bCs/>
        </w:rPr>
      </w:pPr>
      <w:r w:rsidRPr="00AC6F15">
        <w:rPr>
          <w:bCs/>
        </w:rPr>
        <w:t>Vilkår 12</w:t>
      </w:r>
      <w:r w:rsidRPr="00AC6F15">
        <w:rPr>
          <w:bCs/>
        </w:rPr>
        <w:tab/>
        <w:t>Udgår</w:t>
      </w:r>
      <w:r w:rsidRPr="00AC6F15">
        <w:rPr>
          <w:bCs/>
        </w:rPr>
        <w:tab/>
      </w:r>
    </w:p>
    <w:p w:rsidR="00AC6F15" w:rsidRPr="00AC6F15" w:rsidRDefault="00AC6F15" w:rsidP="00AC6F15">
      <w:pPr>
        <w:rPr>
          <w:bCs/>
          <w:lang w:bidi="da-DK"/>
        </w:rPr>
      </w:pPr>
    </w:p>
    <w:p w:rsidR="00AC6F15" w:rsidRPr="00AC6F15" w:rsidRDefault="00AC6F15" w:rsidP="00AD4F8E">
      <w:pPr>
        <w:ind w:left="851" w:hanging="851"/>
        <w:rPr>
          <w:bCs/>
          <w:lang w:bidi="da-DK"/>
        </w:rPr>
      </w:pPr>
      <w:r w:rsidRPr="00AC6F15">
        <w:rPr>
          <w:bCs/>
          <w:lang w:bidi="da-DK"/>
        </w:rPr>
        <w:lastRenderedPageBreak/>
        <w:t>Nyt 12a</w:t>
      </w:r>
      <w:r w:rsidRPr="00AC6F15">
        <w:rPr>
          <w:bCs/>
          <w:lang w:bidi="da-DK"/>
        </w:rPr>
        <w:tab/>
        <w:t xml:space="preserve">For at vise, at grænserne for emission til luft i vilkår 10 for </w:t>
      </w:r>
      <w:proofErr w:type="spellStart"/>
      <w:r w:rsidRPr="00AC6F15">
        <w:rPr>
          <w:bCs/>
          <w:lang w:bidi="da-DK"/>
        </w:rPr>
        <w:t>NO</w:t>
      </w:r>
      <w:r w:rsidRPr="00AC6F15">
        <w:rPr>
          <w:bCs/>
          <w:vertAlign w:val="subscript"/>
          <w:lang w:bidi="da-DK"/>
        </w:rPr>
        <w:t>x</w:t>
      </w:r>
      <w:proofErr w:type="spellEnd"/>
      <w:r w:rsidRPr="00AC6F15">
        <w:rPr>
          <w:bCs/>
          <w:lang w:bidi="da-DK"/>
        </w:rPr>
        <w:t>, NH</w:t>
      </w:r>
      <w:r w:rsidRPr="00AC6F15">
        <w:rPr>
          <w:bCs/>
          <w:vertAlign w:val="subscript"/>
          <w:lang w:bidi="da-DK"/>
        </w:rPr>
        <w:t>3</w:t>
      </w:r>
      <w:r w:rsidRPr="00AC6F15">
        <w:rPr>
          <w:bCs/>
          <w:lang w:bidi="da-DK"/>
        </w:rPr>
        <w:t>, CO, SO</w:t>
      </w:r>
      <w:r w:rsidRPr="00AC6F15">
        <w:rPr>
          <w:bCs/>
          <w:vertAlign w:val="subscript"/>
          <w:lang w:bidi="da-DK"/>
        </w:rPr>
        <w:t>2</w:t>
      </w:r>
      <w:r w:rsidRPr="00AC6F15">
        <w:rPr>
          <w:bCs/>
          <w:lang w:bidi="da-DK"/>
        </w:rPr>
        <w:t xml:space="preserve">, </w:t>
      </w:r>
      <w:proofErr w:type="spellStart"/>
      <w:r w:rsidRPr="00AC6F15">
        <w:rPr>
          <w:bCs/>
          <w:lang w:bidi="da-DK"/>
        </w:rPr>
        <w:t>HCl</w:t>
      </w:r>
      <w:proofErr w:type="spellEnd"/>
      <w:r w:rsidRPr="00AC6F15">
        <w:rPr>
          <w:bCs/>
          <w:lang w:bidi="da-DK"/>
        </w:rPr>
        <w:t xml:space="preserve"> og støv er overholdt, skal værket en gang om året regne på de målte timemiddelværdier som beskrevet i MEL 16. </w:t>
      </w:r>
    </w:p>
    <w:p w:rsidR="00AC6F15" w:rsidRPr="00AC6F15" w:rsidRDefault="00AC6F15" w:rsidP="00AC6F15">
      <w:pPr>
        <w:rPr>
          <w:bCs/>
          <w:lang w:bidi="da-DK"/>
        </w:rPr>
      </w:pPr>
    </w:p>
    <w:p w:rsidR="00AC6F15" w:rsidRPr="00AC6F15" w:rsidRDefault="00AC6F15" w:rsidP="00AD4F8E">
      <w:pPr>
        <w:ind w:firstLine="851"/>
        <w:rPr>
          <w:bCs/>
          <w:lang w:bidi="da-DK"/>
        </w:rPr>
      </w:pPr>
      <w:r w:rsidRPr="00AC6F15">
        <w:rPr>
          <w:bCs/>
          <w:lang w:bidi="da-DK"/>
        </w:rPr>
        <w:t>Grænserne er overholdt når alle følgende krav er opfyldt:</w:t>
      </w:r>
    </w:p>
    <w:p w:rsidR="00AC6F15" w:rsidRPr="00AC6F15" w:rsidRDefault="00AC6F15" w:rsidP="00AC6F15">
      <w:pPr>
        <w:numPr>
          <w:ilvl w:val="0"/>
          <w:numId w:val="3"/>
        </w:numPr>
        <w:rPr>
          <w:bCs/>
          <w:lang w:bidi="da-DK"/>
        </w:rPr>
      </w:pPr>
      <w:r w:rsidRPr="00AC6F15">
        <w:rPr>
          <w:bCs/>
          <w:lang w:bidi="da-DK"/>
        </w:rPr>
        <w:t>Alle validerede månedsmiddelværdier overholder de relevante grænser.</w:t>
      </w:r>
    </w:p>
    <w:p w:rsidR="00AC6F15" w:rsidRPr="00AC6F15" w:rsidRDefault="00AC6F15" w:rsidP="00AC6F15">
      <w:pPr>
        <w:numPr>
          <w:ilvl w:val="0"/>
          <w:numId w:val="3"/>
        </w:numPr>
        <w:rPr>
          <w:bCs/>
          <w:lang w:bidi="da-DK"/>
        </w:rPr>
      </w:pPr>
      <w:r w:rsidRPr="00AC6F15">
        <w:rPr>
          <w:bCs/>
          <w:lang w:bidi="da-DK"/>
        </w:rPr>
        <w:t>Alle validerede døgnmiddelværdier overholder 110 % af de r</w:t>
      </w:r>
      <w:r w:rsidRPr="00AC6F15">
        <w:rPr>
          <w:bCs/>
          <w:lang w:bidi="da-DK"/>
        </w:rPr>
        <w:t>e</w:t>
      </w:r>
      <w:r w:rsidRPr="00AC6F15">
        <w:rPr>
          <w:bCs/>
          <w:lang w:bidi="da-DK"/>
        </w:rPr>
        <w:t>levante emissionsgrænser.</w:t>
      </w:r>
    </w:p>
    <w:p w:rsidR="00AC6F15" w:rsidRPr="00AC6F15" w:rsidRDefault="00AC6F15" w:rsidP="00AC6F15">
      <w:pPr>
        <w:numPr>
          <w:ilvl w:val="0"/>
          <w:numId w:val="3"/>
        </w:numPr>
        <w:rPr>
          <w:bCs/>
          <w:lang w:bidi="da-DK"/>
        </w:rPr>
      </w:pPr>
      <w:proofErr w:type="gramStart"/>
      <w:r w:rsidRPr="00AC6F15">
        <w:rPr>
          <w:bCs/>
          <w:lang w:bidi="da-DK"/>
        </w:rPr>
        <w:t>95%</w:t>
      </w:r>
      <w:proofErr w:type="gramEnd"/>
      <w:r w:rsidRPr="00AC6F15">
        <w:rPr>
          <w:bCs/>
          <w:lang w:bidi="da-DK"/>
        </w:rPr>
        <w:t xml:space="preserve"> af de validerede timemiddelværdier overholder 200 % af de relevante emissionsgrænser.</w:t>
      </w:r>
    </w:p>
    <w:p w:rsidR="00AC6F15" w:rsidRPr="00AC6F15" w:rsidRDefault="00AC6F15" w:rsidP="00AC6F15">
      <w:pPr>
        <w:rPr>
          <w:bCs/>
          <w:lang w:bidi="da-DK"/>
        </w:rPr>
      </w:pPr>
    </w:p>
    <w:p w:rsidR="00AC6F15" w:rsidRPr="00AC6F15" w:rsidRDefault="00AC6F15" w:rsidP="00AD4F8E">
      <w:pPr>
        <w:ind w:left="851"/>
        <w:rPr>
          <w:bCs/>
          <w:lang w:bidi="da-DK"/>
        </w:rPr>
      </w:pPr>
      <w:r w:rsidRPr="00AC6F15">
        <w:rPr>
          <w:bCs/>
          <w:lang w:bidi="da-DK"/>
        </w:rPr>
        <w:t>Værket skal registrere og bearbejde data samt samle dem i en rapport jf. MEL16, der viser, at driftsvilkårene og grænserne for emission er ove</w:t>
      </w:r>
      <w:r w:rsidRPr="00AC6F15">
        <w:rPr>
          <w:bCs/>
          <w:lang w:bidi="da-DK"/>
        </w:rPr>
        <w:t>r</w:t>
      </w:r>
      <w:r w:rsidRPr="00AC6F15">
        <w:rPr>
          <w:bCs/>
          <w:lang w:bidi="da-DK"/>
        </w:rPr>
        <w:t>holdt. Værket skal sende rapporten til kommunen inden 1. februar hvert år.</w:t>
      </w:r>
    </w:p>
    <w:p w:rsidR="00AC6F15" w:rsidRPr="00AC6F15" w:rsidRDefault="00AC6F15" w:rsidP="00AC6F15">
      <w:pPr>
        <w:rPr>
          <w:bCs/>
          <w:lang w:bidi="da-DK"/>
        </w:rPr>
      </w:pPr>
    </w:p>
    <w:p w:rsidR="00AC6F15" w:rsidRPr="00AC6F15" w:rsidRDefault="00AD4F8E" w:rsidP="00AD4F8E">
      <w:pPr>
        <w:tabs>
          <w:tab w:val="left" w:pos="851"/>
        </w:tabs>
        <w:rPr>
          <w:bCs/>
          <w:lang w:bidi="da-DK"/>
        </w:rPr>
      </w:pPr>
      <w:r>
        <w:rPr>
          <w:bCs/>
          <w:lang w:bidi="da-DK"/>
        </w:rPr>
        <w:t>Vilkår 15:</w:t>
      </w:r>
      <w:r>
        <w:rPr>
          <w:bCs/>
          <w:lang w:bidi="da-DK"/>
        </w:rPr>
        <w:tab/>
      </w:r>
      <w:r w:rsidR="00AC6F15" w:rsidRPr="00AC6F15">
        <w:rPr>
          <w:bCs/>
          <w:lang w:bidi="da-DK"/>
        </w:rPr>
        <w:t>Udgår.</w:t>
      </w:r>
    </w:p>
    <w:p w:rsidR="00AC6F15" w:rsidRPr="00AC6F15" w:rsidRDefault="00AC6F15" w:rsidP="00AC6F15">
      <w:pPr>
        <w:rPr>
          <w:bCs/>
          <w:lang w:bidi="da-DK"/>
        </w:rPr>
      </w:pPr>
    </w:p>
    <w:p w:rsidR="00AC6F15" w:rsidRPr="00AC6F15" w:rsidRDefault="00AC6F15" w:rsidP="00AD4F8E">
      <w:pPr>
        <w:tabs>
          <w:tab w:val="left" w:pos="851"/>
        </w:tabs>
        <w:ind w:left="851" w:hanging="851"/>
        <w:rPr>
          <w:bCs/>
          <w:lang w:bidi="da-DK"/>
        </w:rPr>
      </w:pPr>
      <w:r w:rsidRPr="00AC6F15">
        <w:rPr>
          <w:bCs/>
          <w:lang w:bidi="da-DK"/>
        </w:rPr>
        <w:t>Nyt 15a</w:t>
      </w:r>
      <w:r w:rsidRPr="00AC6F15">
        <w:rPr>
          <w:bCs/>
          <w:lang w:bidi="da-DK"/>
        </w:rPr>
        <w:tab/>
        <w:t xml:space="preserve">For at sikre, at de kontinuerte målere til </w:t>
      </w:r>
      <w:proofErr w:type="spellStart"/>
      <w:r w:rsidRPr="00AC6F15">
        <w:rPr>
          <w:bCs/>
          <w:lang w:bidi="da-DK"/>
        </w:rPr>
        <w:t>NO</w:t>
      </w:r>
      <w:r w:rsidRPr="00AC6F15">
        <w:rPr>
          <w:bCs/>
          <w:vertAlign w:val="subscript"/>
          <w:lang w:bidi="da-DK"/>
        </w:rPr>
        <w:t>x</w:t>
      </w:r>
      <w:proofErr w:type="spellEnd"/>
      <w:r w:rsidRPr="00AC6F15">
        <w:rPr>
          <w:bCs/>
          <w:lang w:bidi="da-DK"/>
        </w:rPr>
        <w:t>, NH</w:t>
      </w:r>
      <w:r w:rsidRPr="00AC6F15">
        <w:rPr>
          <w:bCs/>
          <w:vertAlign w:val="subscript"/>
          <w:lang w:bidi="da-DK"/>
        </w:rPr>
        <w:t>3</w:t>
      </w:r>
      <w:r w:rsidRPr="00AC6F15">
        <w:rPr>
          <w:bCs/>
          <w:lang w:bidi="da-DK"/>
        </w:rPr>
        <w:t>, CO, SO</w:t>
      </w:r>
      <w:r w:rsidRPr="00AC6F15">
        <w:rPr>
          <w:bCs/>
          <w:vertAlign w:val="subscript"/>
          <w:lang w:bidi="da-DK"/>
        </w:rPr>
        <w:t>2</w:t>
      </w:r>
      <w:r w:rsidRPr="00AC6F15">
        <w:rPr>
          <w:bCs/>
          <w:lang w:bidi="da-DK"/>
        </w:rPr>
        <w:t xml:space="preserve">, </w:t>
      </w:r>
      <w:proofErr w:type="spellStart"/>
      <w:r w:rsidRPr="00AC6F15">
        <w:rPr>
          <w:bCs/>
          <w:lang w:bidi="da-DK"/>
        </w:rPr>
        <w:t>HCl</w:t>
      </w:r>
      <w:proofErr w:type="spellEnd"/>
      <w:r w:rsidRPr="00AC6F15">
        <w:rPr>
          <w:bCs/>
          <w:lang w:bidi="da-DK"/>
        </w:rPr>
        <w:t xml:space="preserve"> og støv enhver tid fungerer optimalt, skal værket kontrollere, kalibrere og justere målerne i henhold til EN </w:t>
      </w:r>
      <w:proofErr w:type="gramStart"/>
      <w:r w:rsidRPr="00AC6F15">
        <w:rPr>
          <w:bCs/>
          <w:lang w:bidi="da-DK"/>
        </w:rPr>
        <w:t>14181</w:t>
      </w:r>
      <w:proofErr w:type="gramEnd"/>
      <w:r w:rsidRPr="00AC6F15">
        <w:rPr>
          <w:bCs/>
          <w:lang w:bidi="da-DK"/>
        </w:rPr>
        <w:t xml:space="preserve"> og metodeblad MEL-16.</w:t>
      </w:r>
    </w:p>
    <w:p w:rsidR="00AC6F15" w:rsidRPr="00AC6F15" w:rsidRDefault="00AC6F15" w:rsidP="00AC6F15">
      <w:pPr>
        <w:rPr>
          <w:bCs/>
          <w:lang w:bidi="da-DK"/>
        </w:rPr>
      </w:pPr>
    </w:p>
    <w:p w:rsidR="00AC6F15" w:rsidRPr="00AC6F15" w:rsidRDefault="00AC6F15" w:rsidP="00AD4F8E">
      <w:pPr>
        <w:ind w:left="851"/>
        <w:rPr>
          <w:bCs/>
          <w:lang w:bidi="da-DK"/>
        </w:rPr>
      </w:pPr>
      <w:r w:rsidRPr="00AC6F15">
        <w:rPr>
          <w:bCs/>
          <w:lang w:bidi="da-DK"/>
        </w:rPr>
        <w:t>Det betyder, at ved indkøb af alle nye instrumenter skal værket skal ge</w:t>
      </w:r>
      <w:r w:rsidRPr="00AC6F15">
        <w:rPr>
          <w:bCs/>
          <w:lang w:bidi="da-DK"/>
        </w:rPr>
        <w:t>n</w:t>
      </w:r>
      <w:r w:rsidRPr="00AC6F15">
        <w:rPr>
          <w:bCs/>
          <w:lang w:bidi="da-DK"/>
        </w:rPr>
        <w:t xml:space="preserve">nemføre en QAL1 eller vælge et instrument med certifikat efter EN </w:t>
      </w:r>
      <w:proofErr w:type="gramStart"/>
      <w:r w:rsidRPr="00AC6F15">
        <w:rPr>
          <w:bCs/>
          <w:lang w:bidi="da-DK"/>
        </w:rPr>
        <w:t>15267</w:t>
      </w:r>
      <w:proofErr w:type="gramEnd"/>
      <w:r w:rsidRPr="00AC6F15">
        <w:rPr>
          <w:bCs/>
          <w:lang w:bidi="da-DK"/>
        </w:rPr>
        <w:t xml:space="preserve"> for at vise, at de måler nøjagtigt og præcist nok. Rapporten eller certifikat skal sendes til kommunen inden instrumentet leveres.</w:t>
      </w:r>
    </w:p>
    <w:p w:rsidR="00AC6F15" w:rsidRPr="00AC6F15" w:rsidRDefault="00AC6F15" w:rsidP="00AD4F8E">
      <w:pPr>
        <w:ind w:left="851"/>
        <w:rPr>
          <w:bCs/>
          <w:lang w:bidi="da-DK"/>
        </w:rPr>
      </w:pPr>
    </w:p>
    <w:p w:rsidR="00AC6F15" w:rsidRPr="00AC6F15" w:rsidRDefault="00AC6F15" w:rsidP="00AD4F8E">
      <w:pPr>
        <w:ind w:left="851"/>
        <w:rPr>
          <w:bCs/>
          <w:lang w:bidi="da-DK"/>
        </w:rPr>
      </w:pPr>
      <w:r w:rsidRPr="00AC6F15">
        <w:rPr>
          <w:bCs/>
          <w:lang w:bidi="da-DK"/>
        </w:rPr>
        <w:t>Desuden skal værket mindst hvert femte år gennemføre en QAL2 hvor blandt andet målernes almindelige funktioner tjekkes og kalibreringsku</w:t>
      </w:r>
      <w:r w:rsidRPr="00AC6F15">
        <w:rPr>
          <w:bCs/>
          <w:lang w:bidi="da-DK"/>
        </w:rPr>
        <w:t>r</w:t>
      </w:r>
      <w:r w:rsidRPr="00AC6F15">
        <w:rPr>
          <w:bCs/>
          <w:lang w:bidi="da-DK"/>
        </w:rPr>
        <w:t>ven fastlægges. Rapporten skal sendes til kommunen højst en måned e</w:t>
      </w:r>
      <w:r w:rsidRPr="00AC6F15">
        <w:rPr>
          <w:bCs/>
          <w:lang w:bidi="da-DK"/>
        </w:rPr>
        <w:t>f</w:t>
      </w:r>
      <w:r w:rsidRPr="00AC6F15">
        <w:rPr>
          <w:bCs/>
          <w:lang w:bidi="da-DK"/>
        </w:rPr>
        <w:t xml:space="preserve">ter den er gennemført. </w:t>
      </w:r>
    </w:p>
    <w:p w:rsidR="00AC6F15" w:rsidRPr="00AC6F15" w:rsidRDefault="00AC6F15" w:rsidP="00AD4F8E">
      <w:pPr>
        <w:ind w:left="851"/>
        <w:rPr>
          <w:bCs/>
          <w:lang w:bidi="da-DK"/>
        </w:rPr>
      </w:pPr>
    </w:p>
    <w:p w:rsidR="00AC6F15" w:rsidRPr="00AC6F15" w:rsidRDefault="00AC6F15" w:rsidP="00AD4F8E">
      <w:pPr>
        <w:ind w:left="851"/>
        <w:rPr>
          <w:bCs/>
          <w:lang w:bidi="da-DK"/>
        </w:rPr>
      </w:pPr>
      <w:r w:rsidRPr="00AC6F15">
        <w:rPr>
          <w:bCs/>
          <w:lang w:bidi="da-DK"/>
        </w:rPr>
        <w:t>De år, hvor værket ikke skal gennemføre QAL2, skal værket gennemføre AST (</w:t>
      </w:r>
      <w:proofErr w:type="spellStart"/>
      <w:r w:rsidRPr="00AC6F15">
        <w:rPr>
          <w:bCs/>
          <w:lang w:bidi="da-DK"/>
        </w:rPr>
        <w:t>Annual</w:t>
      </w:r>
      <w:proofErr w:type="spellEnd"/>
      <w:r w:rsidRPr="00AC6F15">
        <w:rPr>
          <w:bCs/>
          <w:lang w:bidi="da-DK"/>
        </w:rPr>
        <w:t xml:space="preserve"> </w:t>
      </w:r>
      <w:proofErr w:type="spellStart"/>
      <w:r w:rsidRPr="00AC6F15">
        <w:rPr>
          <w:bCs/>
          <w:lang w:bidi="da-DK"/>
        </w:rPr>
        <w:t>Surveilance</w:t>
      </w:r>
      <w:proofErr w:type="spellEnd"/>
      <w:r w:rsidRPr="00AC6F15">
        <w:rPr>
          <w:bCs/>
          <w:lang w:bidi="da-DK"/>
        </w:rPr>
        <w:t xml:space="preserve"> Test), hvor det blandt andet kontrolleres, at k</w:t>
      </w:r>
      <w:r w:rsidRPr="00AC6F15">
        <w:rPr>
          <w:bCs/>
          <w:lang w:bidi="da-DK"/>
        </w:rPr>
        <w:t>a</w:t>
      </w:r>
      <w:r w:rsidRPr="00AC6F15">
        <w:rPr>
          <w:bCs/>
          <w:lang w:bidi="da-DK"/>
        </w:rPr>
        <w:t xml:space="preserve">libreringsfunktionen stadig gælder. Rapporten skal sendes til kommunen højst en måned efter den er gennemført. </w:t>
      </w:r>
    </w:p>
    <w:p w:rsidR="00AC6F15" w:rsidRPr="00AC6F15" w:rsidRDefault="00AC6F15" w:rsidP="00AD4F8E">
      <w:pPr>
        <w:ind w:left="851"/>
        <w:rPr>
          <w:bCs/>
          <w:lang w:bidi="da-DK"/>
        </w:rPr>
      </w:pPr>
      <w:r w:rsidRPr="00AC6F15">
        <w:rPr>
          <w:bCs/>
          <w:lang w:bidi="da-DK"/>
        </w:rPr>
        <w:tab/>
      </w:r>
    </w:p>
    <w:p w:rsidR="00AC6F15" w:rsidRPr="00AC6F15" w:rsidRDefault="00AC6F15" w:rsidP="00AD4F8E">
      <w:pPr>
        <w:ind w:left="851"/>
        <w:rPr>
          <w:bCs/>
          <w:lang w:bidi="da-DK"/>
        </w:rPr>
      </w:pPr>
      <w:r w:rsidRPr="00AC6F15">
        <w:rPr>
          <w:bCs/>
          <w:lang w:bidi="da-DK"/>
        </w:rPr>
        <w:t>Værket skal herudover løbende kontrollere alle målere jf. QAL3. Det b</w:t>
      </w:r>
      <w:r w:rsidRPr="00AC6F15">
        <w:rPr>
          <w:bCs/>
          <w:lang w:bidi="da-DK"/>
        </w:rPr>
        <w:t>e</w:t>
      </w:r>
      <w:r w:rsidRPr="00AC6F15">
        <w:rPr>
          <w:bCs/>
          <w:lang w:bidi="da-DK"/>
        </w:rPr>
        <w:t>tyder, at værket løbende skal tjekke alle måleres 0 og span og justere, når det er nødvendigt.</w:t>
      </w:r>
    </w:p>
    <w:p w:rsidR="00AC6F15" w:rsidRPr="00AC6F15" w:rsidRDefault="00AC6F15" w:rsidP="00AD4F8E">
      <w:pPr>
        <w:ind w:left="851"/>
        <w:rPr>
          <w:bCs/>
          <w:lang w:bidi="da-DK"/>
        </w:rPr>
      </w:pPr>
      <w:r w:rsidRPr="00AC6F15">
        <w:rPr>
          <w:bCs/>
          <w:lang w:bidi="da-DK"/>
        </w:rPr>
        <w:t>Arbejdet skal føres i journal og gemmes for mindst tre år.</w:t>
      </w:r>
    </w:p>
    <w:p w:rsidR="00AC6F15" w:rsidRPr="00AC6F15" w:rsidRDefault="00AC6F15" w:rsidP="00AC6F15">
      <w:pPr>
        <w:rPr>
          <w:bCs/>
          <w:lang w:bidi="da-DK"/>
        </w:rPr>
      </w:pPr>
    </w:p>
    <w:p w:rsidR="00AC6F15" w:rsidRPr="00AC6F15" w:rsidRDefault="00AC6F15" w:rsidP="00AD4F8E">
      <w:pPr>
        <w:ind w:left="851" w:hanging="851"/>
        <w:rPr>
          <w:bCs/>
          <w:lang w:bidi="da-DK"/>
        </w:rPr>
      </w:pPr>
      <w:r w:rsidRPr="00AC6F15">
        <w:rPr>
          <w:bCs/>
          <w:lang w:bidi="da-DK"/>
        </w:rPr>
        <w:lastRenderedPageBreak/>
        <w:t>Nyt 15b</w:t>
      </w:r>
      <w:r w:rsidRPr="00AC6F15">
        <w:rPr>
          <w:bCs/>
          <w:lang w:bidi="da-DK"/>
        </w:rPr>
        <w:tab/>
        <w:t xml:space="preserve">Værket skal have en kvalitetshåndbog for hvert automatisk målende instrument jf. MEL16 bilag c. Kvalitetshåndbogen skal mindst indeholde </w:t>
      </w:r>
    </w:p>
    <w:p w:rsidR="00AC6F15" w:rsidRPr="00AC6F15" w:rsidRDefault="00AC6F15" w:rsidP="00AC6F15">
      <w:pPr>
        <w:numPr>
          <w:ilvl w:val="0"/>
          <w:numId w:val="4"/>
        </w:numPr>
        <w:rPr>
          <w:bCs/>
          <w:lang w:bidi="da-DK"/>
        </w:rPr>
      </w:pPr>
      <w:r w:rsidRPr="00AC6F15">
        <w:rPr>
          <w:bCs/>
          <w:lang w:bidi="da-DK"/>
        </w:rPr>
        <w:t>En beskrivelse af hvert måleinstrument med oplysning om m</w:t>
      </w:r>
      <w:r w:rsidRPr="00AC6F15">
        <w:rPr>
          <w:bCs/>
          <w:lang w:bidi="da-DK"/>
        </w:rPr>
        <w:t>å</w:t>
      </w:r>
      <w:r w:rsidRPr="00AC6F15">
        <w:rPr>
          <w:bCs/>
          <w:lang w:bidi="da-DK"/>
        </w:rPr>
        <w:t>leprincip, måleinterval, mm.</w:t>
      </w:r>
    </w:p>
    <w:p w:rsidR="00AC6F15" w:rsidRPr="00AC6F15" w:rsidRDefault="00AC6F15" w:rsidP="00AC6F15">
      <w:pPr>
        <w:numPr>
          <w:ilvl w:val="0"/>
          <w:numId w:val="4"/>
        </w:numPr>
        <w:rPr>
          <w:bCs/>
          <w:lang w:bidi="da-DK"/>
        </w:rPr>
      </w:pPr>
      <w:r w:rsidRPr="00AC6F15">
        <w:rPr>
          <w:bCs/>
          <w:lang w:bidi="da-DK"/>
        </w:rPr>
        <w:t xml:space="preserve">QAL1 rapport eller certifikat efter EN </w:t>
      </w:r>
      <w:proofErr w:type="gramStart"/>
      <w:r w:rsidRPr="00AC6F15">
        <w:rPr>
          <w:bCs/>
          <w:lang w:bidi="da-DK"/>
        </w:rPr>
        <w:t>15267</w:t>
      </w:r>
      <w:proofErr w:type="gramEnd"/>
      <w:r w:rsidRPr="00AC6F15">
        <w:rPr>
          <w:bCs/>
          <w:lang w:bidi="da-DK"/>
        </w:rPr>
        <w:t>.</w:t>
      </w:r>
    </w:p>
    <w:p w:rsidR="00AC6F15" w:rsidRPr="00AC6F15" w:rsidRDefault="00AC6F15" w:rsidP="00AC6F15">
      <w:pPr>
        <w:numPr>
          <w:ilvl w:val="0"/>
          <w:numId w:val="4"/>
        </w:numPr>
        <w:rPr>
          <w:bCs/>
          <w:lang w:bidi="da-DK"/>
        </w:rPr>
      </w:pPr>
      <w:r w:rsidRPr="00AC6F15">
        <w:rPr>
          <w:bCs/>
          <w:lang w:bidi="da-DK"/>
        </w:rPr>
        <w:t>QAL2 og AST rapporter, dato for næste QAL2 og AST.</w:t>
      </w:r>
    </w:p>
    <w:p w:rsidR="00AC6F15" w:rsidRPr="00AC6F15" w:rsidRDefault="00AC6F15" w:rsidP="00AC6F15">
      <w:pPr>
        <w:numPr>
          <w:ilvl w:val="0"/>
          <w:numId w:val="4"/>
        </w:numPr>
        <w:rPr>
          <w:bCs/>
          <w:lang w:bidi="da-DK"/>
        </w:rPr>
      </w:pPr>
      <w:r w:rsidRPr="00AC6F15">
        <w:rPr>
          <w:bCs/>
          <w:lang w:bidi="da-DK"/>
        </w:rPr>
        <w:t>QAL3: En procedure for hver måler, der beskriver hvor ofte og hvordan 0 og span måles, hvordan resultatet noteres eller reg</w:t>
      </w:r>
      <w:r w:rsidRPr="00AC6F15">
        <w:rPr>
          <w:bCs/>
          <w:lang w:bidi="da-DK"/>
        </w:rPr>
        <w:t>i</w:t>
      </w:r>
      <w:r w:rsidRPr="00AC6F15">
        <w:rPr>
          <w:bCs/>
          <w:lang w:bidi="da-DK"/>
        </w:rPr>
        <w:t>streres og hvilke måleværdier der afviger så meget, at instr</w:t>
      </w:r>
      <w:r w:rsidRPr="00AC6F15">
        <w:rPr>
          <w:bCs/>
          <w:lang w:bidi="da-DK"/>
        </w:rPr>
        <w:t>u</w:t>
      </w:r>
      <w:r w:rsidRPr="00AC6F15">
        <w:rPr>
          <w:bCs/>
          <w:lang w:bidi="da-DK"/>
        </w:rPr>
        <w:t>mentet skal justeres.</w:t>
      </w:r>
    </w:p>
    <w:p w:rsidR="00AC6F15" w:rsidRPr="00AC6F15" w:rsidRDefault="00AC6F15" w:rsidP="00AC6F15">
      <w:pPr>
        <w:rPr>
          <w:bCs/>
        </w:rPr>
      </w:pPr>
    </w:p>
    <w:p w:rsidR="00AC6F15" w:rsidRPr="00AC6F15" w:rsidRDefault="00AC6F15" w:rsidP="00AC6F15">
      <w:pPr>
        <w:rPr>
          <w:b/>
          <w:bCs/>
        </w:rPr>
      </w:pPr>
      <w:r w:rsidRPr="00AC6F15">
        <w:rPr>
          <w:b/>
          <w:bCs/>
        </w:rPr>
        <w:t>Affald</w:t>
      </w:r>
    </w:p>
    <w:p w:rsidR="00AC6F15" w:rsidRPr="00AC6F15" w:rsidRDefault="00AC6F15" w:rsidP="00AD4F8E">
      <w:pPr>
        <w:tabs>
          <w:tab w:val="left" w:pos="851"/>
        </w:tabs>
        <w:rPr>
          <w:bCs/>
        </w:rPr>
      </w:pPr>
      <w:r w:rsidRPr="00AC6F15">
        <w:rPr>
          <w:bCs/>
        </w:rPr>
        <w:t>48</w:t>
      </w:r>
      <w:r w:rsidRPr="00AC6F15">
        <w:rPr>
          <w:bCs/>
        </w:rPr>
        <w:tab/>
        <w:t>Udgår</w:t>
      </w:r>
    </w:p>
    <w:p w:rsidR="00AC6F15" w:rsidRPr="00AC6F15" w:rsidRDefault="00AC6F15" w:rsidP="00AC6F15">
      <w:pPr>
        <w:rPr>
          <w:bCs/>
        </w:rPr>
      </w:pPr>
    </w:p>
    <w:p w:rsidR="00AC6F15" w:rsidRPr="00AC6F15" w:rsidRDefault="00AC6F15" w:rsidP="00AD4F8E">
      <w:pPr>
        <w:ind w:left="851" w:hanging="851"/>
        <w:rPr>
          <w:bCs/>
        </w:rPr>
      </w:pPr>
      <w:r w:rsidRPr="00AC6F15">
        <w:rPr>
          <w:bCs/>
        </w:rPr>
        <w:t>Nyt 48a</w:t>
      </w:r>
      <w:r w:rsidRPr="00AC6F15">
        <w:rPr>
          <w:bCs/>
        </w:rPr>
        <w:tab/>
      </w:r>
      <w:r w:rsidRPr="00AC6F15">
        <w:rPr>
          <w:bCs/>
          <w:lang w:bidi="da-DK"/>
        </w:rPr>
        <w:t>Helsingør Kraftvarmeværk må højst opbevare følgende mængder og t</w:t>
      </w:r>
      <w:r w:rsidRPr="00AC6F15">
        <w:rPr>
          <w:bCs/>
          <w:lang w:bidi="da-DK"/>
        </w:rPr>
        <w:t>y</w:t>
      </w:r>
      <w:r w:rsidRPr="00AC6F15">
        <w:rPr>
          <w:bCs/>
          <w:lang w:bidi="da-DK"/>
        </w:rPr>
        <w:t>per affald:</w:t>
      </w:r>
    </w:p>
    <w:p w:rsidR="00AC6F15" w:rsidRPr="00AC6F15" w:rsidRDefault="00AC6F15" w:rsidP="00AC6F15">
      <w:pPr>
        <w:rPr>
          <w:bCs/>
          <w:lang w:bidi="da-DK"/>
        </w:rPr>
      </w:pPr>
      <w:r w:rsidRPr="00AC6F15">
        <w:rPr>
          <w:bCs/>
          <w:lang w:bidi="da-DK"/>
        </w:rPr>
        <w:tab/>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234"/>
      </w:tblGrid>
      <w:tr w:rsidR="00AC6F15" w:rsidRPr="00AC6F15" w:rsidTr="000C0D07">
        <w:tc>
          <w:tcPr>
            <w:tcW w:w="3402" w:type="dxa"/>
            <w:tcBorders>
              <w:top w:val="single" w:sz="12" w:space="0" w:color="auto"/>
              <w:left w:val="single" w:sz="12" w:space="0" w:color="auto"/>
              <w:bottom w:val="single" w:sz="12" w:space="0" w:color="auto"/>
            </w:tcBorders>
            <w:shd w:val="clear" w:color="auto" w:fill="auto"/>
          </w:tcPr>
          <w:p w:rsidR="00AC6F15" w:rsidRPr="00AC6F15" w:rsidRDefault="00AC6F15" w:rsidP="00AC6F15">
            <w:pPr>
              <w:rPr>
                <w:bCs/>
                <w:lang w:bidi="da-DK"/>
              </w:rPr>
            </w:pPr>
            <w:r w:rsidRPr="00AC6F15">
              <w:rPr>
                <w:bCs/>
                <w:lang w:bidi="da-DK"/>
              </w:rPr>
              <w:t>Affaldstype</w:t>
            </w:r>
          </w:p>
        </w:tc>
        <w:tc>
          <w:tcPr>
            <w:tcW w:w="3686" w:type="dxa"/>
            <w:tcBorders>
              <w:top w:val="single" w:sz="12" w:space="0" w:color="auto"/>
              <w:bottom w:val="single" w:sz="12" w:space="0" w:color="auto"/>
              <w:right w:val="single" w:sz="12" w:space="0" w:color="auto"/>
            </w:tcBorders>
            <w:shd w:val="clear" w:color="auto" w:fill="auto"/>
          </w:tcPr>
          <w:p w:rsidR="00AC6F15" w:rsidRPr="00AC6F15" w:rsidRDefault="00AC6F15" w:rsidP="00AC6F15">
            <w:pPr>
              <w:rPr>
                <w:bCs/>
                <w:lang w:bidi="da-DK"/>
              </w:rPr>
            </w:pPr>
            <w:r w:rsidRPr="00AC6F15">
              <w:rPr>
                <w:bCs/>
                <w:lang w:bidi="da-DK"/>
              </w:rPr>
              <w:t>Maksimal opbevaret mængde</w:t>
            </w:r>
          </w:p>
        </w:tc>
      </w:tr>
      <w:tr w:rsidR="00AC6F15" w:rsidRPr="00AC6F15" w:rsidTr="000C0D07">
        <w:tc>
          <w:tcPr>
            <w:tcW w:w="3402" w:type="dxa"/>
            <w:tcBorders>
              <w:top w:val="single" w:sz="12" w:space="0" w:color="auto"/>
              <w:left w:val="single" w:sz="12" w:space="0" w:color="auto"/>
            </w:tcBorders>
            <w:shd w:val="clear" w:color="auto" w:fill="auto"/>
          </w:tcPr>
          <w:p w:rsidR="00AC6F15" w:rsidRPr="00AC6F15" w:rsidRDefault="00AC6F15" w:rsidP="00AC6F15">
            <w:pPr>
              <w:rPr>
                <w:bCs/>
                <w:lang w:bidi="da-DK"/>
              </w:rPr>
            </w:pPr>
            <w:r w:rsidRPr="00AC6F15">
              <w:rPr>
                <w:bCs/>
                <w:lang w:bidi="da-DK"/>
              </w:rPr>
              <w:t>Bundaske</w:t>
            </w:r>
          </w:p>
        </w:tc>
        <w:tc>
          <w:tcPr>
            <w:tcW w:w="3686" w:type="dxa"/>
            <w:tcBorders>
              <w:top w:val="single" w:sz="12" w:space="0" w:color="auto"/>
              <w:right w:val="single" w:sz="12" w:space="0" w:color="auto"/>
            </w:tcBorders>
            <w:shd w:val="clear" w:color="auto" w:fill="auto"/>
          </w:tcPr>
          <w:p w:rsidR="00AC6F15" w:rsidRPr="00AC6F15" w:rsidRDefault="00AC6F15" w:rsidP="00AC6F15">
            <w:pPr>
              <w:rPr>
                <w:bCs/>
                <w:lang w:bidi="da-DK"/>
              </w:rPr>
            </w:pPr>
            <w:r w:rsidRPr="00AC6F15">
              <w:rPr>
                <w:bCs/>
                <w:lang w:bidi="da-DK"/>
              </w:rPr>
              <w:t>1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Flyveaske</w:t>
            </w:r>
          </w:p>
        </w:tc>
        <w:tc>
          <w:tcPr>
            <w:tcW w:w="3686" w:type="dxa"/>
            <w:tcBorders>
              <w:right w:val="single" w:sz="12" w:space="0" w:color="auto"/>
            </w:tcBorders>
            <w:shd w:val="clear" w:color="auto" w:fill="auto"/>
          </w:tcPr>
          <w:p w:rsidR="00AC6F15" w:rsidRPr="00AC6F15" w:rsidRDefault="0062209E" w:rsidP="00AC6F15">
            <w:pPr>
              <w:rPr>
                <w:bCs/>
                <w:lang w:bidi="da-DK"/>
              </w:rPr>
            </w:pPr>
            <w:r>
              <w:rPr>
                <w:bCs/>
                <w:lang w:bidi="da-DK"/>
              </w:rPr>
              <w:t>120 ton</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Ristegods fra rensning af brændsel</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Slam fra rensning af spildevand</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10 m</w:t>
            </w:r>
            <w:r w:rsidRPr="00AC6F15">
              <w:rPr>
                <w:bCs/>
                <w:vertAlign w:val="superscript"/>
                <w:lang w:bidi="da-DK"/>
              </w:rPr>
              <w:t>3</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Spildevand fra regenerering af selektive ionbyttere*</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1000 l</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Vaskevand fra rengøring af membraner</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1000 l</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Støv fra støvsugeranlæg</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2 containere</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Spildolie</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1400 liter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Andet flydende farligt affald</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400 liter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Oliefiltre</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100 kg</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Andet fast farligt affald</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100 kg</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Brændbart affald</w:t>
            </w:r>
          </w:p>
        </w:tc>
        <w:tc>
          <w:tcPr>
            <w:tcW w:w="3686" w:type="dxa"/>
            <w:tcBorders>
              <w:right w:val="single" w:sz="12" w:space="0" w:color="auto"/>
            </w:tcBorders>
            <w:shd w:val="clear" w:color="auto" w:fill="auto"/>
          </w:tcPr>
          <w:p w:rsidR="00AC6F15" w:rsidRPr="00AC6F15" w:rsidRDefault="00AC6F15" w:rsidP="00AC6F15">
            <w:pPr>
              <w:rPr>
                <w:bCs/>
                <w:lang w:val="en-US"/>
              </w:rPr>
            </w:pPr>
            <w:r w:rsidRPr="00AC6F15">
              <w:rPr>
                <w:bCs/>
                <w:lang w:val="en-US"/>
              </w:rPr>
              <w:t>1 6 m</w:t>
            </w:r>
            <w:r w:rsidRPr="00AC6F15">
              <w:rPr>
                <w:bCs/>
                <w:vertAlign w:val="superscript"/>
                <w:lang w:val="en-US"/>
              </w:rPr>
              <w:t>3</w:t>
            </w:r>
            <w:r w:rsidRPr="00AC6F15">
              <w:rPr>
                <w:bCs/>
                <w:lang w:val="en-US"/>
              </w:rPr>
              <w:t xml:space="preserve"> container </w:t>
            </w:r>
            <w:proofErr w:type="spellStart"/>
            <w:r w:rsidRPr="00AC6F15">
              <w:rPr>
                <w:bCs/>
                <w:lang w:val="en-US"/>
              </w:rPr>
              <w:t>og</w:t>
            </w:r>
            <w:proofErr w:type="spellEnd"/>
            <w:r w:rsidRPr="00AC6F15">
              <w:rPr>
                <w:bCs/>
                <w:lang w:val="en-US"/>
              </w:rPr>
              <w:t xml:space="preserve"> 1 16 m</w:t>
            </w:r>
            <w:r w:rsidRPr="00AC6F15">
              <w:rPr>
                <w:bCs/>
                <w:vertAlign w:val="superscript"/>
                <w:lang w:val="en-US"/>
              </w:rPr>
              <w:t>3</w:t>
            </w:r>
            <w:r w:rsidRPr="00AC6F15">
              <w:rPr>
                <w:bCs/>
                <w:lang w:val="en-US"/>
              </w:rPr>
              <w:t xml:space="preserve"> co</w:t>
            </w:r>
            <w:r w:rsidRPr="00AC6F15">
              <w:rPr>
                <w:bCs/>
                <w:lang w:val="en-US"/>
              </w:rPr>
              <w:t>n</w:t>
            </w:r>
            <w:r w:rsidRPr="00AC6F15">
              <w:rPr>
                <w:bCs/>
                <w:lang w:val="en-US"/>
              </w:rPr>
              <w:t>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Dagrenovation</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1 600 l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Pap</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1000 l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Emballageplast</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Papir</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1 660 l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Glas</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1 660 l container</w:t>
            </w:r>
          </w:p>
        </w:tc>
      </w:tr>
      <w:tr w:rsidR="00AC6F15" w:rsidRPr="00AC6F15" w:rsidTr="000C0D07">
        <w:tc>
          <w:tcPr>
            <w:tcW w:w="3402" w:type="dxa"/>
            <w:tcBorders>
              <w:left w:val="single" w:sz="12" w:space="0" w:color="auto"/>
            </w:tcBorders>
            <w:shd w:val="clear" w:color="auto" w:fill="auto"/>
          </w:tcPr>
          <w:p w:rsidR="00AC6F15" w:rsidRPr="00AC6F15" w:rsidRDefault="00AC6F15" w:rsidP="00AC6F15">
            <w:pPr>
              <w:rPr>
                <w:bCs/>
                <w:lang w:bidi="da-DK"/>
              </w:rPr>
            </w:pPr>
            <w:r w:rsidRPr="00AC6F15">
              <w:rPr>
                <w:bCs/>
                <w:lang w:bidi="da-DK"/>
              </w:rPr>
              <w:t>Elektronik</w:t>
            </w:r>
          </w:p>
        </w:tc>
        <w:tc>
          <w:tcPr>
            <w:tcW w:w="3686" w:type="dxa"/>
            <w:tcBorders>
              <w:right w:val="single" w:sz="12" w:space="0" w:color="auto"/>
            </w:tcBorders>
            <w:shd w:val="clear" w:color="auto" w:fill="auto"/>
          </w:tcPr>
          <w:p w:rsidR="00AC6F15" w:rsidRPr="00AC6F15" w:rsidRDefault="00AC6F15" w:rsidP="00AC6F15">
            <w:pPr>
              <w:rPr>
                <w:bCs/>
                <w:lang w:bidi="da-DK"/>
              </w:rPr>
            </w:pPr>
            <w:r w:rsidRPr="00AC6F15">
              <w:rPr>
                <w:bCs/>
                <w:lang w:bidi="da-DK"/>
              </w:rPr>
              <w:t>1 660 l container</w:t>
            </w:r>
          </w:p>
        </w:tc>
      </w:tr>
      <w:tr w:rsidR="00AC6F15" w:rsidRPr="00AC6F15" w:rsidTr="000C0D07">
        <w:tc>
          <w:tcPr>
            <w:tcW w:w="3402" w:type="dxa"/>
            <w:tcBorders>
              <w:left w:val="single" w:sz="12" w:space="0" w:color="auto"/>
              <w:bottom w:val="single" w:sz="12" w:space="0" w:color="auto"/>
            </w:tcBorders>
            <w:shd w:val="clear" w:color="auto" w:fill="auto"/>
          </w:tcPr>
          <w:p w:rsidR="00AC6F15" w:rsidRPr="00AC6F15" w:rsidRDefault="00AC6F15" w:rsidP="00AC6F15">
            <w:pPr>
              <w:rPr>
                <w:bCs/>
                <w:lang w:bidi="da-DK"/>
              </w:rPr>
            </w:pPr>
            <w:r w:rsidRPr="00AC6F15">
              <w:rPr>
                <w:bCs/>
                <w:lang w:bidi="da-DK"/>
              </w:rPr>
              <w:t>Batterier</w:t>
            </w:r>
          </w:p>
        </w:tc>
        <w:tc>
          <w:tcPr>
            <w:tcW w:w="3686" w:type="dxa"/>
            <w:tcBorders>
              <w:bottom w:val="single" w:sz="12" w:space="0" w:color="auto"/>
              <w:right w:val="single" w:sz="12" w:space="0" w:color="auto"/>
            </w:tcBorders>
            <w:shd w:val="clear" w:color="auto" w:fill="auto"/>
          </w:tcPr>
          <w:p w:rsidR="00AC6F15" w:rsidRPr="00AC6F15" w:rsidRDefault="00AC6F15" w:rsidP="00AC6F15">
            <w:pPr>
              <w:rPr>
                <w:bCs/>
                <w:lang w:bidi="da-DK"/>
              </w:rPr>
            </w:pPr>
            <w:r w:rsidRPr="00AC6F15">
              <w:rPr>
                <w:bCs/>
                <w:lang w:bidi="da-DK"/>
              </w:rPr>
              <w:t>1 60 l spændelågsfad</w:t>
            </w:r>
          </w:p>
        </w:tc>
      </w:tr>
    </w:tbl>
    <w:p w:rsidR="00AC6F15" w:rsidRPr="00AC6F15" w:rsidRDefault="00AC6F15" w:rsidP="00AC6F15">
      <w:pPr>
        <w:rPr>
          <w:bCs/>
          <w:lang w:bidi="da-DK"/>
        </w:rPr>
      </w:pPr>
      <w:r w:rsidRPr="00AC6F15">
        <w:rPr>
          <w:bCs/>
          <w:lang w:bidi="da-DK"/>
        </w:rPr>
        <w:tab/>
      </w:r>
    </w:p>
    <w:p w:rsidR="00AC6F15" w:rsidRPr="00AC6F15" w:rsidRDefault="00AC6F15" w:rsidP="00AC6F15">
      <w:pPr>
        <w:rPr>
          <w:bCs/>
        </w:rPr>
      </w:pPr>
    </w:p>
    <w:p w:rsidR="00AC6F15" w:rsidRPr="00AC6F15" w:rsidRDefault="00AC6F15" w:rsidP="00AC6F15">
      <w:pPr>
        <w:rPr>
          <w:b/>
          <w:bCs/>
        </w:rPr>
      </w:pPr>
      <w:r w:rsidRPr="00AC6F15">
        <w:rPr>
          <w:b/>
          <w:bCs/>
        </w:rPr>
        <w:lastRenderedPageBreak/>
        <w:t>Jord, grundvand og kloak</w:t>
      </w:r>
    </w:p>
    <w:p w:rsidR="00AC6F15" w:rsidRPr="00AC6F15" w:rsidRDefault="00AC6F15" w:rsidP="00AD4F8E">
      <w:pPr>
        <w:tabs>
          <w:tab w:val="left" w:pos="851"/>
        </w:tabs>
        <w:ind w:left="851" w:hanging="851"/>
        <w:rPr>
          <w:bCs/>
        </w:rPr>
      </w:pPr>
      <w:r w:rsidRPr="00AC6F15">
        <w:rPr>
          <w:bCs/>
        </w:rPr>
        <w:t>Nyt 55a</w:t>
      </w:r>
      <w:r w:rsidRPr="00AC6F15">
        <w:rPr>
          <w:bCs/>
        </w:rPr>
        <w:tab/>
        <w:t>For at minimere risikoen for at værket forurener jord og grundvand med farlige relevante stoffer, skal værket indrettes således:</w:t>
      </w:r>
    </w:p>
    <w:p w:rsidR="00AC6F15" w:rsidRPr="00AC6F15" w:rsidRDefault="00AC6F15" w:rsidP="00AD4F8E">
      <w:pPr>
        <w:ind w:firstLine="851"/>
        <w:rPr>
          <w:bCs/>
        </w:rPr>
      </w:pPr>
      <w:r w:rsidRPr="00AC6F15">
        <w:rPr>
          <w:bCs/>
          <w:u w:val="single"/>
        </w:rPr>
        <w:t>Brændsel</w:t>
      </w:r>
      <w:r w:rsidRPr="00AC6F15">
        <w:rPr>
          <w:bCs/>
        </w:rPr>
        <w:t xml:space="preserve">: </w:t>
      </w:r>
      <w:r w:rsidRPr="00AC6F15">
        <w:rPr>
          <w:bCs/>
        </w:rPr>
        <w:tab/>
      </w:r>
    </w:p>
    <w:p w:rsidR="00AC6F15" w:rsidRPr="00AC6F15" w:rsidRDefault="00AC6F15" w:rsidP="00AD4F8E">
      <w:pPr>
        <w:numPr>
          <w:ilvl w:val="0"/>
          <w:numId w:val="7"/>
        </w:numPr>
        <w:ind w:left="1276" w:hanging="425"/>
        <w:rPr>
          <w:bCs/>
        </w:rPr>
      </w:pPr>
      <w:r w:rsidRPr="00AC6F15">
        <w:rPr>
          <w:bCs/>
        </w:rPr>
        <w:t xml:space="preserve">Mindst </w:t>
      </w:r>
      <w:proofErr w:type="gramStart"/>
      <w:r w:rsidRPr="00AC6F15">
        <w:rPr>
          <w:bCs/>
        </w:rPr>
        <w:t>50%</w:t>
      </w:r>
      <w:proofErr w:type="gramEnd"/>
      <w:r w:rsidRPr="00AC6F15">
        <w:rPr>
          <w:bCs/>
        </w:rPr>
        <w:t xml:space="preserve"> af brændslet skal bestå af skovflis, og højst 50% må b</w:t>
      </w:r>
      <w:r w:rsidRPr="00AC6F15">
        <w:rPr>
          <w:bCs/>
        </w:rPr>
        <w:t>e</w:t>
      </w:r>
      <w:r w:rsidRPr="00AC6F15">
        <w:rPr>
          <w:bCs/>
        </w:rPr>
        <w:t>stå af træ med limrester.</w:t>
      </w:r>
    </w:p>
    <w:p w:rsidR="00AC6F15" w:rsidRPr="00AC6F15" w:rsidRDefault="00AC6F15" w:rsidP="00AD4F8E">
      <w:pPr>
        <w:numPr>
          <w:ilvl w:val="0"/>
          <w:numId w:val="6"/>
        </w:numPr>
        <w:ind w:firstLine="131"/>
        <w:rPr>
          <w:bCs/>
        </w:rPr>
      </w:pPr>
      <w:r w:rsidRPr="00AC6F15">
        <w:rPr>
          <w:bCs/>
        </w:rPr>
        <w:t>Sigterest fra brændsel skal opbevares i containere.</w:t>
      </w:r>
    </w:p>
    <w:p w:rsidR="00AC6F15" w:rsidRPr="00AC6F15" w:rsidRDefault="00AC6F15" w:rsidP="00AD4F8E">
      <w:pPr>
        <w:numPr>
          <w:ilvl w:val="0"/>
          <w:numId w:val="6"/>
        </w:numPr>
        <w:ind w:left="1276" w:hanging="425"/>
        <w:rPr>
          <w:bCs/>
        </w:rPr>
      </w:pPr>
      <w:r w:rsidRPr="00AC6F15">
        <w:rPr>
          <w:bCs/>
        </w:rPr>
        <w:t xml:space="preserve">Al brændsel skal opbevares og transporteres under tag, således at der ikke kommer regnvand til brændslet, og derved dannes der ikke </w:t>
      </w:r>
      <w:proofErr w:type="spellStart"/>
      <w:r w:rsidRPr="00AC6F15">
        <w:rPr>
          <w:bCs/>
        </w:rPr>
        <w:t>perkolat</w:t>
      </w:r>
      <w:proofErr w:type="spellEnd"/>
      <w:r w:rsidRPr="00AC6F15">
        <w:rPr>
          <w:bCs/>
        </w:rPr>
        <w:t>. Dette krav gælder dog ikke transporten i lastbiler. Der må ikke være afløb fra hverken modtagersilo eller brændselssiloer.</w:t>
      </w:r>
    </w:p>
    <w:p w:rsidR="00AC6F15" w:rsidRPr="00AC6F15" w:rsidRDefault="00AC6F15" w:rsidP="00AD4F8E">
      <w:pPr>
        <w:ind w:firstLine="720"/>
        <w:rPr>
          <w:bCs/>
        </w:rPr>
      </w:pPr>
      <w:r w:rsidRPr="00AC6F15">
        <w:rPr>
          <w:bCs/>
          <w:u w:val="single"/>
        </w:rPr>
        <w:t>Smøreolie og hydraulikolie</w:t>
      </w:r>
      <w:r w:rsidRPr="00AC6F15">
        <w:rPr>
          <w:bCs/>
        </w:rPr>
        <w:t>:</w:t>
      </w:r>
    </w:p>
    <w:p w:rsidR="00AC6F15" w:rsidRPr="00AC6F15" w:rsidRDefault="00AC6F15" w:rsidP="00AD4F8E">
      <w:pPr>
        <w:numPr>
          <w:ilvl w:val="0"/>
          <w:numId w:val="8"/>
        </w:numPr>
        <w:ind w:left="1276" w:hanging="567"/>
        <w:rPr>
          <w:bCs/>
        </w:rPr>
      </w:pPr>
      <w:r w:rsidRPr="00AC6F15">
        <w:rPr>
          <w:bCs/>
        </w:rPr>
        <w:t>Ny smøreolie og hydraulikolie skal opbevares indendørs og på spil</w:t>
      </w:r>
      <w:r w:rsidRPr="00AC6F15">
        <w:rPr>
          <w:bCs/>
        </w:rPr>
        <w:t>d</w:t>
      </w:r>
      <w:r w:rsidRPr="00AC6F15">
        <w:rPr>
          <w:bCs/>
        </w:rPr>
        <w:t>bakker, der kan tilbageholde et evt. spild.</w:t>
      </w:r>
    </w:p>
    <w:p w:rsidR="00AC6F15" w:rsidRPr="00AC6F15" w:rsidRDefault="00AC6F15" w:rsidP="00AD4F8E">
      <w:pPr>
        <w:numPr>
          <w:ilvl w:val="0"/>
          <w:numId w:val="8"/>
        </w:numPr>
        <w:ind w:left="1276" w:hanging="567"/>
        <w:rPr>
          <w:bCs/>
        </w:rPr>
      </w:pPr>
      <w:r w:rsidRPr="00AC6F15">
        <w:rPr>
          <w:bCs/>
        </w:rPr>
        <w:t>Al lastbiltransport skal foregå på veje og pladser med tæt belægning. Der må hverken være revner eller lunker i belægningen.</w:t>
      </w:r>
    </w:p>
    <w:p w:rsidR="00AC6F15" w:rsidRPr="00AC6F15" w:rsidRDefault="00AC6F15" w:rsidP="00AD4F8E">
      <w:pPr>
        <w:numPr>
          <w:ilvl w:val="0"/>
          <w:numId w:val="8"/>
        </w:numPr>
        <w:ind w:left="1276" w:hanging="567"/>
        <w:rPr>
          <w:bCs/>
        </w:rPr>
      </w:pPr>
      <w:r w:rsidRPr="00AC6F15">
        <w:rPr>
          <w:bCs/>
        </w:rPr>
        <w:t>Sandfang og olieudskillere, der renser overfladevand, skal etableres som helstøbte og tætte samt tilsluttes kloak med tætte samlinger.</w:t>
      </w:r>
    </w:p>
    <w:p w:rsidR="00AC6F15" w:rsidRPr="00AC6F15" w:rsidRDefault="00AC6F15" w:rsidP="00AD4F8E">
      <w:pPr>
        <w:ind w:firstLine="709"/>
        <w:rPr>
          <w:bCs/>
          <w:u w:val="single"/>
        </w:rPr>
      </w:pPr>
      <w:r w:rsidRPr="00AC6F15">
        <w:rPr>
          <w:bCs/>
          <w:u w:val="single"/>
        </w:rPr>
        <w:t>Flyvesake:</w:t>
      </w:r>
    </w:p>
    <w:p w:rsidR="00AC6F15" w:rsidRPr="00AC6F15" w:rsidRDefault="00AC6F15" w:rsidP="00AD4F8E">
      <w:pPr>
        <w:numPr>
          <w:ilvl w:val="0"/>
          <w:numId w:val="9"/>
        </w:numPr>
        <w:ind w:hanging="11"/>
        <w:rPr>
          <w:bCs/>
        </w:rPr>
      </w:pPr>
      <w:r w:rsidRPr="00AC6F15">
        <w:rPr>
          <w:bCs/>
        </w:rPr>
        <w:t>Silo til flyveaske være på et areal med tæt belægning.</w:t>
      </w:r>
    </w:p>
    <w:p w:rsidR="00AC6F15" w:rsidRPr="00AC6F15" w:rsidRDefault="00AC6F15" w:rsidP="00AD4F8E">
      <w:pPr>
        <w:ind w:firstLine="709"/>
        <w:rPr>
          <w:bCs/>
          <w:u w:val="single"/>
        </w:rPr>
      </w:pPr>
      <w:r w:rsidRPr="00AC6F15">
        <w:rPr>
          <w:bCs/>
          <w:u w:val="single"/>
        </w:rPr>
        <w:t>Spildevand:</w:t>
      </w:r>
    </w:p>
    <w:p w:rsidR="00AC6F15" w:rsidRPr="00AC6F15" w:rsidRDefault="00AC6F15" w:rsidP="00AD4F8E">
      <w:pPr>
        <w:numPr>
          <w:ilvl w:val="0"/>
          <w:numId w:val="6"/>
        </w:numPr>
        <w:ind w:hanging="11"/>
        <w:rPr>
          <w:bCs/>
        </w:rPr>
      </w:pPr>
      <w:r w:rsidRPr="00AC6F15">
        <w:rPr>
          <w:bCs/>
        </w:rPr>
        <w:t>Underjordiske rør til spildevand mv. etableres som tætte rør.</w:t>
      </w:r>
    </w:p>
    <w:p w:rsidR="00AC6F15" w:rsidRPr="00AC6F15" w:rsidRDefault="00AC6F15" w:rsidP="00AD4F8E">
      <w:pPr>
        <w:ind w:hanging="11"/>
        <w:rPr>
          <w:bCs/>
        </w:rPr>
      </w:pPr>
    </w:p>
    <w:p w:rsidR="00AC6F15" w:rsidRPr="00AC6F15" w:rsidRDefault="00AC6F15" w:rsidP="00AD4F8E">
      <w:pPr>
        <w:ind w:left="709" w:hanging="11"/>
        <w:rPr>
          <w:bCs/>
        </w:rPr>
      </w:pPr>
      <w:r w:rsidRPr="00AC6F15">
        <w:rPr>
          <w:bCs/>
        </w:rPr>
        <w:t>Ovenstående foranstaltninger skal til enhver tid være i god vedligeholde</w:t>
      </w:r>
      <w:r w:rsidRPr="00AC6F15">
        <w:rPr>
          <w:bCs/>
        </w:rPr>
        <w:t>l</w:t>
      </w:r>
      <w:r w:rsidRPr="00AC6F15">
        <w:rPr>
          <w:bCs/>
        </w:rPr>
        <w:t>sesmæssig stand.</w:t>
      </w:r>
    </w:p>
    <w:p w:rsidR="00AC6F15" w:rsidRPr="00AC6F15" w:rsidRDefault="00AC6F15" w:rsidP="00AC6F15">
      <w:pPr>
        <w:rPr>
          <w:bCs/>
        </w:rPr>
      </w:pPr>
    </w:p>
    <w:p w:rsidR="00AC6F15" w:rsidRPr="00AC6F15" w:rsidRDefault="00AC6F15" w:rsidP="00AD4F8E">
      <w:pPr>
        <w:tabs>
          <w:tab w:val="left" w:pos="851"/>
        </w:tabs>
        <w:ind w:left="709" w:hanging="709"/>
        <w:rPr>
          <w:bCs/>
        </w:rPr>
      </w:pPr>
      <w:r w:rsidRPr="00AC6F15">
        <w:rPr>
          <w:bCs/>
        </w:rPr>
        <w:t>Nyt 55b</w:t>
      </w:r>
      <w:r w:rsidRPr="00AC6F15">
        <w:rPr>
          <w:bCs/>
        </w:rPr>
        <w:tab/>
        <w:t>For at minimere risikoen for at værket forurener jord og grundvand med farlige relevante stoffer, skal værket mindst en gang om året tilse at den vedligeholdelsesmæssige stand af følgende er god:</w:t>
      </w:r>
    </w:p>
    <w:p w:rsidR="00AC6F15" w:rsidRPr="00AC6F15" w:rsidRDefault="00AC6F15" w:rsidP="006761B7">
      <w:pPr>
        <w:numPr>
          <w:ilvl w:val="0"/>
          <w:numId w:val="6"/>
        </w:numPr>
        <w:ind w:left="1069"/>
        <w:rPr>
          <w:bCs/>
        </w:rPr>
      </w:pPr>
      <w:r w:rsidRPr="00AC6F15">
        <w:rPr>
          <w:bCs/>
        </w:rPr>
        <w:t>Tage over transportbånd af brændsel</w:t>
      </w:r>
    </w:p>
    <w:p w:rsidR="00AC6F15" w:rsidRPr="00AC6F15" w:rsidRDefault="00AC6F15" w:rsidP="006761B7">
      <w:pPr>
        <w:numPr>
          <w:ilvl w:val="0"/>
          <w:numId w:val="6"/>
        </w:numPr>
        <w:ind w:left="1069"/>
        <w:rPr>
          <w:bCs/>
        </w:rPr>
      </w:pPr>
      <w:r w:rsidRPr="00AC6F15">
        <w:rPr>
          <w:bCs/>
        </w:rPr>
        <w:t>Asfaltbelægninger</w:t>
      </w:r>
    </w:p>
    <w:p w:rsidR="00AC6F15" w:rsidRPr="00AC6F15" w:rsidRDefault="00AC6F15" w:rsidP="006761B7">
      <w:pPr>
        <w:ind w:left="349" w:hanging="360"/>
        <w:rPr>
          <w:bCs/>
        </w:rPr>
      </w:pPr>
    </w:p>
    <w:p w:rsidR="00AC6F15" w:rsidRPr="00AC6F15" w:rsidRDefault="00AC6F15" w:rsidP="006761B7">
      <w:pPr>
        <w:ind w:left="709"/>
        <w:rPr>
          <w:bCs/>
        </w:rPr>
      </w:pPr>
      <w:r w:rsidRPr="00AC6F15">
        <w:rPr>
          <w:bCs/>
        </w:rPr>
        <w:t>Værket skal mindst hvert femte tilse at den vedligeholdelsesmæssige stand af følgende er god:</w:t>
      </w:r>
    </w:p>
    <w:p w:rsidR="00AC6F15" w:rsidRPr="00AC6F15" w:rsidRDefault="00AC6F15" w:rsidP="006761B7">
      <w:pPr>
        <w:numPr>
          <w:ilvl w:val="0"/>
          <w:numId w:val="10"/>
        </w:numPr>
        <w:ind w:left="993" w:hanging="284"/>
        <w:rPr>
          <w:bCs/>
        </w:rPr>
      </w:pPr>
      <w:r w:rsidRPr="00AC6F15">
        <w:rPr>
          <w:bCs/>
        </w:rPr>
        <w:t>Alle siloer med hhv. brændsel og aske</w:t>
      </w:r>
    </w:p>
    <w:p w:rsidR="00AC6F15" w:rsidRPr="00AC6F15" w:rsidRDefault="00AC6F15" w:rsidP="006761B7">
      <w:pPr>
        <w:numPr>
          <w:ilvl w:val="0"/>
          <w:numId w:val="10"/>
        </w:numPr>
        <w:ind w:left="993" w:hanging="284"/>
        <w:rPr>
          <w:bCs/>
        </w:rPr>
      </w:pPr>
      <w:r w:rsidRPr="00AC6F15">
        <w:rPr>
          <w:bCs/>
        </w:rPr>
        <w:t>Sandfang og olieudskillere til overfladevand. Tætheden skal testes efter DS455</w:t>
      </w:r>
    </w:p>
    <w:p w:rsidR="00AC6F15" w:rsidRPr="00AC6F15" w:rsidRDefault="00AC6F15" w:rsidP="006761B7">
      <w:pPr>
        <w:ind w:left="349" w:hanging="360"/>
        <w:rPr>
          <w:bCs/>
        </w:rPr>
      </w:pPr>
    </w:p>
    <w:p w:rsidR="00AC6F15" w:rsidRPr="00AC6F15" w:rsidRDefault="00AC6F15" w:rsidP="006761B7">
      <w:pPr>
        <w:ind w:left="349" w:firstLine="360"/>
        <w:rPr>
          <w:bCs/>
        </w:rPr>
      </w:pPr>
      <w:r w:rsidRPr="00AC6F15">
        <w:rPr>
          <w:bCs/>
        </w:rPr>
        <w:t>Resultatet af inspektionen skal føres i journal.</w:t>
      </w:r>
    </w:p>
    <w:p w:rsidR="00AC6F15" w:rsidRPr="00AC6F15" w:rsidRDefault="006761B7" w:rsidP="00AC6F15">
      <w:pPr>
        <w:rPr>
          <w:bCs/>
        </w:rPr>
      </w:pPr>
      <w:r>
        <w:rPr>
          <w:bCs/>
        </w:rPr>
        <w:br w:type="column"/>
      </w:r>
    </w:p>
    <w:p w:rsidR="00AC6F15" w:rsidRPr="00AC6F15" w:rsidRDefault="00AC6F15" w:rsidP="006761B7">
      <w:pPr>
        <w:ind w:left="709" w:hanging="709"/>
        <w:rPr>
          <w:bCs/>
        </w:rPr>
      </w:pPr>
      <w:r w:rsidRPr="00AC6F15">
        <w:rPr>
          <w:bCs/>
        </w:rPr>
        <w:t>Nyt 55c</w:t>
      </w:r>
      <w:r w:rsidRPr="00AC6F15">
        <w:rPr>
          <w:bCs/>
        </w:rPr>
        <w:tab/>
        <w:t>For at vise, at værket hverken har forurenet jord eller grundvand skal det løbende tage prøver af jord og grundvand og analysere dem således:</w:t>
      </w:r>
    </w:p>
    <w:tbl>
      <w:tblPr>
        <w:tblStyle w:val="Tabel-Gitter"/>
        <w:tblW w:w="0" w:type="auto"/>
        <w:tblInd w:w="817" w:type="dxa"/>
        <w:tblLook w:val="04A0" w:firstRow="1" w:lastRow="0" w:firstColumn="1" w:lastColumn="0" w:noHBand="0" w:noVBand="1"/>
      </w:tblPr>
      <w:tblGrid>
        <w:gridCol w:w="2410"/>
        <w:gridCol w:w="2484"/>
        <w:gridCol w:w="1932"/>
      </w:tblGrid>
      <w:tr w:rsidR="00AC6F15" w:rsidRPr="00AC6F15" w:rsidTr="006761B7">
        <w:tc>
          <w:tcPr>
            <w:tcW w:w="2410" w:type="dxa"/>
          </w:tcPr>
          <w:p w:rsidR="00AC6F15" w:rsidRPr="006761B7" w:rsidRDefault="00AC6F15" w:rsidP="00AC6F15">
            <w:pPr>
              <w:rPr>
                <w:b/>
                <w:bCs/>
              </w:rPr>
            </w:pPr>
            <w:r w:rsidRPr="006761B7">
              <w:rPr>
                <w:b/>
                <w:bCs/>
              </w:rPr>
              <w:t>Produkt/aktivitet</w:t>
            </w:r>
          </w:p>
        </w:tc>
        <w:tc>
          <w:tcPr>
            <w:tcW w:w="2484" w:type="dxa"/>
          </w:tcPr>
          <w:p w:rsidR="00AC6F15" w:rsidRPr="006761B7" w:rsidRDefault="00AC6F15" w:rsidP="00AC6F15">
            <w:pPr>
              <w:rPr>
                <w:b/>
                <w:bCs/>
              </w:rPr>
            </w:pPr>
            <w:r w:rsidRPr="006761B7">
              <w:rPr>
                <w:b/>
                <w:bCs/>
              </w:rPr>
              <w:t>Aktivitet</w:t>
            </w:r>
          </w:p>
        </w:tc>
        <w:tc>
          <w:tcPr>
            <w:tcW w:w="1932" w:type="dxa"/>
          </w:tcPr>
          <w:p w:rsidR="00AC6F15" w:rsidRPr="006761B7" w:rsidRDefault="00AC6F15" w:rsidP="00AC6F15">
            <w:pPr>
              <w:rPr>
                <w:b/>
                <w:bCs/>
              </w:rPr>
            </w:pPr>
            <w:r w:rsidRPr="006761B7">
              <w:rPr>
                <w:b/>
                <w:bCs/>
              </w:rPr>
              <w:t>Analyseres for</w:t>
            </w:r>
          </w:p>
        </w:tc>
      </w:tr>
      <w:tr w:rsidR="00AC6F15" w:rsidRPr="00AC6F15" w:rsidTr="006761B7">
        <w:tc>
          <w:tcPr>
            <w:tcW w:w="2410" w:type="dxa"/>
          </w:tcPr>
          <w:p w:rsidR="00AC6F15" w:rsidRPr="00AC6F15" w:rsidRDefault="00AC6F15" w:rsidP="00AC6F15">
            <w:pPr>
              <w:rPr>
                <w:bCs/>
              </w:rPr>
            </w:pPr>
            <w:r w:rsidRPr="00AC6F15">
              <w:rPr>
                <w:bCs/>
              </w:rPr>
              <w:t>Brændsel</w:t>
            </w:r>
          </w:p>
        </w:tc>
        <w:tc>
          <w:tcPr>
            <w:tcW w:w="2484" w:type="dxa"/>
          </w:tcPr>
          <w:p w:rsidR="00AC6F15" w:rsidRPr="00AC6F15" w:rsidRDefault="00AC6F15" w:rsidP="00AC6F15">
            <w:pPr>
              <w:rPr>
                <w:bCs/>
              </w:rPr>
            </w:pPr>
            <w:r w:rsidRPr="00AC6F15">
              <w:rPr>
                <w:bCs/>
              </w:rPr>
              <w:t>Kørsel, vægt, sigte, o</w:t>
            </w:r>
            <w:r w:rsidRPr="00AC6F15">
              <w:rPr>
                <w:bCs/>
              </w:rPr>
              <w:t>p</w:t>
            </w:r>
            <w:r w:rsidRPr="00AC6F15">
              <w:rPr>
                <w:bCs/>
              </w:rPr>
              <w:t>bevaring af sigterest, modtagesilo, silo og transportbånd</w:t>
            </w:r>
          </w:p>
        </w:tc>
        <w:tc>
          <w:tcPr>
            <w:tcW w:w="1932"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w:t>
            </w:r>
            <w:proofErr w:type="spellStart"/>
            <w:r w:rsidRPr="00AC6F15">
              <w:rPr>
                <w:bCs/>
              </w:rPr>
              <w:t>Cr</w:t>
            </w:r>
            <w:proofErr w:type="spellEnd"/>
            <w:r w:rsidRPr="00AC6F15">
              <w:rPr>
                <w:bCs/>
              </w:rPr>
              <w:t xml:space="preserve"> PAH, PCB, fenol</w:t>
            </w:r>
          </w:p>
        </w:tc>
      </w:tr>
      <w:tr w:rsidR="00AC6F15" w:rsidRPr="00AC6F15" w:rsidTr="006761B7">
        <w:tc>
          <w:tcPr>
            <w:tcW w:w="2410" w:type="dxa"/>
          </w:tcPr>
          <w:p w:rsidR="00AC6F15" w:rsidRPr="00AC6F15" w:rsidRDefault="00AC6F15" w:rsidP="00AC6F15">
            <w:pPr>
              <w:rPr>
                <w:bCs/>
              </w:rPr>
            </w:pPr>
            <w:r w:rsidRPr="00AC6F15">
              <w:rPr>
                <w:bCs/>
              </w:rPr>
              <w:t>Smøreolie og hydrauli</w:t>
            </w:r>
            <w:r w:rsidRPr="00AC6F15">
              <w:rPr>
                <w:bCs/>
              </w:rPr>
              <w:t>k</w:t>
            </w:r>
            <w:r w:rsidRPr="00AC6F15">
              <w:rPr>
                <w:bCs/>
              </w:rPr>
              <w:t>olie</w:t>
            </w:r>
          </w:p>
        </w:tc>
        <w:tc>
          <w:tcPr>
            <w:tcW w:w="2484" w:type="dxa"/>
          </w:tcPr>
          <w:p w:rsidR="00AC6F15" w:rsidRPr="00AC6F15" w:rsidRDefault="00AC6F15" w:rsidP="00AC6F15">
            <w:pPr>
              <w:rPr>
                <w:bCs/>
              </w:rPr>
            </w:pPr>
            <w:r w:rsidRPr="00AC6F15">
              <w:rPr>
                <w:bCs/>
              </w:rPr>
              <w:t>Alle sandfang og olieu</w:t>
            </w:r>
            <w:r w:rsidRPr="00AC6F15">
              <w:rPr>
                <w:bCs/>
              </w:rPr>
              <w:t>d</w:t>
            </w:r>
            <w:r w:rsidRPr="00AC6F15">
              <w:rPr>
                <w:bCs/>
              </w:rPr>
              <w:t>skillere</w:t>
            </w:r>
          </w:p>
        </w:tc>
        <w:tc>
          <w:tcPr>
            <w:tcW w:w="1932" w:type="dxa"/>
          </w:tcPr>
          <w:p w:rsidR="00AC6F15" w:rsidRPr="00AC6F15" w:rsidRDefault="00AC6F15" w:rsidP="00AC6F15">
            <w:pPr>
              <w:rPr>
                <w:bCs/>
              </w:rPr>
            </w:pPr>
            <w:r w:rsidRPr="00AC6F15">
              <w:rPr>
                <w:bCs/>
              </w:rPr>
              <w:t>Olie</w:t>
            </w:r>
          </w:p>
        </w:tc>
      </w:tr>
      <w:tr w:rsidR="00AC6F15" w:rsidRPr="00AC6F15" w:rsidTr="006761B7">
        <w:tc>
          <w:tcPr>
            <w:tcW w:w="2410" w:type="dxa"/>
          </w:tcPr>
          <w:p w:rsidR="00AC6F15" w:rsidRPr="00AC6F15" w:rsidRDefault="00AC6F15" w:rsidP="00AC6F15">
            <w:pPr>
              <w:rPr>
                <w:bCs/>
              </w:rPr>
            </w:pPr>
            <w:r w:rsidRPr="00AC6F15">
              <w:rPr>
                <w:bCs/>
              </w:rPr>
              <w:t>Flyveaske</w:t>
            </w:r>
          </w:p>
        </w:tc>
        <w:tc>
          <w:tcPr>
            <w:tcW w:w="2484" w:type="dxa"/>
          </w:tcPr>
          <w:p w:rsidR="00AC6F15" w:rsidRPr="00AC6F15" w:rsidRDefault="00AC6F15" w:rsidP="00AC6F15">
            <w:pPr>
              <w:rPr>
                <w:bCs/>
              </w:rPr>
            </w:pPr>
            <w:r w:rsidRPr="00AC6F15">
              <w:rPr>
                <w:bCs/>
              </w:rPr>
              <w:t>Askesilo, transportbånd</w:t>
            </w:r>
          </w:p>
        </w:tc>
        <w:tc>
          <w:tcPr>
            <w:tcW w:w="1932"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og </w:t>
            </w:r>
            <w:proofErr w:type="spellStart"/>
            <w:r w:rsidRPr="00AC6F15">
              <w:rPr>
                <w:bCs/>
              </w:rPr>
              <w:t>Cr</w:t>
            </w:r>
            <w:proofErr w:type="spellEnd"/>
          </w:p>
        </w:tc>
      </w:tr>
      <w:tr w:rsidR="00AC6F15" w:rsidRPr="00AC6F15" w:rsidTr="006761B7">
        <w:tc>
          <w:tcPr>
            <w:tcW w:w="2410" w:type="dxa"/>
          </w:tcPr>
          <w:p w:rsidR="00AC6F15" w:rsidRPr="00AC6F15" w:rsidRDefault="00AC6F15" w:rsidP="00AC6F15">
            <w:pPr>
              <w:rPr>
                <w:bCs/>
              </w:rPr>
            </w:pPr>
            <w:r w:rsidRPr="00AC6F15">
              <w:rPr>
                <w:bCs/>
              </w:rPr>
              <w:t>Processpildevand</w:t>
            </w:r>
          </w:p>
        </w:tc>
        <w:tc>
          <w:tcPr>
            <w:tcW w:w="2484" w:type="dxa"/>
          </w:tcPr>
          <w:p w:rsidR="00AC6F15" w:rsidRPr="00AC6F15" w:rsidRDefault="00AC6F15" w:rsidP="00AC6F15">
            <w:pPr>
              <w:rPr>
                <w:bCs/>
              </w:rPr>
            </w:pPr>
            <w:r w:rsidRPr="00AC6F15">
              <w:rPr>
                <w:bCs/>
              </w:rPr>
              <w:t>Kloakker og forsinkelse</w:t>
            </w:r>
            <w:r w:rsidRPr="00AC6F15">
              <w:rPr>
                <w:bCs/>
              </w:rPr>
              <w:t>s</w:t>
            </w:r>
            <w:r w:rsidRPr="00AC6F15">
              <w:rPr>
                <w:bCs/>
              </w:rPr>
              <w:t>bassin</w:t>
            </w:r>
          </w:p>
        </w:tc>
        <w:tc>
          <w:tcPr>
            <w:tcW w:w="1932"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og </w:t>
            </w:r>
            <w:proofErr w:type="spellStart"/>
            <w:r w:rsidRPr="00AC6F15">
              <w:rPr>
                <w:bCs/>
              </w:rPr>
              <w:t>Cr</w:t>
            </w:r>
            <w:proofErr w:type="spellEnd"/>
          </w:p>
        </w:tc>
      </w:tr>
      <w:tr w:rsidR="00AC6F15" w:rsidRPr="00AC6F15" w:rsidTr="006761B7">
        <w:tc>
          <w:tcPr>
            <w:tcW w:w="2410" w:type="dxa"/>
          </w:tcPr>
          <w:p w:rsidR="00AC6F15" w:rsidRPr="00AC6F15" w:rsidRDefault="00AC6F15" w:rsidP="00AC6F15">
            <w:pPr>
              <w:rPr>
                <w:bCs/>
              </w:rPr>
            </w:pPr>
            <w:r w:rsidRPr="00AC6F15">
              <w:rPr>
                <w:bCs/>
              </w:rPr>
              <w:t>Slam rensning af spild</w:t>
            </w:r>
            <w:r w:rsidRPr="00AC6F15">
              <w:rPr>
                <w:bCs/>
              </w:rPr>
              <w:t>e</w:t>
            </w:r>
            <w:r w:rsidRPr="00AC6F15">
              <w:rPr>
                <w:bCs/>
              </w:rPr>
              <w:t>vand</w:t>
            </w:r>
          </w:p>
        </w:tc>
        <w:tc>
          <w:tcPr>
            <w:tcW w:w="2484" w:type="dxa"/>
          </w:tcPr>
          <w:p w:rsidR="00AC6F15" w:rsidRPr="00AC6F15" w:rsidRDefault="00AC6F15" w:rsidP="00AC6F15">
            <w:pPr>
              <w:rPr>
                <w:bCs/>
              </w:rPr>
            </w:pPr>
            <w:r w:rsidRPr="00AC6F15">
              <w:rPr>
                <w:bCs/>
              </w:rPr>
              <w:t>Kloakker og forsinkelse</w:t>
            </w:r>
            <w:r w:rsidRPr="00AC6F15">
              <w:rPr>
                <w:bCs/>
              </w:rPr>
              <w:t>s</w:t>
            </w:r>
            <w:r w:rsidRPr="00AC6F15">
              <w:rPr>
                <w:bCs/>
              </w:rPr>
              <w:t>bassin</w:t>
            </w:r>
          </w:p>
        </w:tc>
        <w:tc>
          <w:tcPr>
            <w:tcW w:w="1932" w:type="dxa"/>
          </w:tcPr>
          <w:p w:rsidR="00AC6F15" w:rsidRPr="00AC6F15" w:rsidRDefault="00AC6F15" w:rsidP="00AC6F15">
            <w:pPr>
              <w:rPr>
                <w:bCs/>
              </w:rPr>
            </w:pPr>
            <w:r w:rsidRPr="00AC6F15">
              <w:rPr>
                <w:bCs/>
              </w:rPr>
              <w:t xml:space="preserve">Cd, Hg, Ni, </w:t>
            </w:r>
            <w:proofErr w:type="spellStart"/>
            <w:r w:rsidRPr="00AC6F15">
              <w:rPr>
                <w:bCs/>
              </w:rPr>
              <w:t>Pb</w:t>
            </w:r>
            <w:proofErr w:type="spellEnd"/>
            <w:r w:rsidRPr="00AC6F15">
              <w:rPr>
                <w:bCs/>
              </w:rPr>
              <w:t xml:space="preserve"> og </w:t>
            </w:r>
            <w:proofErr w:type="spellStart"/>
            <w:r w:rsidRPr="00AC6F15">
              <w:rPr>
                <w:bCs/>
              </w:rPr>
              <w:t>Cr</w:t>
            </w:r>
            <w:proofErr w:type="spellEnd"/>
          </w:p>
        </w:tc>
      </w:tr>
    </w:tbl>
    <w:p w:rsidR="00AC6F15" w:rsidRPr="00AC6F15" w:rsidRDefault="00AC6F15" w:rsidP="00AC6F15">
      <w:pPr>
        <w:rPr>
          <w:bCs/>
        </w:rPr>
      </w:pPr>
      <w:r w:rsidRPr="00AC6F15">
        <w:rPr>
          <w:bCs/>
        </w:rPr>
        <w:t xml:space="preserve"> </w:t>
      </w:r>
    </w:p>
    <w:p w:rsidR="00AC6F15" w:rsidRPr="00AC6F15" w:rsidRDefault="00AC6F15" w:rsidP="006761B7">
      <w:pPr>
        <w:ind w:left="851"/>
        <w:rPr>
          <w:bCs/>
        </w:rPr>
      </w:pPr>
      <w:r w:rsidRPr="00AC6F15">
        <w:rPr>
          <w:bCs/>
        </w:rPr>
        <w:t xml:space="preserve">Prøver af grundvand skal tages mindst hvert femte år og prøver af jord skal tages mindst hvert tiende år. Næste kampagne for grundvand skal rapporteres til kommunen hhv. fem og ti år efter forventet </w:t>
      </w:r>
      <w:proofErr w:type="spellStart"/>
      <w:r w:rsidRPr="00AC6F15">
        <w:rPr>
          <w:bCs/>
        </w:rPr>
        <w:t>driftstart</w:t>
      </w:r>
      <w:proofErr w:type="spellEnd"/>
      <w:r w:rsidRPr="00AC6F15">
        <w:rPr>
          <w:bCs/>
        </w:rPr>
        <w:t xml:space="preserve"> eller inden den 1. marts 2023 og for grundvand og</w:t>
      </w:r>
    </w:p>
    <w:p w:rsidR="00AC6F15" w:rsidRPr="00AC6F15" w:rsidRDefault="00AC6F15" w:rsidP="006761B7">
      <w:pPr>
        <w:ind w:left="851"/>
        <w:rPr>
          <w:bCs/>
        </w:rPr>
      </w:pPr>
      <w:r w:rsidRPr="00AC6F15">
        <w:rPr>
          <w:bCs/>
        </w:rPr>
        <w:t>inden 1. marts 2028 for jord.</w:t>
      </w:r>
    </w:p>
    <w:p w:rsidR="00AC6F15" w:rsidRPr="00AC6F15" w:rsidRDefault="00AC6F15" w:rsidP="006761B7">
      <w:pPr>
        <w:ind w:left="851"/>
        <w:rPr>
          <w:bCs/>
        </w:rPr>
      </w:pPr>
    </w:p>
    <w:p w:rsidR="00AC6F15" w:rsidRPr="00AC6F15" w:rsidRDefault="00AC6F15" w:rsidP="006761B7">
      <w:pPr>
        <w:ind w:left="851"/>
        <w:rPr>
          <w:bCs/>
        </w:rPr>
      </w:pPr>
      <w:r w:rsidRPr="00AC6F15">
        <w:rPr>
          <w:bCs/>
        </w:rPr>
        <w:t>Prøverne skal tages, analyserets og rapporteres efter gældende bekend</w:t>
      </w:r>
      <w:r w:rsidRPr="00AC6F15">
        <w:rPr>
          <w:bCs/>
        </w:rPr>
        <w:t>t</w:t>
      </w:r>
      <w:r w:rsidRPr="00AC6F15">
        <w:rPr>
          <w:bCs/>
        </w:rPr>
        <w:t>gørelse om kvalitetskrav i miljømålinger</w:t>
      </w:r>
      <w:r w:rsidRPr="00AC6F15">
        <w:rPr>
          <w:bCs/>
          <w:vertAlign w:val="superscript"/>
        </w:rPr>
        <w:footnoteReference w:id="5"/>
      </w:r>
      <w:r w:rsidRPr="00AC6F15">
        <w:rPr>
          <w:bCs/>
        </w:rPr>
        <w:t>, og sendes til kommunen højst en måned efter de er taget.</w:t>
      </w:r>
    </w:p>
    <w:p w:rsidR="00AC6F15" w:rsidRPr="00AC6F15" w:rsidRDefault="00AC6F15" w:rsidP="006761B7">
      <w:pPr>
        <w:ind w:left="851"/>
        <w:rPr>
          <w:bCs/>
        </w:rPr>
      </w:pPr>
    </w:p>
    <w:p w:rsidR="00AC6F15" w:rsidRPr="00AC6F15" w:rsidRDefault="00AC6F15" w:rsidP="006761B7">
      <w:pPr>
        <w:ind w:left="851"/>
        <w:rPr>
          <w:bCs/>
        </w:rPr>
      </w:pPr>
      <w:r w:rsidRPr="00AC6F15">
        <w:rPr>
          <w:bCs/>
        </w:rPr>
        <w:t>Før hver kampagne for jordprøver skal værket skal foreslå en plan for hvor og hvor mange prøver, der skal tages samt for hvor dybt prøverne skal tages. Prøverne skal tages på de steder, hvor risikoen for en forur</w:t>
      </w:r>
      <w:r w:rsidRPr="00AC6F15">
        <w:rPr>
          <w:bCs/>
        </w:rPr>
        <w:t>e</w:t>
      </w:r>
      <w:r w:rsidRPr="00AC6F15">
        <w:rPr>
          <w:bCs/>
        </w:rPr>
        <w:t xml:space="preserve">ning siden sidst har været størst. Værket skal mindst tage en prøve for hver af de fem nævnte produkter/aktiviteter. Kommunen skal acceptere forslaget før arbejdet med prøvetagningen går i gang. </w:t>
      </w:r>
    </w:p>
    <w:p w:rsidR="00AC6F15" w:rsidRPr="00AC6F15" w:rsidRDefault="00AC6F15" w:rsidP="006761B7">
      <w:pPr>
        <w:ind w:left="851"/>
        <w:rPr>
          <w:bCs/>
        </w:rPr>
      </w:pPr>
    </w:p>
    <w:p w:rsidR="00AC6F15" w:rsidRPr="00AC6F15" w:rsidRDefault="00AC6F15" w:rsidP="006761B7">
      <w:pPr>
        <w:ind w:left="851"/>
        <w:rPr>
          <w:bCs/>
        </w:rPr>
      </w:pPr>
      <w:r w:rsidRPr="00AC6F15">
        <w:rPr>
          <w:bCs/>
        </w:rPr>
        <w:t xml:space="preserve">Før næste kampagne for grundvandsprøver skal værket skal foreslå en plan for hvor, der skal tages prøver. Prøverne skal tages på de steder, hvor risikoen for en forurening vil være størst. Værket skal mindst tage en prøve for hver af de fem nævnte produkter/aktiviteter. Kommunen skal acceptere forslaget før arbejdet med prøvetagningen går i gang. </w:t>
      </w:r>
    </w:p>
    <w:p w:rsidR="00AC6F15" w:rsidRPr="00AC6F15" w:rsidRDefault="00AC6F15" w:rsidP="00AC6F15">
      <w:pPr>
        <w:rPr>
          <w:bCs/>
        </w:rPr>
      </w:pPr>
    </w:p>
    <w:p w:rsidR="00A97C9C" w:rsidRPr="00591936" w:rsidRDefault="00506981" w:rsidP="00A97C9C">
      <w:pPr>
        <w:rPr>
          <w:b/>
        </w:rPr>
      </w:pPr>
      <w:r>
        <w:rPr>
          <w:b/>
        </w:rPr>
        <w:br w:type="column"/>
      </w:r>
      <w:r w:rsidR="00A97C9C">
        <w:rPr>
          <w:b/>
        </w:rPr>
        <w:lastRenderedPageBreak/>
        <w:t>Klagevejledning</w:t>
      </w:r>
    </w:p>
    <w:p w:rsidR="00A97C9C" w:rsidRPr="00FB43C1" w:rsidRDefault="00A97C9C" w:rsidP="00A97C9C">
      <w:r w:rsidRPr="00FB43C1">
        <w:t>I kan klage over afgørelsen.</w:t>
      </w:r>
      <w:r>
        <w:t xml:space="preserve"> Ønsker I at klage, skal I senest</w:t>
      </w:r>
      <w:r w:rsidRPr="00FB43C1">
        <w:t xml:space="preserve"> den </w:t>
      </w:r>
      <w:r>
        <w:t>4. januar 2017 have indtastet klagen</w:t>
      </w:r>
      <w:r w:rsidRPr="00FB43C1">
        <w:t xml:space="preserve"> i Natur- og Miljøklagenævnets klageportal, som I kan finde på klagenævnets </w:t>
      </w:r>
      <w:hyperlink r:id="rId9" w:history="1">
        <w:r w:rsidRPr="00FB43C1">
          <w:rPr>
            <w:rStyle w:val="Hyperlink"/>
          </w:rPr>
          <w:t>hjemmeside</w:t>
        </w:r>
      </w:hyperlink>
      <w:r w:rsidRPr="00FB43C1">
        <w:t>.</w:t>
      </w:r>
    </w:p>
    <w:p w:rsidR="00A97C9C" w:rsidRPr="00FB43C1" w:rsidRDefault="00A97C9C" w:rsidP="00A97C9C"/>
    <w:p w:rsidR="00A97C9C" w:rsidRPr="00FB43C1" w:rsidRDefault="00A97C9C" w:rsidP="00A97C9C">
      <w:r w:rsidRPr="00FB43C1">
        <w:t>Visse interesseorganisationer kan også klage. Vi sender derfor kopi af afgørelsen til dem, der har ønsket det.</w:t>
      </w:r>
    </w:p>
    <w:p w:rsidR="00A97C9C" w:rsidRPr="00FB43C1" w:rsidRDefault="00A97C9C" w:rsidP="00A97C9C"/>
    <w:p w:rsidR="00A97C9C" w:rsidRPr="00FB43C1" w:rsidRDefault="00A97C9C" w:rsidP="00A97C9C">
      <w:r>
        <w:t>Enhver med en</w:t>
      </w:r>
      <w:r w:rsidRPr="00FB43C1">
        <w:t xml:space="preserve"> individuel interesse i sagen</w:t>
      </w:r>
      <w:r>
        <w:t xml:space="preserve"> kan også klage. Vi </w:t>
      </w:r>
      <w:r w:rsidRPr="00FB43C1">
        <w:t>sætter derfor en annonce om afgørelsen på vores hjemmeside.</w:t>
      </w:r>
      <w:r>
        <w:t xml:space="preserve"> Enhver kan desuden komme til at se kommunens dokumenter i denne sag.</w:t>
      </w:r>
    </w:p>
    <w:p w:rsidR="00A97C9C" w:rsidRPr="00FB43C1" w:rsidRDefault="00A97C9C" w:rsidP="00A97C9C"/>
    <w:p w:rsidR="00A97C9C" w:rsidRPr="00FB43C1" w:rsidRDefault="00A97C9C" w:rsidP="00A97C9C">
      <w:r w:rsidRPr="00FB43C1">
        <w:t xml:space="preserve">Hvis Natur- og Miljøklagenævnet modtager en klage får </w:t>
      </w:r>
      <w:r>
        <w:t xml:space="preserve">både </w:t>
      </w:r>
      <w:r w:rsidRPr="00FB43C1">
        <w:t>I</w:t>
      </w:r>
      <w:r>
        <w:t xml:space="preserve"> og vi</w:t>
      </w:r>
      <w:r w:rsidRPr="00FB43C1">
        <w:t xml:space="preserve"> besked. Det koster 500 kroner at få klagen behandlet, og Natur- og Miljøklagenævnet sender en opkrævning. I får pengene tilbage, hvis I får helt eller delvist medhold i klagen.</w:t>
      </w:r>
    </w:p>
    <w:p w:rsidR="00A97C9C" w:rsidRPr="00FB43C1" w:rsidRDefault="00A97C9C" w:rsidP="00A97C9C"/>
    <w:p w:rsidR="00A97C9C" w:rsidRPr="00FB43C1" w:rsidRDefault="00A97C9C" w:rsidP="00A97C9C">
      <w:r w:rsidRPr="00FB43C1">
        <w:t>Afgørelsen kan også bringes for domstolene inden</w:t>
      </w:r>
      <w:r w:rsidR="00506981">
        <w:t xml:space="preserve"> den 6. juni 2017</w:t>
      </w:r>
      <w:r w:rsidRPr="00FB43C1">
        <w:t>.</w:t>
      </w:r>
    </w:p>
    <w:p w:rsidR="00A97C9C" w:rsidRPr="00FB43C1" w:rsidRDefault="00A97C9C" w:rsidP="00A97C9C"/>
    <w:p w:rsidR="00A97C9C" w:rsidRPr="00FB43C1" w:rsidRDefault="00A97C9C" w:rsidP="00A97C9C">
      <w:r w:rsidRPr="00FB43C1">
        <w:t>Kopi:</w:t>
      </w:r>
    </w:p>
    <w:p w:rsidR="00A97C9C" w:rsidRPr="00FB43C1" w:rsidRDefault="00A97C9C" w:rsidP="00A97C9C">
      <w:pPr>
        <w:numPr>
          <w:ilvl w:val="0"/>
          <w:numId w:val="11"/>
        </w:numPr>
      </w:pPr>
      <w:r w:rsidRPr="00FB43C1">
        <w:t>Danmarks naturfredningsforening (</w:t>
      </w:r>
      <w:hyperlink r:id="rId10" w:history="1">
        <w:r w:rsidRPr="00FB43C1">
          <w:rPr>
            <w:rStyle w:val="Hyperlink"/>
          </w:rPr>
          <w:t>dn@dn.dk</w:t>
        </w:r>
      </w:hyperlink>
      <w:r w:rsidRPr="00FB43C1">
        <w:t>)</w:t>
      </w:r>
    </w:p>
    <w:p w:rsidR="00A97C9C" w:rsidRPr="00FB43C1" w:rsidRDefault="00A97C9C" w:rsidP="00A97C9C">
      <w:pPr>
        <w:numPr>
          <w:ilvl w:val="0"/>
          <w:numId w:val="11"/>
        </w:numPr>
      </w:pPr>
      <w:r w:rsidRPr="00FB43C1">
        <w:t>Sundhedsstyrelsen (</w:t>
      </w:r>
      <w:hyperlink r:id="rId11" w:history="1">
        <w:r w:rsidRPr="00FB43C1">
          <w:rPr>
            <w:rStyle w:val="Hyperlink"/>
          </w:rPr>
          <w:t>sst@sst.dk</w:t>
        </w:r>
      </w:hyperlink>
      <w:r w:rsidRPr="00FB43C1">
        <w:t>)</w:t>
      </w:r>
    </w:p>
    <w:p w:rsidR="00AC6F15" w:rsidRPr="00AC6F15" w:rsidRDefault="00AC6F15" w:rsidP="00AC6F15">
      <w:pPr>
        <w:rPr>
          <w:b/>
          <w:bCs/>
        </w:rPr>
      </w:pPr>
    </w:p>
    <w:p w:rsidR="00AC6F15" w:rsidRPr="00AC6F15" w:rsidRDefault="00AC6F15" w:rsidP="00AC6F15">
      <w:pPr>
        <w:rPr>
          <w:b/>
          <w:bCs/>
        </w:rPr>
      </w:pPr>
    </w:p>
    <w:p w:rsidR="00AC6F15" w:rsidRPr="00AC6F15" w:rsidRDefault="00AC6F15" w:rsidP="00AC6F15"/>
    <w:p w:rsidR="00AC6F15" w:rsidRPr="00AC6F15" w:rsidRDefault="00AC6F15" w:rsidP="00AC6F15"/>
    <w:p w:rsidR="00AC6F15" w:rsidRPr="00AC6F15" w:rsidRDefault="00AC6F15" w:rsidP="00AC6F15"/>
    <w:p w:rsidR="00AC6F15" w:rsidRPr="00AC6F15" w:rsidRDefault="00AC6F15" w:rsidP="00AC6F15">
      <w:r w:rsidRPr="00AC6F15">
        <w:t>Med venlig hilsen</w:t>
      </w:r>
    </w:p>
    <w:p w:rsidR="00AC6F15" w:rsidRPr="00AC6F15" w:rsidRDefault="00AC6F15" w:rsidP="00AC6F15">
      <w:r w:rsidRPr="00AC6F15">
        <w:rPr>
          <w:noProof/>
          <w:lang w:eastAsia="da-DK"/>
        </w:rPr>
        <w:drawing>
          <wp:inline distT="0" distB="0" distL="0" distR="0" wp14:anchorId="20BA849A" wp14:editId="2E7DC1DE">
            <wp:extent cx="1877291" cy="469403"/>
            <wp:effectExtent l="0" t="0" r="8890" b="698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7526" cy="469462"/>
                    </a:xfrm>
                    <a:prstGeom prst="rect">
                      <a:avLst/>
                    </a:prstGeom>
                    <a:noFill/>
                    <a:ln>
                      <a:noFill/>
                    </a:ln>
                  </pic:spPr>
                </pic:pic>
              </a:graphicData>
            </a:graphic>
          </wp:inline>
        </w:drawing>
      </w:r>
    </w:p>
    <w:p w:rsidR="00AC6F15" w:rsidRPr="00AC6F15" w:rsidRDefault="00AC6F15" w:rsidP="00AC6F15">
      <w:r w:rsidRPr="00AC6F15">
        <w:t>Malene Kamstrup</w:t>
      </w:r>
    </w:p>
    <w:p w:rsidR="00AC6F15" w:rsidRPr="00AC6F15" w:rsidRDefault="00AC6F15" w:rsidP="00AC6F15">
      <w:r w:rsidRPr="00AC6F15">
        <w:t>Ingeniør</w:t>
      </w:r>
    </w:p>
    <w:p w:rsidR="004A09AB" w:rsidRPr="00AC6F15" w:rsidRDefault="004A09AB" w:rsidP="005C2578"/>
    <w:p w:rsidR="004A09AB" w:rsidRPr="00AC6F15" w:rsidRDefault="004A09AB" w:rsidP="005C2578"/>
    <w:p w:rsidR="00E63AE4" w:rsidRPr="00AC6F15" w:rsidRDefault="00E63AE4" w:rsidP="00B51C65"/>
    <w:sectPr w:rsidR="00E63AE4" w:rsidRPr="00AC6F15" w:rsidSect="00EC2CE0">
      <w:headerReference w:type="even" r:id="rId13"/>
      <w:headerReference w:type="default" r:id="rId14"/>
      <w:footerReference w:type="even" r:id="rId15"/>
      <w:footerReference w:type="default" r:id="rId16"/>
      <w:headerReference w:type="first" r:id="rId17"/>
      <w:footerReference w:type="first" r:id="rId18"/>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6BB" w:rsidRPr="00AC6F15" w:rsidRDefault="004426BB" w:rsidP="00413091">
      <w:pPr>
        <w:spacing w:line="240" w:lineRule="auto"/>
      </w:pPr>
      <w:r w:rsidRPr="00AC6F15">
        <w:separator/>
      </w:r>
    </w:p>
  </w:endnote>
  <w:endnote w:type="continuationSeparator" w:id="0">
    <w:p w:rsidR="004426BB" w:rsidRPr="00AC6F15" w:rsidRDefault="004426BB" w:rsidP="00413091">
      <w:pPr>
        <w:spacing w:line="240" w:lineRule="auto"/>
      </w:pPr>
      <w:r w:rsidRPr="00AC6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15" w:rsidRDefault="00AC6F15">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15" w:rsidRDefault="00AC6F15">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15" w:rsidRDefault="00AC6F1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6BB" w:rsidRPr="00AC6F15" w:rsidRDefault="004426BB" w:rsidP="00413091">
      <w:pPr>
        <w:spacing w:line="240" w:lineRule="auto"/>
      </w:pPr>
      <w:r w:rsidRPr="00AC6F15">
        <w:separator/>
      </w:r>
    </w:p>
  </w:footnote>
  <w:footnote w:type="continuationSeparator" w:id="0">
    <w:p w:rsidR="004426BB" w:rsidRPr="00AC6F15" w:rsidRDefault="004426BB" w:rsidP="00413091">
      <w:pPr>
        <w:spacing w:line="240" w:lineRule="auto"/>
      </w:pPr>
      <w:r w:rsidRPr="00AC6F15">
        <w:continuationSeparator/>
      </w:r>
    </w:p>
  </w:footnote>
  <w:footnote w:id="1">
    <w:p w:rsidR="00AC6F15" w:rsidRDefault="00AC6F15" w:rsidP="00AC6F15">
      <w:pPr>
        <w:pStyle w:val="Fodnotetekst"/>
      </w:pPr>
      <w:r>
        <w:rPr>
          <w:rStyle w:val="Fodnotehenvisning"/>
        </w:rPr>
        <w:footnoteRef/>
      </w:r>
      <w:r>
        <w:t xml:space="preserve"> Bekendtgørelse om begrænsning af visse luftforurenede emissioner fra store fyringsanlæg, nr. 162 af 16. februar 2015</w:t>
      </w:r>
    </w:p>
  </w:footnote>
  <w:footnote w:id="2">
    <w:p w:rsidR="00AC6F15" w:rsidRPr="000D1EDC" w:rsidRDefault="00AC6F15" w:rsidP="00AC6F15">
      <w:pPr>
        <w:pStyle w:val="Fodnotetekst"/>
        <w:rPr>
          <w:lang w:val="en-US"/>
        </w:rPr>
      </w:pPr>
      <w:r>
        <w:rPr>
          <w:rStyle w:val="Fodnotehenvisning"/>
        </w:rPr>
        <w:footnoteRef/>
      </w:r>
      <w:r w:rsidRPr="000D1EDC">
        <w:rPr>
          <w:lang w:val="en-US"/>
        </w:rPr>
        <w:t xml:space="preserve"> Best Available Techniques (BAT) Reference Document for large Co</w:t>
      </w:r>
      <w:r w:rsidRPr="000D1EDC">
        <w:rPr>
          <w:lang w:val="en-US"/>
        </w:rPr>
        <w:t>m</w:t>
      </w:r>
      <w:r w:rsidRPr="000D1EDC">
        <w:rPr>
          <w:lang w:val="en-US"/>
        </w:rPr>
        <w:t>bustion Plants, Draft 1, June 2013.</w:t>
      </w:r>
    </w:p>
  </w:footnote>
  <w:footnote w:id="3">
    <w:p w:rsidR="00AC6F15" w:rsidRDefault="00AC6F15" w:rsidP="00AC6F15">
      <w:pPr>
        <w:pStyle w:val="Fodnotetekst"/>
      </w:pPr>
      <w:r>
        <w:rPr>
          <w:rStyle w:val="Fodnotehenvisning"/>
        </w:rPr>
        <w:footnoteRef/>
      </w:r>
      <w:r>
        <w:t xml:space="preserve"> Bekendtgørelse </w:t>
      </w:r>
      <w:r w:rsidRPr="0011476C">
        <w:t>om anlæg, der forbrænder affald</w:t>
      </w:r>
      <w:r>
        <w:t>, nr. 1451 af 20. d</w:t>
      </w:r>
      <w:r>
        <w:t>e</w:t>
      </w:r>
      <w:r>
        <w:t>cember 2012</w:t>
      </w:r>
    </w:p>
  </w:footnote>
  <w:footnote w:id="4">
    <w:p w:rsidR="00AC6F15" w:rsidRDefault="00AC6F15" w:rsidP="00AC6F15">
      <w:pPr>
        <w:pStyle w:val="Fodnotetekst"/>
      </w:pPr>
      <w:r>
        <w:rPr>
          <w:rStyle w:val="Fodnotehenvisning"/>
        </w:rPr>
        <w:footnoteRef/>
      </w:r>
      <w:r>
        <w:t xml:space="preserve"> </w:t>
      </w:r>
      <w:r w:rsidRPr="00DA4D27">
        <w:t>Bekendtgørelse om godkendelse af listevirksomhed</w:t>
      </w:r>
      <w:r w:rsidR="006761B7">
        <w:t>, nr. 514</w:t>
      </w:r>
      <w:r>
        <w:t xml:space="preserve"> af </w:t>
      </w:r>
      <w:r w:rsidR="006761B7">
        <w:t>27</w:t>
      </w:r>
      <w:r>
        <w:t xml:space="preserve">. </w:t>
      </w:r>
      <w:r w:rsidR="006761B7">
        <w:t>maj 2016</w:t>
      </w:r>
      <w:r>
        <w:t>.</w:t>
      </w:r>
    </w:p>
  </w:footnote>
  <w:footnote w:id="5">
    <w:p w:rsidR="00AC6F15" w:rsidRDefault="00AC6F15" w:rsidP="00AC6F15">
      <w:pPr>
        <w:pStyle w:val="Fodnotetekst"/>
      </w:pPr>
      <w:r>
        <w:rPr>
          <w:rStyle w:val="Fodnotehenvisning"/>
        </w:rPr>
        <w:footnoteRef/>
      </w:r>
      <w:r>
        <w:t xml:space="preserve"> Bekendtgørelse </w:t>
      </w:r>
      <w:r w:rsidRPr="000045D6">
        <w:t>om kvalitetskrav til miljømålinger</w:t>
      </w:r>
      <w:r>
        <w:t>, nr. 231 af 5. marts 2014 bilag 1.3 og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F15" w:rsidRDefault="00AC6F15">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6558EB" w:rsidRPr="00AC6F15" w:rsidTr="00B51C65">
      <w:trPr>
        <w:trHeight w:hRule="exact" w:val="397"/>
      </w:trPr>
      <w:tc>
        <w:tcPr>
          <w:tcW w:w="2268" w:type="dxa"/>
        </w:tcPr>
        <w:p w:rsidR="006558EB" w:rsidRPr="00AC6F15" w:rsidRDefault="006558EB" w:rsidP="00B51C65">
          <w:pPr>
            <w:pStyle w:val="SidetalTop"/>
          </w:pPr>
          <w:r w:rsidRPr="00AC6F15">
            <w:t xml:space="preserve">SIDE </w:t>
          </w:r>
          <w:r w:rsidRPr="00AC6F15">
            <w:fldChar w:fldCharType="begin"/>
          </w:r>
          <w:r w:rsidRPr="00AC6F15">
            <w:instrText>PAGE   \* MERGEFORMAT</w:instrText>
          </w:r>
          <w:r w:rsidRPr="00AC6F15">
            <w:fldChar w:fldCharType="separate"/>
          </w:r>
          <w:r w:rsidR="00D60161">
            <w:rPr>
              <w:noProof/>
            </w:rPr>
            <w:t>11</w:t>
          </w:r>
          <w:r w:rsidRPr="00AC6F15">
            <w:fldChar w:fldCharType="end"/>
          </w:r>
        </w:p>
      </w:tc>
    </w:tr>
    <w:tr w:rsidR="006558EB" w:rsidRPr="00AC6F15" w:rsidTr="00B51C65">
      <w:trPr>
        <w:trHeight w:hRule="exact" w:val="737"/>
      </w:trPr>
      <w:tc>
        <w:tcPr>
          <w:tcW w:w="2268" w:type="dxa"/>
        </w:tcPr>
        <w:p w:rsidR="006558EB" w:rsidRPr="00AC6F15" w:rsidRDefault="00AC6F15" w:rsidP="00AC6F15">
          <w:pPr>
            <w:pStyle w:val="Kolofon"/>
          </w:pPr>
          <w:r w:rsidRPr="00AC6F15">
            <w:rPr>
              <w:rFonts w:ascii="Calibri" w:hAnsi="Calibri"/>
            </w:rPr>
            <w:t>Helsingør Kommune</w:t>
          </w:r>
        </w:p>
      </w:tc>
    </w:tr>
  </w:tbl>
  <w:p w:rsidR="006558EB" w:rsidRPr="00AC6F15" w:rsidRDefault="006558EB">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8EB" w:rsidRPr="00AC6F15" w:rsidRDefault="00AC6F15">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14:anchorId="303E2706" wp14:editId="5B6BE94B">
          <wp:simplePos x="0" y="0"/>
          <wp:positionH relativeFrom="page">
            <wp:posOffset>5872480</wp:posOffset>
          </wp:positionH>
          <wp:positionV relativeFrom="page">
            <wp:posOffset>467995</wp:posOffset>
          </wp:positionV>
          <wp:extent cx="1219200" cy="363415"/>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363415"/>
                  </a:xfrm>
                  <a:prstGeom prst="rect">
                    <a:avLst/>
                  </a:prstGeom>
                </pic:spPr>
              </pic:pic>
            </a:graphicData>
          </a:graphic>
        </wp:anchor>
      </w:drawing>
    </w: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rsidP="004C79E7">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sz w:val="20"/>
      </w:rPr>
    </w:pPr>
  </w:p>
  <w:p w:rsidR="006558EB" w:rsidRPr="00AC6F15" w:rsidRDefault="006558EB">
    <w:pPr>
      <w:pStyle w:val="Sidehoved"/>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C15767D"/>
    <w:multiLevelType w:val="hybridMultilevel"/>
    <w:tmpl w:val="C6AC5FEE"/>
    <w:lvl w:ilvl="0" w:tplc="04060019">
      <w:start w:val="1"/>
      <w:numFmt w:val="lowerLetter"/>
      <w:lvlText w:val="%1."/>
      <w:lvlJc w:val="left"/>
      <w:pPr>
        <w:ind w:left="1664" w:hanging="360"/>
      </w:pPr>
    </w:lvl>
    <w:lvl w:ilvl="1" w:tplc="04060019" w:tentative="1">
      <w:start w:val="1"/>
      <w:numFmt w:val="lowerLetter"/>
      <w:lvlText w:val="%2."/>
      <w:lvlJc w:val="left"/>
      <w:pPr>
        <w:ind w:left="2629" w:hanging="360"/>
      </w:pPr>
    </w:lvl>
    <w:lvl w:ilvl="2" w:tplc="0406001B" w:tentative="1">
      <w:start w:val="1"/>
      <w:numFmt w:val="lowerRoman"/>
      <w:lvlText w:val="%3."/>
      <w:lvlJc w:val="right"/>
      <w:pPr>
        <w:ind w:left="3349" w:hanging="180"/>
      </w:pPr>
    </w:lvl>
    <w:lvl w:ilvl="3" w:tplc="0406000F" w:tentative="1">
      <w:start w:val="1"/>
      <w:numFmt w:val="decimal"/>
      <w:lvlText w:val="%4."/>
      <w:lvlJc w:val="left"/>
      <w:pPr>
        <w:ind w:left="4069" w:hanging="360"/>
      </w:pPr>
    </w:lvl>
    <w:lvl w:ilvl="4" w:tplc="04060019" w:tentative="1">
      <w:start w:val="1"/>
      <w:numFmt w:val="lowerLetter"/>
      <w:lvlText w:val="%5."/>
      <w:lvlJc w:val="left"/>
      <w:pPr>
        <w:ind w:left="4789" w:hanging="360"/>
      </w:pPr>
    </w:lvl>
    <w:lvl w:ilvl="5" w:tplc="0406001B" w:tentative="1">
      <w:start w:val="1"/>
      <w:numFmt w:val="lowerRoman"/>
      <w:lvlText w:val="%6."/>
      <w:lvlJc w:val="right"/>
      <w:pPr>
        <w:ind w:left="5509" w:hanging="180"/>
      </w:pPr>
    </w:lvl>
    <w:lvl w:ilvl="6" w:tplc="0406000F" w:tentative="1">
      <w:start w:val="1"/>
      <w:numFmt w:val="decimal"/>
      <w:lvlText w:val="%7."/>
      <w:lvlJc w:val="left"/>
      <w:pPr>
        <w:ind w:left="6229" w:hanging="360"/>
      </w:pPr>
    </w:lvl>
    <w:lvl w:ilvl="7" w:tplc="04060019" w:tentative="1">
      <w:start w:val="1"/>
      <w:numFmt w:val="lowerLetter"/>
      <w:lvlText w:val="%8."/>
      <w:lvlJc w:val="left"/>
      <w:pPr>
        <w:ind w:left="6949" w:hanging="360"/>
      </w:pPr>
    </w:lvl>
    <w:lvl w:ilvl="8" w:tplc="0406001B" w:tentative="1">
      <w:start w:val="1"/>
      <w:numFmt w:val="lowerRoman"/>
      <w:lvlText w:val="%9."/>
      <w:lvlJc w:val="right"/>
      <w:pPr>
        <w:ind w:left="7669" w:hanging="180"/>
      </w:pPr>
    </w:lvl>
  </w:abstractNum>
  <w:abstractNum w:abstractNumId="2">
    <w:nsid w:val="2C271C30"/>
    <w:multiLevelType w:val="hybridMultilevel"/>
    <w:tmpl w:val="48847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3F862F3A"/>
    <w:multiLevelType w:val="hybridMultilevel"/>
    <w:tmpl w:val="A11C5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33679D5"/>
    <w:multiLevelType w:val="hybridMultilevel"/>
    <w:tmpl w:val="77C409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0600313"/>
    <w:multiLevelType w:val="hybridMultilevel"/>
    <w:tmpl w:val="606C7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6E9757D3"/>
    <w:multiLevelType w:val="hybridMultilevel"/>
    <w:tmpl w:val="FA5A0F52"/>
    <w:lvl w:ilvl="0" w:tplc="04060001">
      <w:start w:val="1"/>
      <w:numFmt w:val="bullet"/>
      <w:lvlText w:val=""/>
      <w:lvlJc w:val="left"/>
      <w:pPr>
        <w:ind w:left="1637" w:hanging="360"/>
      </w:pPr>
      <w:rPr>
        <w:rFonts w:ascii="Symbol" w:hAnsi="Symbol" w:hint="default"/>
      </w:rPr>
    </w:lvl>
    <w:lvl w:ilvl="1" w:tplc="04060003" w:tentative="1">
      <w:start w:val="1"/>
      <w:numFmt w:val="bullet"/>
      <w:lvlText w:val="o"/>
      <w:lvlJc w:val="left"/>
      <w:pPr>
        <w:ind w:left="2357" w:hanging="360"/>
      </w:pPr>
      <w:rPr>
        <w:rFonts w:ascii="Courier New" w:hAnsi="Courier New" w:cs="Courier New" w:hint="default"/>
      </w:rPr>
    </w:lvl>
    <w:lvl w:ilvl="2" w:tplc="04060005" w:tentative="1">
      <w:start w:val="1"/>
      <w:numFmt w:val="bullet"/>
      <w:lvlText w:val=""/>
      <w:lvlJc w:val="left"/>
      <w:pPr>
        <w:ind w:left="3077" w:hanging="360"/>
      </w:pPr>
      <w:rPr>
        <w:rFonts w:ascii="Wingdings" w:hAnsi="Wingdings" w:hint="default"/>
      </w:rPr>
    </w:lvl>
    <w:lvl w:ilvl="3" w:tplc="04060001" w:tentative="1">
      <w:start w:val="1"/>
      <w:numFmt w:val="bullet"/>
      <w:lvlText w:val=""/>
      <w:lvlJc w:val="left"/>
      <w:pPr>
        <w:ind w:left="3797" w:hanging="360"/>
      </w:pPr>
      <w:rPr>
        <w:rFonts w:ascii="Symbol" w:hAnsi="Symbol" w:hint="default"/>
      </w:rPr>
    </w:lvl>
    <w:lvl w:ilvl="4" w:tplc="04060003" w:tentative="1">
      <w:start w:val="1"/>
      <w:numFmt w:val="bullet"/>
      <w:lvlText w:val="o"/>
      <w:lvlJc w:val="left"/>
      <w:pPr>
        <w:ind w:left="4517" w:hanging="360"/>
      </w:pPr>
      <w:rPr>
        <w:rFonts w:ascii="Courier New" w:hAnsi="Courier New" w:cs="Courier New" w:hint="default"/>
      </w:rPr>
    </w:lvl>
    <w:lvl w:ilvl="5" w:tplc="04060005" w:tentative="1">
      <w:start w:val="1"/>
      <w:numFmt w:val="bullet"/>
      <w:lvlText w:val=""/>
      <w:lvlJc w:val="left"/>
      <w:pPr>
        <w:ind w:left="5237" w:hanging="360"/>
      </w:pPr>
      <w:rPr>
        <w:rFonts w:ascii="Wingdings" w:hAnsi="Wingdings" w:hint="default"/>
      </w:rPr>
    </w:lvl>
    <w:lvl w:ilvl="6" w:tplc="04060001" w:tentative="1">
      <w:start w:val="1"/>
      <w:numFmt w:val="bullet"/>
      <w:lvlText w:val=""/>
      <w:lvlJc w:val="left"/>
      <w:pPr>
        <w:ind w:left="5957" w:hanging="360"/>
      </w:pPr>
      <w:rPr>
        <w:rFonts w:ascii="Symbol" w:hAnsi="Symbol" w:hint="default"/>
      </w:rPr>
    </w:lvl>
    <w:lvl w:ilvl="7" w:tplc="04060003" w:tentative="1">
      <w:start w:val="1"/>
      <w:numFmt w:val="bullet"/>
      <w:lvlText w:val="o"/>
      <w:lvlJc w:val="left"/>
      <w:pPr>
        <w:ind w:left="6677" w:hanging="360"/>
      </w:pPr>
      <w:rPr>
        <w:rFonts w:ascii="Courier New" w:hAnsi="Courier New" w:cs="Courier New" w:hint="default"/>
      </w:rPr>
    </w:lvl>
    <w:lvl w:ilvl="8" w:tplc="04060005" w:tentative="1">
      <w:start w:val="1"/>
      <w:numFmt w:val="bullet"/>
      <w:lvlText w:val=""/>
      <w:lvlJc w:val="left"/>
      <w:pPr>
        <w:ind w:left="7397" w:hanging="360"/>
      </w:pPr>
      <w:rPr>
        <w:rFonts w:ascii="Wingdings" w:hAnsi="Wingdings" w:hint="default"/>
      </w:rPr>
    </w:lvl>
  </w:abstractNum>
  <w:abstractNum w:abstractNumId="7">
    <w:nsid w:val="74D42C8C"/>
    <w:multiLevelType w:val="hybridMultilevel"/>
    <w:tmpl w:val="EAFEBD0E"/>
    <w:lvl w:ilvl="0" w:tplc="7B340A32">
      <w:start w:val="1"/>
      <w:numFmt w:val="lowerLetter"/>
      <w:lvlText w:val="%1."/>
      <w:lvlJc w:val="left"/>
      <w:pPr>
        <w:ind w:left="1505" w:hanging="360"/>
      </w:pPr>
      <w:rPr>
        <w:rFonts w:ascii="Verdana" w:eastAsia="Times New Roman" w:hAnsi="Verdana" w:cs="Tahoma"/>
      </w:rPr>
    </w:lvl>
    <w:lvl w:ilvl="1" w:tplc="04060019">
      <w:start w:val="1"/>
      <w:numFmt w:val="lowerLetter"/>
      <w:lvlText w:val="%2."/>
      <w:lvlJc w:val="left"/>
      <w:pPr>
        <w:ind w:left="2225" w:hanging="360"/>
      </w:pPr>
    </w:lvl>
    <w:lvl w:ilvl="2" w:tplc="0406001B" w:tentative="1">
      <w:start w:val="1"/>
      <w:numFmt w:val="lowerRoman"/>
      <w:lvlText w:val="%3."/>
      <w:lvlJc w:val="right"/>
      <w:pPr>
        <w:ind w:left="2945" w:hanging="180"/>
      </w:pPr>
    </w:lvl>
    <w:lvl w:ilvl="3" w:tplc="0406000F" w:tentative="1">
      <w:start w:val="1"/>
      <w:numFmt w:val="decimal"/>
      <w:lvlText w:val="%4."/>
      <w:lvlJc w:val="left"/>
      <w:pPr>
        <w:ind w:left="3665" w:hanging="360"/>
      </w:pPr>
    </w:lvl>
    <w:lvl w:ilvl="4" w:tplc="04060019" w:tentative="1">
      <w:start w:val="1"/>
      <w:numFmt w:val="lowerLetter"/>
      <w:lvlText w:val="%5."/>
      <w:lvlJc w:val="left"/>
      <w:pPr>
        <w:ind w:left="4385" w:hanging="360"/>
      </w:pPr>
    </w:lvl>
    <w:lvl w:ilvl="5" w:tplc="0406001B" w:tentative="1">
      <w:start w:val="1"/>
      <w:numFmt w:val="lowerRoman"/>
      <w:lvlText w:val="%6."/>
      <w:lvlJc w:val="right"/>
      <w:pPr>
        <w:ind w:left="5105" w:hanging="180"/>
      </w:pPr>
    </w:lvl>
    <w:lvl w:ilvl="6" w:tplc="0406000F" w:tentative="1">
      <w:start w:val="1"/>
      <w:numFmt w:val="decimal"/>
      <w:lvlText w:val="%7."/>
      <w:lvlJc w:val="left"/>
      <w:pPr>
        <w:ind w:left="5825" w:hanging="360"/>
      </w:pPr>
    </w:lvl>
    <w:lvl w:ilvl="7" w:tplc="04060019" w:tentative="1">
      <w:start w:val="1"/>
      <w:numFmt w:val="lowerLetter"/>
      <w:lvlText w:val="%8."/>
      <w:lvlJc w:val="left"/>
      <w:pPr>
        <w:ind w:left="6545" w:hanging="360"/>
      </w:pPr>
    </w:lvl>
    <w:lvl w:ilvl="8" w:tplc="0406001B" w:tentative="1">
      <w:start w:val="1"/>
      <w:numFmt w:val="lowerRoman"/>
      <w:lvlText w:val="%9."/>
      <w:lvlJc w:val="right"/>
      <w:pPr>
        <w:ind w:left="7265" w:hanging="180"/>
      </w:pPr>
    </w:lvl>
  </w:abstractNum>
  <w:abstractNum w:abstractNumId="8">
    <w:nsid w:val="75254F7A"/>
    <w:multiLevelType w:val="hybridMultilevel"/>
    <w:tmpl w:val="937C931A"/>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9">
    <w:nsid w:val="798248B1"/>
    <w:multiLevelType w:val="hybridMultilevel"/>
    <w:tmpl w:val="E6E8F1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7"/>
  </w:num>
  <w:num w:numId="3">
    <w:abstractNumId w:val="1"/>
  </w:num>
  <w:num w:numId="4">
    <w:abstractNumId w:val="8"/>
  </w:num>
  <w:num w:numId="5">
    <w:abstractNumId w:val="4"/>
  </w:num>
  <w:num w:numId="6">
    <w:abstractNumId w:val="3"/>
  </w:num>
  <w:num w:numId="7">
    <w:abstractNumId w:val="9"/>
  </w:num>
  <w:num w:numId="8">
    <w:abstractNumId w:val="5"/>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dotm"/>
    <w:docVar w:name="DocCaseNo" w:val="16/"/>
    <w:docVar w:name="DocumentCreated" w:val="DocumentCreated"/>
    <w:docVar w:name="DocumentCreatedOK" w:val="DocumentCreatedOK"/>
    <w:docVar w:name="DocumentInitialized" w:val="OK"/>
    <w:docVar w:name="IntegrationType" w:val="StandAlone"/>
    <w:docVar w:name="IsDocument" w:val=" "/>
  </w:docVars>
  <w:rsids>
    <w:rsidRoot w:val="00AC6F15"/>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453D"/>
    <w:rsid w:val="000B5826"/>
    <w:rsid w:val="000F3608"/>
    <w:rsid w:val="001057B1"/>
    <w:rsid w:val="00105D58"/>
    <w:rsid w:val="001060F8"/>
    <w:rsid w:val="00106625"/>
    <w:rsid w:val="00106810"/>
    <w:rsid w:val="00110B0A"/>
    <w:rsid w:val="0011198B"/>
    <w:rsid w:val="00121C98"/>
    <w:rsid w:val="00124395"/>
    <w:rsid w:val="00130CFE"/>
    <w:rsid w:val="0013448C"/>
    <w:rsid w:val="0013561C"/>
    <w:rsid w:val="00137BF1"/>
    <w:rsid w:val="00141ACD"/>
    <w:rsid w:val="00147220"/>
    <w:rsid w:val="00156D2F"/>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1682"/>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0E37"/>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26BB"/>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6981"/>
    <w:rsid w:val="0050724D"/>
    <w:rsid w:val="00512CE2"/>
    <w:rsid w:val="00522F82"/>
    <w:rsid w:val="00532617"/>
    <w:rsid w:val="00537662"/>
    <w:rsid w:val="0054190A"/>
    <w:rsid w:val="00543358"/>
    <w:rsid w:val="00543BAB"/>
    <w:rsid w:val="005478D3"/>
    <w:rsid w:val="00551D17"/>
    <w:rsid w:val="005520DA"/>
    <w:rsid w:val="005606A9"/>
    <w:rsid w:val="005610A5"/>
    <w:rsid w:val="005612C8"/>
    <w:rsid w:val="00561E70"/>
    <w:rsid w:val="00564896"/>
    <w:rsid w:val="0056579A"/>
    <w:rsid w:val="00573976"/>
    <w:rsid w:val="00585EE3"/>
    <w:rsid w:val="00586304"/>
    <w:rsid w:val="005A4D0B"/>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2209E"/>
    <w:rsid w:val="00633392"/>
    <w:rsid w:val="00636857"/>
    <w:rsid w:val="00640513"/>
    <w:rsid w:val="00643378"/>
    <w:rsid w:val="006444CE"/>
    <w:rsid w:val="006456ED"/>
    <w:rsid w:val="00647C50"/>
    <w:rsid w:val="00651FBC"/>
    <w:rsid w:val="006558EB"/>
    <w:rsid w:val="00665B85"/>
    <w:rsid w:val="006667CC"/>
    <w:rsid w:val="006761B7"/>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5ADD"/>
    <w:rsid w:val="007D7E24"/>
    <w:rsid w:val="007E30A7"/>
    <w:rsid w:val="007F5D48"/>
    <w:rsid w:val="007F6FEB"/>
    <w:rsid w:val="00802CB4"/>
    <w:rsid w:val="00803DC8"/>
    <w:rsid w:val="00805B4E"/>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610D"/>
    <w:rsid w:val="0091303C"/>
    <w:rsid w:val="00921087"/>
    <w:rsid w:val="00926816"/>
    <w:rsid w:val="00926DA1"/>
    <w:rsid w:val="009315F8"/>
    <w:rsid w:val="00931E56"/>
    <w:rsid w:val="009338EA"/>
    <w:rsid w:val="009424CA"/>
    <w:rsid w:val="00952DA9"/>
    <w:rsid w:val="00954BD3"/>
    <w:rsid w:val="00954DA7"/>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C9C"/>
    <w:rsid w:val="00A97F5D"/>
    <w:rsid w:val="00AA018A"/>
    <w:rsid w:val="00AA7C41"/>
    <w:rsid w:val="00AC1BFB"/>
    <w:rsid w:val="00AC68D6"/>
    <w:rsid w:val="00AC6F15"/>
    <w:rsid w:val="00AD4F8E"/>
    <w:rsid w:val="00AD62C6"/>
    <w:rsid w:val="00AE1CE0"/>
    <w:rsid w:val="00AE5AD5"/>
    <w:rsid w:val="00AE6D9E"/>
    <w:rsid w:val="00AF06A0"/>
    <w:rsid w:val="00AF3DB7"/>
    <w:rsid w:val="00B03CD7"/>
    <w:rsid w:val="00B04E1F"/>
    <w:rsid w:val="00B23ED8"/>
    <w:rsid w:val="00B30AD5"/>
    <w:rsid w:val="00B335D8"/>
    <w:rsid w:val="00B3495A"/>
    <w:rsid w:val="00B34CC9"/>
    <w:rsid w:val="00B37E07"/>
    <w:rsid w:val="00B41F48"/>
    <w:rsid w:val="00B51C65"/>
    <w:rsid w:val="00B52E17"/>
    <w:rsid w:val="00B575DC"/>
    <w:rsid w:val="00B578F3"/>
    <w:rsid w:val="00B60C0A"/>
    <w:rsid w:val="00B75AB1"/>
    <w:rsid w:val="00B77F67"/>
    <w:rsid w:val="00B80369"/>
    <w:rsid w:val="00B816BE"/>
    <w:rsid w:val="00B82B67"/>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5E18"/>
    <w:rsid w:val="00CC66D6"/>
    <w:rsid w:val="00CC7A02"/>
    <w:rsid w:val="00CD713D"/>
    <w:rsid w:val="00CE0653"/>
    <w:rsid w:val="00CE3641"/>
    <w:rsid w:val="00CE5F3E"/>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50678"/>
    <w:rsid w:val="00D51454"/>
    <w:rsid w:val="00D52E69"/>
    <w:rsid w:val="00D539F2"/>
    <w:rsid w:val="00D5694E"/>
    <w:rsid w:val="00D60161"/>
    <w:rsid w:val="00D618B6"/>
    <w:rsid w:val="00D63555"/>
    <w:rsid w:val="00D73196"/>
    <w:rsid w:val="00D76285"/>
    <w:rsid w:val="00D81CB0"/>
    <w:rsid w:val="00D839D6"/>
    <w:rsid w:val="00D90C08"/>
    <w:rsid w:val="00DA1196"/>
    <w:rsid w:val="00DA28A0"/>
    <w:rsid w:val="00DA4324"/>
    <w:rsid w:val="00DB2461"/>
    <w:rsid w:val="00DB6A0D"/>
    <w:rsid w:val="00DC484B"/>
    <w:rsid w:val="00DD36A0"/>
    <w:rsid w:val="00DD46B4"/>
    <w:rsid w:val="00DE08F3"/>
    <w:rsid w:val="00DE5224"/>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34A58"/>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E0D2D"/>
    <w:rsid w:val="00EE3C44"/>
    <w:rsid w:val="00EE71BB"/>
    <w:rsid w:val="00EE7BE1"/>
    <w:rsid w:val="00EF0A87"/>
    <w:rsid w:val="00F03C20"/>
    <w:rsid w:val="00F073C3"/>
    <w:rsid w:val="00F10D35"/>
    <w:rsid w:val="00F1440E"/>
    <w:rsid w:val="00F1462E"/>
    <w:rsid w:val="00F14752"/>
    <w:rsid w:val="00F24046"/>
    <w:rsid w:val="00F27D10"/>
    <w:rsid w:val="00F30D7B"/>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styleId="Fodnotetekst">
    <w:name w:val="footnote text"/>
    <w:basedOn w:val="Normal"/>
    <w:link w:val="FodnotetekstTegn"/>
    <w:uiPriority w:val="99"/>
    <w:semiHidden/>
    <w:unhideWhenUsed/>
    <w:rsid w:val="00AC6F15"/>
    <w:pPr>
      <w:spacing w:line="240" w:lineRule="auto"/>
    </w:pPr>
    <w:rPr>
      <w:rFonts w:ascii="Verdana" w:hAnsi="Verdana"/>
      <w:sz w:val="20"/>
    </w:rPr>
  </w:style>
  <w:style w:type="character" w:customStyle="1" w:styleId="FodnotetekstTegn">
    <w:name w:val="Fodnotetekst Tegn"/>
    <w:basedOn w:val="Standardskrifttypeiafsnit"/>
    <w:link w:val="Fodnotetekst"/>
    <w:uiPriority w:val="99"/>
    <w:semiHidden/>
    <w:rsid w:val="00AC6F15"/>
  </w:style>
  <w:style w:type="character" w:styleId="Fodnotehenvisning">
    <w:name w:val="footnote reference"/>
    <w:basedOn w:val="Standardskrifttypeiafsnit"/>
    <w:uiPriority w:val="99"/>
    <w:semiHidden/>
    <w:unhideWhenUsed/>
    <w:rsid w:val="00AC6F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styleId="Fodnotetekst">
    <w:name w:val="footnote text"/>
    <w:basedOn w:val="Normal"/>
    <w:link w:val="FodnotetekstTegn"/>
    <w:uiPriority w:val="99"/>
    <w:semiHidden/>
    <w:unhideWhenUsed/>
    <w:rsid w:val="00AC6F15"/>
    <w:pPr>
      <w:spacing w:line="240" w:lineRule="auto"/>
    </w:pPr>
    <w:rPr>
      <w:rFonts w:ascii="Verdana" w:hAnsi="Verdana"/>
      <w:sz w:val="20"/>
    </w:rPr>
  </w:style>
  <w:style w:type="character" w:customStyle="1" w:styleId="FodnotetekstTegn">
    <w:name w:val="Fodnotetekst Tegn"/>
    <w:basedOn w:val="Standardskrifttypeiafsnit"/>
    <w:link w:val="Fodnotetekst"/>
    <w:uiPriority w:val="99"/>
    <w:semiHidden/>
    <w:rsid w:val="00AC6F15"/>
  </w:style>
  <w:style w:type="character" w:styleId="Fodnotehenvisning">
    <w:name w:val="footnote reference"/>
    <w:basedOn w:val="Standardskrifttypeiafsnit"/>
    <w:uiPriority w:val="99"/>
    <w:semiHidden/>
    <w:unhideWhenUsed/>
    <w:rsid w:val="00AC6F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t@sst.d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n@dn.d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kn.d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973D-4310-4CB6-91CE-66928467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11</Pages>
  <Words>2691</Words>
  <Characters>16418</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2016-12-12T08:06:00Z</dcterms:created>
  <dcterms:modified xsi:type="dcterms:W3CDTF">2016-12-12T08:06:00Z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{ACAAB63E-58F1-4818-A878-460FA4A0F44E}</vt:lpwstr>
  </property>
</Properties>
</file>