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3A" w:rsidRPr="0039293A" w:rsidRDefault="000A33D9" w:rsidP="0039293A">
      <w:pPr>
        <w:spacing w:after="0" w:line="240" w:lineRule="auto"/>
        <w:rPr>
          <w:rFonts w:eastAsia="Times New Roman" w:cstheme="minorHAnsi"/>
          <w:sz w:val="72"/>
          <w:szCs w:val="72"/>
          <w:lang w:eastAsia="da-DK"/>
        </w:rPr>
      </w:pPr>
      <w:r>
        <w:rPr>
          <w:rFonts w:eastAsia="Times New Roman" w:cstheme="minorHAnsi"/>
          <w:sz w:val="72"/>
          <w:szCs w:val="72"/>
          <w:lang w:eastAsia="da-DK"/>
        </w:rPr>
        <w:t>Udkast til t</w:t>
      </w:r>
      <w:r w:rsidR="0039293A" w:rsidRPr="0039293A">
        <w:rPr>
          <w:rFonts w:eastAsia="Times New Roman" w:cstheme="minorHAnsi"/>
          <w:sz w:val="72"/>
          <w:szCs w:val="72"/>
          <w:lang w:eastAsia="da-DK"/>
        </w:rPr>
        <w:t xml:space="preserve">ilsynsplan </w:t>
      </w:r>
    </w:p>
    <w:p w:rsidR="0039293A" w:rsidRPr="0039293A" w:rsidRDefault="000A33D9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>2017 - 2021</w:t>
      </w:r>
      <w:r w:rsidR="0039293A" w:rsidRPr="0039293A">
        <w:rPr>
          <w:rFonts w:eastAsia="Times New Roman" w:cstheme="minorHAnsi"/>
          <w:sz w:val="24"/>
          <w:szCs w:val="24"/>
          <w:lang w:eastAsia="da-DK"/>
        </w:rPr>
        <w:t xml:space="preserve"> </w:t>
      </w:r>
    </w:p>
    <w:p w:rsidR="0039293A" w:rsidRPr="0039293A" w:rsidRDefault="0039293A" w:rsidP="0039293A">
      <w:pPr>
        <w:spacing w:after="0" w:line="240" w:lineRule="auto"/>
        <w:ind w:left="6520" w:firstLine="1304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>Oktober 2017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 </w:t>
      </w:r>
    </w:p>
    <w:p w:rsidR="003B65A8" w:rsidRDefault="003B65A8" w:rsidP="0039293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</w:p>
    <w:p w:rsidR="003B65A8" w:rsidRPr="003B65A8" w:rsidRDefault="003B65A8" w:rsidP="0039293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>
        <w:rPr>
          <w:sz w:val="24"/>
          <w:szCs w:val="24"/>
        </w:rPr>
        <w:t>E</w:t>
      </w:r>
      <w:r w:rsidRPr="003B65A8">
        <w:rPr>
          <w:sz w:val="24"/>
          <w:szCs w:val="24"/>
        </w:rPr>
        <w:t xml:space="preserve">nhver har ret til at kommentere udkastet inden </w:t>
      </w:r>
      <w:r>
        <w:rPr>
          <w:sz w:val="24"/>
          <w:szCs w:val="24"/>
        </w:rPr>
        <w:t>den 16. november 2017.</w:t>
      </w:r>
    </w:p>
    <w:p w:rsidR="003B65A8" w:rsidRDefault="003B65A8" w:rsidP="0039293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39293A">
        <w:rPr>
          <w:rFonts w:eastAsia="Times New Roman" w:cstheme="minorHAnsi"/>
          <w:b/>
          <w:sz w:val="24"/>
          <w:szCs w:val="24"/>
          <w:lang w:eastAsia="da-DK"/>
        </w:rPr>
        <w:t>Indledning</w:t>
      </w: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>Helsingør Kommune fører tilsyn med, at virksomheder</w:t>
      </w:r>
      <w:r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>og husdyrbrug</w:t>
      </w:r>
      <w:r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>overholder miljøbeskyttelsesloven og husdyrgodkendelsesloven samt de regler, der er fastsat med hjemmel i lovene, og vurderer om</w:t>
      </w:r>
      <w:r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der er behov for yderligere regulering. </w:t>
      </w:r>
    </w:p>
    <w:p w:rsid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bookmarkStart w:id="0" w:name="_GoBack"/>
      <w:bookmarkEnd w:id="0"/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>Dette er en tilsynsplan, der blandt andet indeholder en beskrivelse af kommunens tilsynsindsats, en oversigt over relevante væsentlige miljøproblemer</w:t>
      </w:r>
      <w:r>
        <w:rPr>
          <w:rFonts w:eastAsia="Times New Roman" w:cstheme="minorHAnsi"/>
          <w:sz w:val="24"/>
          <w:szCs w:val="24"/>
          <w:lang w:eastAsia="da-DK"/>
        </w:rPr>
        <w:t>,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 samt en fortegnelse over sær</w:t>
      </w:r>
      <w:r w:rsidR="003B65A8">
        <w:rPr>
          <w:rFonts w:eastAsia="Times New Roman" w:cstheme="minorHAnsi"/>
          <w:sz w:val="24"/>
          <w:szCs w:val="24"/>
          <w:lang w:eastAsia="da-DK"/>
        </w:rPr>
        <w:t>ligt forurenende virksomheder (bilag 2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-virksomheder). </w:t>
      </w:r>
    </w:p>
    <w:p w:rsid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39293A">
        <w:rPr>
          <w:rFonts w:eastAsia="Times New Roman" w:cstheme="minorHAnsi"/>
          <w:b/>
          <w:sz w:val="24"/>
          <w:szCs w:val="24"/>
          <w:lang w:eastAsia="da-DK"/>
        </w:rPr>
        <w:t xml:space="preserve">Det geografiske område </w:t>
      </w: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 xml:space="preserve">Denne plan dækker hele Helsingør Kommune. </w:t>
      </w:r>
    </w:p>
    <w:p w:rsidR="003B65A8" w:rsidRDefault="003B65A8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39293A">
        <w:rPr>
          <w:rFonts w:eastAsia="Times New Roman" w:cstheme="minorHAnsi"/>
          <w:b/>
          <w:sz w:val="24"/>
          <w:szCs w:val="24"/>
          <w:lang w:eastAsia="da-DK"/>
        </w:rPr>
        <w:t xml:space="preserve">Miljøproblemer </w:t>
      </w: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>Hos virksomhederne fører vi tilsyn med deres indretning og drift med hensyn</w:t>
      </w:r>
      <w:r w:rsidR="00B2309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til: </w:t>
      </w:r>
    </w:p>
    <w:p w:rsidR="00B23099" w:rsidRDefault="0039293A" w:rsidP="0084312A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B23099">
        <w:rPr>
          <w:rFonts w:eastAsia="Times New Roman" w:cstheme="minorHAnsi"/>
          <w:sz w:val="24"/>
          <w:szCs w:val="24"/>
          <w:u w:val="single"/>
          <w:lang w:eastAsia="da-DK"/>
        </w:rPr>
        <w:t>Luft</w:t>
      </w:r>
      <w:r w:rsidRPr="00B23099">
        <w:rPr>
          <w:rFonts w:eastAsia="Times New Roman" w:cstheme="minorHAnsi"/>
          <w:sz w:val="24"/>
          <w:szCs w:val="24"/>
          <w:lang w:eastAsia="da-DK"/>
        </w:rPr>
        <w:t xml:space="preserve"> Emissioner til luft af støv, miljøfremmede sto</w:t>
      </w:r>
      <w:r w:rsidRPr="0039293A">
        <w:rPr>
          <w:rFonts w:eastAsia="Times New Roman" w:cstheme="minorHAnsi"/>
          <w:sz w:val="24"/>
          <w:szCs w:val="24"/>
          <w:lang w:eastAsia="da-DK"/>
        </w:rPr>
        <w:t>ffer og lugt. Formålet er</w:t>
      </w:r>
      <w:r w:rsidR="00B23099" w:rsidRPr="00B2309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at sikre, at emissionerne ikke generer naboerne. </w:t>
      </w:r>
    </w:p>
    <w:p w:rsidR="00B23099" w:rsidRDefault="0039293A" w:rsidP="007E0401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u w:val="single"/>
          <w:lang w:eastAsia="da-DK"/>
        </w:rPr>
        <w:t>Spildevand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 Vi kontrollerer også, at der ikke er stoffer, som afledes med spildevandet, der kan skade det kommunale ledningssystem, eller skade driften af renseanlægget eller vores vandløb, søer og Øresund. </w:t>
      </w:r>
    </w:p>
    <w:p w:rsidR="00B23099" w:rsidRDefault="0039293A" w:rsidP="0096089D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u w:val="single"/>
          <w:lang w:eastAsia="da-DK"/>
        </w:rPr>
        <w:t>Støj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 Vi er opmærksomme på, at støjende produktion holdes for lukkede</w:t>
      </w:r>
      <w:r w:rsidR="00B2309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døre af hensyn til naboer. Får vi derudover henvendelser om støj- eller lugtgener, vurderer vi, </w:t>
      </w:r>
      <w:r w:rsidR="00B23099" w:rsidRPr="00B23099">
        <w:rPr>
          <w:rFonts w:eastAsia="Times New Roman" w:cstheme="minorHAnsi"/>
          <w:sz w:val="24"/>
          <w:szCs w:val="24"/>
          <w:lang w:eastAsia="da-DK"/>
        </w:rPr>
        <w:t xml:space="preserve">om genen er så stor, at vi </w:t>
      </w:r>
      <w:r w:rsidRPr="0039293A">
        <w:rPr>
          <w:rFonts w:eastAsia="Times New Roman" w:cstheme="minorHAnsi"/>
          <w:sz w:val="24"/>
          <w:szCs w:val="24"/>
          <w:lang w:eastAsia="da-DK"/>
        </w:rPr>
        <w:t>må bede virksomheden</w:t>
      </w:r>
      <w:r w:rsidR="00B23099" w:rsidRPr="00B2309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>om at foretage ændringer i forhold til at overholde</w:t>
      </w:r>
      <w:r w:rsidR="00B23099" w:rsidRPr="00B23099">
        <w:rPr>
          <w:rFonts w:eastAsia="Times New Roman" w:cstheme="minorHAnsi"/>
          <w:sz w:val="24"/>
          <w:szCs w:val="24"/>
          <w:lang w:eastAsia="da-DK"/>
        </w:rPr>
        <w:t xml:space="preserve"> g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ældende miljølove. </w:t>
      </w:r>
    </w:p>
    <w:p w:rsidR="00B23099" w:rsidRDefault="0039293A" w:rsidP="00F64221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u w:val="single"/>
          <w:lang w:eastAsia="da-DK"/>
        </w:rPr>
        <w:t>Affald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 Vi fører tilsyn med at virksomheden ikke opbevarer for meget</w:t>
      </w:r>
      <w:r w:rsidR="00B23099" w:rsidRPr="00B2309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>affald, og at virksomheden bortskaffer affaldet til</w:t>
      </w:r>
      <w:r w:rsidR="00B23099" w:rsidRPr="00B2309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>korrekte modtagere.</w:t>
      </w:r>
      <w:r w:rsidR="00B23099" w:rsidRPr="00B23099">
        <w:rPr>
          <w:rFonts w:eastAsia="Times New Roman" w:cstheme="minorHAnsi"/>
          <w:sz w:val="24"/>
          <w:szCs w:val="24"/>
          <w:lang w:eastAsia="da-DK"/>
        </w:rPr>
        <w:t xml:space="preserve"> </w:t>
      </w:r>
    </w:p>
    <w:p w:rsidR="00B23099" w:rsidRDefault="0039293A" w:rsidP="005B5BA5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u w:val="single"/>
          <w:lang w:eastAsia="da-DK"/>
        </w:rPr>
        <w:t>Jord og grundvand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 Vi har fokus på, at farligt affald og kemikalier opbevares forsvarligt, dvs. på tæt belægning og under tag, med</w:t>
      </w:r>
      <w:r w:rsidR="00B23099" w:rsidRPr="00B2309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>mulighed for opsamling af eventuelt spild. Vi fører</w:t>
      </w:r>
      <w:r w:rsidR="00B23099" w:rsidRPr="00B23099">
        <w:rPr>
          <w:rFonts w:eastAsia="Times New Roman" w:cstheme="minorHAnsi"/>
          <w:sz w:val="24"/>
          <w:szCs w:val="24"/>
          <w:lang w:eastAsia="da-DK"/>
        </w:rPr>
        <w:t xml:space="preserve"> o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gså tilsyn med at store tanke til benzin og olie jævnligt er inspiceret for tæthed, så der ikke sker forurening af den underliggende jord og vores drikkevand. </w:t>
      </w:r>
    </w:p>
    <w:p w:rsidR="0039293A" w:rsidRPr="0039293A" w:rsidRDefault="0039293A" w:rsidP="005B5BA5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u w:val="single"/>
          <w:lang w:eastAsia="da-DK"/>
        </w:rPr>
        <w:t>Egenkontrol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. </w:t>
      </w:r>
    </w:p>
    <w:p w:rsidR="00B23099" w:rsidRDefault="00B23099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39293A">
        <w:rPr>
          <w:rFonts w:eastAsia="Times New Roman" w:cstheme="minorHAnsi"/>
          <w:b/>
          <w:sz w:val="24"/>
          <w:szCs w:val="24"/>
          <w:lang w:eastAsia="da-DK"/>
        </w:rPr>
        <w:t xml:space="preserve">Liste over virksomheder </w:t>
      </w: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 xml:space="preserve">Følgende virksomheder i kommunen er omfattet af </w:t>
      </w:r>
      <w:r w:rsidR="008F33F1" w:rsidRPr="008F33F1">
        <w:rPr>
          <w:sz w:val="24"/>
          <w:szCs w:val="24"/>
        </w:rPr>
        <w:t>bilag 1 til bekendtgørelse om godkendelse af listevirksomhed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: </w:t>
      </w:r>
    </w:p>
    <w:p w:rsidR="008F33F1" w:rsidRDefault="008F33F1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br w:type="column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559"/>
        <w:gridCol w:w="1411"/>
      </w:tblGrid>
      <w:tr w:rsidR="008F33F1" w:rsidTr="008F33F1">
        <w:tc>
          <w:tcPr>
            <w:tcW w:w="3114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Navn</w:t>
            </w:r>
          </w:p>
        </w:tc>
        <w:tc>
          <w:tcPr>
            <w:tcW w:w="3544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Adresse</w:t>
            </w:r>
          </w:p>
        </w:tc>
        <w:tc>
          <w:tcPr>
            <w:tcW w:w="1559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CVR</w:t>
            </w:r>
          </w:p>
        </w:tc>
        <w:tc>
          <w:tcPr>
            <w:tcW w:w="1411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Listepunkt</w:t>
            </w:r>
          </w:p>
        </w:tc>
      </w:tr>
      <w:tr w:rsidR="008F33F1" w:rsidTr="008F33F1">
        <w:tc>
          <w:tcPr>
            <w:tcW w:w="3114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Helsingør Kraftvarmeværk</w:t>
            </w:r>
          </w:p>
        </w:tc>
        <w:tc>
          <w:tcPr>
            <w:tcW w:w="3544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Energivej 19, 3000 Helsingør</w:t>
            </w:r>
          </w:p>
        </w:tc>
        <w:tc>
          <w:tcPr>
            <w:tcW w:w="1559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cstheme="minorHAnsi"/>
                <w:sz w:val="24"/>
                <w:szCs w:val="24"/>
              </w:rPr>
              <w:t>32 32 27 35</w:t>
            </w:r>
          </w:p>
        </w:tc>
        <w:tc>
          <w:tcPr>
            <w:tcW w:w="1411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1.1</w:t>
            </w:r>
          </w:p>
        </w:tc>
      </w:tr>
      <w:tr w:rsidR="008F33F1" w:rsidTr="008F33F1">
        <w:tc>
          <w:tcPr>
            <w:tcW w:w="3114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proofErr w:type="spellStart"/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Chembo</w:t>
            </w:r>
            <w:proofErr w:type="spellEnd"/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Overfladeteknik A/S</w:t>
            </w:r>
          </w:p>
        </w:tc>
        <w:tc>
          <w:tcPr>
            <w:tcW w:w="3544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Oldenvej 13a 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–</w:t>
            </w: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15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, 3490 Kvistgård</w:t>
            </w:r>
          </w:p>
        </w:tc>
        <w:tc>
          <w:tcPr>
            <w:tcW w:w="1559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cstheme="minorHAnsi"/>
                <w:sz w:val="24"/>
                <w:szCs w:val="24"/>
              </w:rPr>
              <w:t>53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F33F1">
              <w:rPr>
                <w:rFonts w:cstheme="minorHAnsi"/>
                <w:sz w:val="24"/>
                <w:szCs w:val="24"/>
              </w:rPr>
              <w:t>72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F33F1">
              <w:rPr>
                <w:rFonts w:cstheme="minorHAnsi"/>
                <w:sz w:val="24"/>
                <w:szCs w:val="24"/>
              </w:rPr>
              <w:t>49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F33F1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411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2.6</w:t>
            </w:r>
          </w:p>
        </w:tc>
      </w:tr>
      <w:tr w:rsidR="008F33F1" w:rsidTr="008F33F1">
        <w:tc>
          <w:tcPr>
            <w:tcW w:w="3114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proofErr w:type="spellStart"/>
            <w:r w:rsidRPr="008F33F1">
              <w:rPr>
                <w:rFonts w:cstheme="minorHAnsi"/>
                <w:sz w:val="24"/>
                <w:szCs w:val="24"/>
              </w:rPr>
              <w:t>Elplatek</w:t>
            </w:r>
            <w:proofErr w:type="spellEnd"/>
          </w:p>
        </w:tc>
        <w:tc>
          <w:tcPr>
            <w:tcW w:w="3544" w:type="dxa"/>
          </w:tcPr>
          <w:p w:rsidR="008F33F1" w:rsidRPr="008F33F1" w:rsidRDefault="008F33F1" w:rsidP="008F33F1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cstheme="minorHAnsi"/>
                <w:sz w:val="24"/>
                <w:szCs w:val="24"/>
              </w:rPr>
              <w:t>Bybjergvej 7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8F33F1">
              <w:rPr>
                <w:rFonts w:cstheme="minorHAnsi"/>
                <w:sz w:val="24"/>
                <w:szCs w:val="24"/>
              </w:rPr>
              <w:t>3060 Espergærde</w:t>
            </w:r>
          </w:p>
        </w:tc>
        <w:tc>
          <w:tcPr>
            <w:tcW w:w="1559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cstheme="minorHAnsi"/>
                <w:sz w:val="24"/>
                <w:szCs w:val="24"/>
              </w:rPr>
              <w:t>18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F33F1">
              <w:rPr>
                <w:rFonts w:cstheme="minorHAnsi"/>
                <w:sz w:val="24"/>
                <w:szCs w:val="24"/>
              </w:rPr>
              <w:t>63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F33F1">
              <w:rPr>
                <w:rFonts w:cstheme="minorHAnsi"/>
                <w:sz w:val="24"/>
                <w:szCs w:val="24"/>
              </w:rPr>
              <w:t>71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F33F1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1411" w:type="dxa"/>
          </w:tcPr>
          <w:p w:rsidR="008F33F1" w:rsidRPr="008F33F1" w:rsidRDefault="008F33F1" w:rsidP="0039293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F33F1">
              <w:rPr>
                <w:rFonts w:eastAsia="Times New Roman" w:cstheme="minorHAnsi"/>
                <w:sz w:val="24"/>
                <w:szCs w:val="24"/>
                <w:lang w:eastAsia="da-DK"/>
              </w:rPr>
              <w:t>2.6</w:t>
            </w:r>
          </w:p>
        </w:tc>
      </w:tr>
    </w:tbl>
    <w:p w:rsidR="008F33F1" w:rsidRDefault="008F33F1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8F33F1" w:rsidRDefault="008F33F1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39293A">
        <w:rPr>
          <w:rFonts w:eastAsia="Times New Roman" w:cstheme="minorHAnsi"/>
          <w:b/>
          <w:sz w:val="24"/>
          <w:szCs w:val="24"/>
          <w:lang w:eastAsia="da-DK"/>
        </w:rPr>
        <w:t xml:space="preserve">Kommunens indsats </w:t>
      </w: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>I kommunen lægger vi vægt på, at tilsynsarbejdet er</w:t>
      </w:r>
      <w:r w:rsidR="008F33F1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>dialogbaseret, så</w:t>
      </w:r>
      <w:r w:rsidR="008F33F1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virksomhederne ser tilsynet som en hjælp til at overholde lovgivning samt en vejledning om miljøforbedringer. </w:t>
      </w:r>
    </w:p>
    <w:p w:rsidR="000A33D9" w:rsidRDefault="000A33D9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 xml:space="preserve">Tilsynsarbejdet består af fysiske tilsyn og administrative tilsyn. Ved de fysiske tilsyn besøger kommunens miljømedarbejdere virksomhederne/husdyrbrugene og gennemgår deres miljøforhold. </w:t>
      </w:r>
      <w:r w:rsidR="000A33D9">
        <w:rPr>
          <w:rFonts w:eastAsia="Times New Roman" w:cstheme="minorHAnsi"/>
          <w:sz w:val="24"/>
          <w:szCs w:val="24"/>
          <w:lang w:eastAsia="da-DK"/>
        </w:rPr>
        <w:t>V</w:t>
      </w:r>
      <w:r w:rsidRPr="0039293A">
        <w:rPr>
          <w:rFonts w:eastAsia="Times New Roman" w:cstheme="minorHAnsi"/>
          <w:sz w:val="24"/>
          <w:szCs w:val="24"/>
          <w:lang w:eastAsia="da-DK"/>
        </w:rPr>
        <w:t>ed de administrative tilsyn kontrollerer vi</w:t>
      </w:r>
      <w:r w:rsidR="000A33D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forskellige data på kontoret. De fysiske tilsyn sker både når virksomheden ved det på forhånd, og uden de ved det på forhånd. </w:t>
      </w:r>
    </w:p>
    <w:p w:rsidR="000A33D9" w:rsidRDefault="000A33D9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 xml:space="preserve">Kommunen besøger virksomhederne efter bekendtgørelsens mindstekrav og efter en individuel vurdering af hver virksomheds risiko for at forurene og hvor sårbar omgivelserne er. </w:t>
      </w:r>
    </w:p>
    <w:p w:rsidR="000A33D9" w:rsidRDefault="000A33D9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>Hvis en virksomhed har overtrådt en regel, indskærp</w:t>
      </w:r>
      <w:r w:rsidR="000A33D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er vi reglen. Derefter vil vi inden et halvt år føre tilsyn med at virksomheden har bragt forholdet i orden. </w:t>
      </w:r>
    </w:p>
    <w:p w:rsidR="000A33D9" w:rsidRDefault="000A33D9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39293A">
        <w:rPr>
          <w:rFonts w:eastAsia="Times New Roman" w:cstheme="minorHAnsi"/>
          <w:b/>
          <w:sz w:val="24"/>
          <w:szCs w:val="24"/>
          <w:lang w:eastAsia="da-DK"/>
        </w:rPr>
        <w:t xml:space="preserve">Andre myndigheder </w:t>
      </w:r>
    </w:p>
    <w:p w:rsidR="0039293A" w:rsidRPr="0039293A" w:rsidRDefault="0039293A" w:rsidP="0039293A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9293A">
        <w:rPr>
          <w:rFonts w:eastAsia="Times New Roman" w:cstheme="minorHAnsi"/>
          <w:sz w:val="24"/>
          <w:szCs w:val="24"/>
          <w:lang w:eastAsia="da-DK"/>
        </w:rPr>
        <w:t xml:space="preserve">Tilsynet udføres når det er hensigtsmæssigt i samarbejde med andre </w:t>
      </w:r>
      <w:r w:rsidR="000A33D9">
        <w:rPr>
          <w:rFonts w:eastAsia="Times New Roman" w:cstheme="minorHAnsi"/>
          <w:sz w:val="24"/>
          <w:szCs w:val="24"/>
          <w:lang w:eastAsia="da-DK"/>
        </w:rPr>
        <w:t xml:space="preserve">afdelinger i kommunen fx </w:t>
      </w:r>
      <w:r w:rsidRPr="0039293A">
        <w:rPr>
          <w:rFonts w:eastAsia="Times New Roman" w:cstheme="minorHAnsi"/>
          <w:sz w:val="24"/>
          <w:szCs w:val="24"/>
          <w:lang w:eastAsia="da-DK"/>
        </w:rPr>
        <w:t>byggemyndigheden i for</w:t>
      </w:r>
      <w:r w:rsidR="000A33D9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39293A">
        <w:rPr>
          <w:rFonts w:eastAsia="Times New Roman" w:cstheme="minorHAnsi"/>
          <w:sz w:val="24"/>
          <w:szCs w:val="24"/>
          <w:lang w:eastAsia="da-DK"/>
        </w:rPr>
        <w:t xml:space="preserve">hold til plan- og byggeloven, samt med teamet for natur og vand. </w:t>
      </w:r>
    </w:p>
    <w:p w:rsidR="00B7629D" w:rsidRPr="0039293A" w:rsidRDefault="00B7629D">
      <w:pPr>
        <w:rPr>
          <w:rFonts w:cstheme="minorHAnsi"/>
          <w:sz w:val="24"/>
          <w:szCs w:val="24"/>
        </w:rPr>
      </w:pPr>
    </w:p>
    <w:sectPr w:rsidR="00B7629D" w:rsidRPr="003929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144F"/>
    <w:multiLevelType w:val="hybridMultilevel"/>
    <w:tmpl w:val="BD420D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autoHyphenation/>
  <w:hyphenationZone w:val="425"/>
  <w:characterSpacingControl w:val="doNotCompress"/>
  <w:compat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3A"/>
    <w:rsid w:val="00091736"/>
    <w:rsid w:val="000A33D9"/>
    <w:rsid w:val="0039293A"/>
    <w:rsid w:val="003B65A8"/>
    <w:rsid w:val="00420588"/>
    <w:rsid w:val="00606AFC"/>
    <w:rsid w:val="00741E96"/>
    <w:rsid w:val="008F33F1"/>
    <w:rsid w:val="009154C8"/>
    <w:rsid w:val="009F4E96"/>
    <w:rsid w:val="00B23099"/>
    <w:rsid w:val="00B7629D"/>
    <w:rsid w:val="00BA719D"/>
    <w:rsid w:val="00B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8102"/>
  <w15:chartTrackingRefBased/>
  <w15:docId w15:val="{53BFAC8D-9049-4367-A76F-E00CB659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23099"/>
    <w:pPr>
      <w:ind w:left="720"/>
      <w:contextualSpacing/>
    </w:pPr>
  </w:style>
  <w:style w:type="table" w:styleId="Tabel-Gitter">
    <w:name w:val="Table Grid"/>
    <w:basedOn w:val="Tabel-Normal"/>
    <w:uiPriority w:val="39"/>
    <w:rsid w:val="008F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Helsingør Kommune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Kamstrup</dc:creator>
  <cp:keywords/>
  <dc:description/>
  <cp:lastModifiedBy>Malene Kamstrup</cp:lastModifiedBy>
  <cp:revision>2</cp:revision>
  <dcterms:created xsi:type="dcterms:W3CDTF">2017-10-19T09:38:00Z</dcterms:created>
  <dcterms:modified xsi:type="dcterms:W3CDTF">2017-10-19T09:38:00Z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{E80A78EE-DCFE-4AF9-BE6E-9DF61A293405}</vt:lpwstr>
  </property>
</Properties>
</file>