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4CAF" w14:textId="77777777" w:rsidR="007029F0" w:rsidRDefault="008E1D2D">
      <w:pPr>
        <w:spacing w:after="1017"/>
        <w:ind w:left="0" w:right="506"/>
      </w:pPr>
      <w:r>
        <w:rPr>
          <w:sz w:val="14"/>
        </w:rPr>
        <w:t>Silkeborg Kommune · Søvej 1 · 8600 Silkeborg</w:t>
      </w:r>
    </w:p>
    <w:p w14:paraId="5EA3B7BB" w14:textId="77777777" w:rsidR="007029F0" w:rsidRDefault="008E1D2D">
      <w:pPr>
        <w:spacing w:after="8"/>
        <w:ind w:left="-5"/>
      </w:pPr>
      <w:r>
        <w:t>Horn Højgård v/Susanne Holm Kuhr</w:t>
      </w:r>
    </w:p>
    <w:p w14:paraId="49CC58D3" w14:textId="77777777" w:rsidR="007029F0" w:rsidRDefault="008E1D2D">
      <w:pPr>
        <w:spacing w:after="8"/>
        <w:ind w:left="-5"/>
      </w:pPr>
      <w:r>
        <w:t>Sørkelvej 50</w:t>
      </w:r>
    </w:p>
    <w:p w14:paraId="3F7872F7" w14:textId="77777777" w:rsidR="007029F0" w:rsidRDefault="008E1D2D">
      <w:pPr>
        <w:spacing w:after="231"/>
        <w:ind w:left="-5"/>
      </w:pPr>
      <w:r>
        <w:t>8882 Fårvang</w:t>
      </w:r>
    </w:p>
    <w:p w14:paraId="0ADF3F2E" w14:textId="77777777" w:rsidR="007029F0" w:rsidRDefault="008E1D2D">
      <w:pPr>
        <w:spacing w:after="125"/>
        <w:ind w:left="-5"/>
      </w:pPr>
      <w:r>
        <w:t>Sendt via e-mail: holmkuhr@hotmail.com</w:t>
      </w:r>
    </w:p>
    <w:p w14:paraId="31878C32" w14:textId="77777777" w:rsidR="007029F0" w:rsidRDefault="008E1D2D">
      <w:pPr>
        <w:spacing w:after="198" w:line="259" w:lineRule="auto"/>
        <w:ind w:left="0" w:firstLine="0"/>
      </w:pPr>
      <w:r>
        <w:rPr>
          <w:sz w:val="2"/>
        </w:rPr>
        <w:t xml:space="preserve"> </w:t>
      </w:r>
    </w:p>
    <w:p w14:paraId="381A34C1" w14:textId="77777777" w:rsidR="007029F0" w:rsidRDefault="008E1D2D">
      <w:pPr>
        <w:spacing w:after="379" w:line="259" w:lineRule="auto"/>
        <w:ind w:left="0" w:firstLine="0"/>
      </w:pPr>
      <w:r>
        <w:rPr>
          <w:sz w:val="2"/>
        </w:rPr>
        <w:t xml:space="preserve"> </w:t>
      </w:r>
    </w:p>
    <w:p w14:paraId="60669ABD" w14:textId="1A35DFED" w:rsidR="007029F0" w:rsidRDefault="008E1D2D">
      <w:pPr>
        <w:spacing w:after="419" w:line="259" w:lineRule="auto"/>
        <w:ind w:left="0" w:firstLine="0"/>
        <w:jc w:val="right"/>
      </w:pPr>
      <w:r>
        <w:t>31</w:t>
      </w:r>
      <w:r>
        <w:t>-07-2024</w:t>
      </w:r>
    </w:p>
    <w:p w14:paraId="5B4B4190" w14:textId="77777777" w:rsidR="007029F0" w:rsidRDefault="008E1D2D">
      <w:pPr>
        <w:spacing w:after="588" w:line="259" w:lineRule="auto"/>
        <w:ind w:left="0" w:firstLine="0"/>
      </w:pPr>
      <w:r>
        <w:rPr>
          <w:sz w:val="16"/>
        </w:rPr>
        <w:t xml:space="preserve">  </w:t>
      </w:r>
    </w:p>
    <w:p w14:paraId="711F29A5" w14:textId="77777777" w:rsidR="007029F0" w:rsidRDefault="008E1D2D">
      <w:pPr>
        <w:spacing w:after="382" w:line="240" w:lineRule="auto"/>
        <w:ind w:left="0" w:firstLine="0"/>
      </w:pPr>
      <w:r>
        <w:rPr>
          <w:b/>
          <w:sz w:val="32"/>
        </w:rPr>
        <w:t>Afgørelse om at teltdug ikke kræver tillæg til eksisterende miljøgodkendelse</w:t>
      </w:r>
    </w:p>
    <w:p w14:paraId="538D9434" w14:textId="77777777" w:rsidR="007029F0" w:rsidRDefault="008E1D2D">
      <w:pPr>
        <w:spacing w:after="272"/>
        <w:ind w:left="-5"/>
      </w:pPr>
      <w:r>
        <w:t>Silkeborg Kommune har modtaget en forespørgsel på om overdækning med teltdug af 3 eksisterende gyllebeholdere beliggende Tvilum Kirkevej 34, kræver et tillæg til den gældende milj</w:t>
      </w:r>
      <w:r>
        <w:t>øgodkendelse.</w:t>
      </w:r>
    </w:p>
    <w:p w14:paraId="797B7311" w14:textId="77777777" w:rsidR="007029F0" w:rsidRDefault="008E1D2D">
      <w:pPr>
        <w:pStyle w:val="Overskrift1"/>
        <w:ind w:left="-5"/>
      </w:pPr>
      <w:r>
        <w:t>Afgørelse</w:t>
      </w:r>
    </w:p>
    <w:p w14:paraId="0FFA4DC3" w14:textId="77777777" w:rsidR="007029F0" w:rsidRDefault="008E1D2D">
      <w:pPr>
        <w:spacing w:after="272"/>
        <w:ind w:left="-5"/>
      </w:pPr>
      <w:r>
        <w:t>Det er Silkeborg Kommunes vurdering at overdækningerne kan indeholdes i den eksisterende miljøgodkendelse. Med baggrund heri træffes der afgørelse om at ændringen ikke er omfattet af § 16a stk. 4 i husdyrbrugloven. En uddybende vurd</w:t>
      </w:r>
      <w:r>
        <w:t xml:space="preserve">ering kan ses af afsnittet herunder. </w:t>
      </w:r>
    </w:p>
    <w:p w14:paraId="1085EB9D" w14:textId="77777777" w:rsidR="007029F0" w:rsidRDefault="008E1D2D">
      <w:pPr>
        <w:pStyle w:val="Overskrift1"/>
        <w:ind w:left="-5"/>
      </w:pPr>
      <w:r>
        <w:t>Vurdering</w:t>
      </w:r>
    </w:p>
    <w:p w14:paraId="7CAC9B3B" w14:textId="77777777" w:rsidR="007029F0" w:rsidRDefault="008E1D2D">
      <w:pPr>
        <w:ind w:left="-5"/>
      </w:pPr>
      <w:r>
        <w:t xml:space="preserve">Det er oplyst af ansøger at teltoverdækningerne er grå og at totalhøjden når teltoverdækningen er sat på bliver 639 cm for tank 1+2 og 721 cm for tank 3. </w:t>
      </w:r>
    </w:p>
    <w:p w14:paraId="04CC254B" w14:textId="77777777" w:rsidR="007029F0" w:rsidRDefault="008E1D2D">
      <w:pPr>
        <w:pStyle w:val="Overskrift2"/>
        <w:ind w:left="-5"/>
      </w:pPr>
      <w:r>
        <w:t xml:space="preserve">Landskab </w:t>
      </w:r>
    </w:p>
    <w:p w14:paraId="26BF4F4B" w14:textId="77777777" w:rsidR="007029F0" w:rsidRDefault="008E1D2D">
      <w:pPr>
        <w:ind w:left="-5"/>
      </w:pPr>
      <w:r>
        <w:t>De tre gyllebeholdere er placeret i tilknytning til de eksisterende staldbygninger og der e</w:t>
      </w:r>
      <w:r>
        <w:t xml:space="preserve">r vilkår i miljøgodkendelsen om et læbælte øst for gyllebeholderene, for at skærme indsynet til tankene fra Tvilum Kirkevej. Det vurderes at de landskabelige hensyn er varetaget og at teltoverdækningen ikke kræver yderligere vilkår.  </w:t>
      </w:r>
    </w:p>
    <w:p w14:paraId="1451A7B2" w14:textId="77777777" w:rsidR="007029F0" w:rsidRDefault="008E1D2D">
      <w:pPr>
        <w:pStyle w:val="Overskrift2"/>
        <w:ind w:left="-5"/>
      </w:pPr>
      <w:r>
        <w:t>Lugt og ammoniak</w:t>
      </w:r>
    </w:p>
    <w:p w14:paraId="1B9B1B07" w14:textId="77777777" w:rsidR="007029F0" w:rsidRDefault="008E1D2D">
      <w:pPr>
        <w:spacing w:after="0"/>
        <w:ind w:left="-5"/>
      </w:pPr>
      <w:r>
        <w:t>Telt</w:t>
      </w:r>
      <w:r>
        <w:t>overdækningerne vil som udgangspunkt nedsætte lugtgener og give en lavere ammoniakfordampning fra gyllebeholderene. Det vurderes derfor at de ikke vil medføre en forøget forurening eller øgede gener for de omkringboende eller det omkringliggende miljø. Der</w:t>
      </w:r>
      <w:r>
        <w:t xml:space="preserve"> gøres opmærksom på at dette forudsætter at gældende regler for brug af </w:t>
      </w:r>
    </w:p>
    <w:p w14:paraId="28689A56" w14:textId="77777777" w:rsidR="007029F0" w:rsidRDefault="008E1D2D">
      <w:pPr>
        <w:ind w:left="-5"/>
      </w:pPr>
      <w:r>
        <w:t xml:space="preserve">teleoverdækningen følges. Herunder at teltdugen holdes lukket når der ikke pumpes gylle fra </w:t>
      </w:r>
    </w:p>
    <w:p w14:paraId="4FF590F6" w14:textId="77777777" w:rsidR="007029F0" w:rsidRDefault="007029F0">
      <w:pPr>
        <w:sectPr w:rsidR="007029F0">
          <w:pgSz w:w="11907" w:h="16839"/>
          <w:pgMar w:top="1610" w:right="1134" w:bottom="1191" w:left="1134" w:header="708" w:footer="708" w:gutter="0"/>
          <w:cols w:space="708"/>
        </w:sectPr>
      </w:pPr>
    </w:p>
    <w:p w14:paraId="1AC6FE4B" w14:textId="77777777" w:rsidR="007029F0" w:rsidRDefault="008E1D2D">
      <w:pPr>
        <w:spacing w:after="594"/>
        <w:ind w:left="-5"/>
      </w:pPr>
      <w:r>
        <w:t xml:space="preserve">gyllebeholderne. </w:t>
      </w:r>
    </w:p>
    <w:p w14:paraId="743F9D2D" w14:textId="77777777" w:rsidR="007029F0" w:rsidRDefault="008E1D2D">
      <w:pPr>
        <w:pStyle w:val="Overskrift1"/>
        <w:ind w:left="-5"/>
      </w:pPr>
      <w:r>
        <w:lastRenderedPageBreak/>
        <w:t>Klagevejledning</w:t>
      </w:r>
    </w:p>
    <w:p w14:paraId="477DC0CE" w14:textId="77777777" w:rsidR="007029F0" w:rsidRDefault="008E1D2D">
      <w:pPr>
        <w:ind w:left="-5"/>
      </w:pPr>
      <w:r>
        <w:t>Der kan efter kapitel 7 i Lov om husdyrbrug og anvendelse af gødning klages over Kommunens afgørelse. Klageberettigede omfatter ansøger, Miljøministeren, Sundhedsstyrelsen samt enhver, der må antages at have en individuel, væsentlig interesse i sagens udfa</w:t>
      </w:r>
      <w:r>
        <w:t>ld. Der kan desuden klages af visse organisationer, som angivet i §§ 85-87 i Lov om husdyrbrug og anvendelse af gødning.</w:t>
      </w:r>
    </w:p>
    <w:p w14:paraId="3E5A899C" w14:textId="77777777" w:rsidR="007029F0" w:rsidRDefault="008E1D2D">
      <w:pPr>
        <w:spacing w:after="431"/>
        <w:ind w:left="-5"/>
      </w:pPr>
      <w:r>
        <w:t xml:space="preserve">Afgørelsen vil blive offentliggjort 31. juli 2024 på </w:t>
      </w:r>
      <w:hyperlink r:id="rId5">
        <w:r>
          <w:rPr>
            <w:color w:val="184EFC"/>
            <w:u w:val="single" w:color="184EFC"/>
          </w:rPr>
          <w:t>kommunens hjemmeside</w:t>
        </w:r>
      </w:hyperlink>
    </w:p>
    <w:p w14:paraId="325DF94B" w14:textId="77777777" w:rsidR="007029F0" w:rsidRDefault="008E1D2D">
      <w:pPr>
        <w:spacing w:after="8"/>
        <w:ind w:left="-5"/>
      </w:pPr>
      <w:r>
        <w:t xml:space="preserve">Hvis du ønsker at klage over denne afgørelse, kan du klage til Miljø- og Fødevareklagenævnet. </w:t>
      </w:r>
    </w:p>
    <w:p w14:paraId="5A3180FF" w14:textId="77777777" w:rsidR="007029F0" w:rsidRDefault="008E1D2D">
      <w:pPr>
        <w:spacing w:after="8"/>
        <w:ind w:left="-5"/>
      </w:pPr>
      <w:r>
        <w:t xml:space="preserve">Du klager via Klageportalen, som du finder et link til på forsiden af </w:t>
      </w:r>
      <w:hyperlink r:id="rId6">
        <w:r>
          <w:rPr>
            <w:color w:val="0000FF"/>
            <w:u w:val="single" w:color="0000FF"/>
          </w:rPr>
          <w:t>Nævnenes Hus</w:t>
        </w:r>
      </w:hyperlink>
      <w:r>
        <w:t xml:space="preserve">. </w:t>
      </w:r>
    </w:p>
    <w:p w14:paraId="382E8CCE" w14:textId="77777777" w:rsidR="007029F0" w:rsidRDefault="008E1D2D">
      <w:pPr>
        <w:ind w:left="-5"/>
      </w:pPr>
      <w:r>
        <w:t xml:space="preserve">Klageportalen ligger på </w:t>
      </w:r>
      <w:hyperlink r:id="rId7">
        <w:r>
          <w:rPr>
            <w:color w:val="0000FF"/>
            <w:u w:val="single" w:color="0000FF"/>
          </w:rPr>
          <w:t>borger.dk</w:t>
        </w:r>
      </w:hyperlink>
      <w:r>
        <w:t xml:space="preserve"> og </w:t>
      </w:r>
      <w:hyperlink r:id="rId8">
        <w:r>
          <w:rPr>
            <w:color w:val="0000FF"/>
            <w:u w:val="single" w:color="0000FF"/>
          </w:rPr>
          <w:t>virk.dk</w:t>
        </w:r>
      </w:hyperlink>
      <w:hyperlink r:id="rId9">
        <w:r>
          <w:t>.</w:t>
        </w:r>
      </w:hyperlink>
      <w:r>
        <w:t xml:space="preserve"> Du logger på borger.dk eller virk.dk, ligesom du plejer, typisk med NEM-ID. Klagen sendes gennem Klageportalen til den myndighed, der har truffet afgørelsen. En klage er indgivet, når den er tilgængelig for Sil</w:t>
      </w:r>
      <w:r>
        <w:t xml:space="preserve">keborg Kommune i Klageportalen. Når du klager, skal du betale et gebyr på 900 kr. som privatperson og 1800 kr. som virksomhed eller organisation. Du betaler gebyret med betalingskort i Klageportalen. </w:t>
      </w:r>
    </w:p>
    <w:p w14:paraId="6CDC9054" w14:textId="2CCF5755" w:rsidR="007029F0" w:rsidRDefault="008E1D2D">
      <w:pPr>
        <w:spacing w:after="8"/>
        <w:ind w:left="-5"/>
      </w:pPr>
      <w:r>
        <w:t>Klagen skal være modtaget senest 4 uger fra offentliggø</w:t>
      </w:r>
      <w:r>
        <w:t>relsen dvs. senest 28</w:t>
      </w:r>
      <w:r>
        <w:t xml:space="preserve">. august 2024 </w:t>
      </w:r>
    </w:p>
    <w:p w14:paraId="6499CA05" w14:textId="77777777" w:rsidR="007029F0" w:rsidRDefault="008E1D2D">
      <w:pPr>
        <w:ind w:left="-5"/>
      </w:pPr>
      <w:r>
        <w:t>Miljø- og Fødevareklagenævnet skal som udgangspunkt afvise en klage, der kommer uden om Klageportalen, hvis der ikke er særlige grunde til det. Hvis du ønsker at blive fritaget for at bruge Klageportalen, skal du sende e</w:t>
      </w:r>
      <w:r>
        <w:t>n begrundet anmodning til Silkeborg Kommune. Kommunen videresender herefter anmodningen til Miljø- og Fødevareklagenævnet, som træffer afgørelsen om, hvorvidt din anmodning kan imødekommes.</w:t>
      </w:r>
    </w:p>
    <w:p w14:paraId="7AE8040B" w14:textId="77777777" w:rsidR="007029F0" w:rsidRDefault="008E1D2D">
      <w:pPr>
        <w:ind w:left="-5"/>
      </w:pPr>
      <w:r>
        <w:t xml:space="preserve">Gebyret tilbagebetales, hvis </w:t>
      </w:r>
    </w:p>
    <w:p w14:paraId="31F01F38" w14:textId="77777777" w:rsidR="007029F0" w:rsidRDefault="008E1D2D">
      <w:pPr>
        <w:numPr>
          <w:ilvl w:val="0"/>
          <w:numId w:val="1"/>
        </w:numPr>
        <w:spacing w:after="17"/>
        <w:ind w:hanging="360"/>
      </w:pPr>
      <w:r>
        <w:t>klagesagen fører til, at den påklage</w:t>
      </w:r>
      <w:r>
        <w:t xml:space="preserve">de afgørelse ændres eller ophæves </w:t>
      </w:r>
    </w:p>
    <w:p w14:paraId="63EA7FAF" w14:textId="77777777" w:rsidR="007029F0" w:rsidRDefault="008E1D2D">
      <w:pPr>
        <w:numPr>
          <w:ilvl w:val="0"/>
          <w:numId w:val="1"/>
        </w:numPr>
        <w:spacing w:after="17"/>
        <w:ind w:hanging="360"/>
      </w:pPr>
      <w:r>
        <w:t>klageren får helt eller delvis medhold i klagen</w:t>
      </w:r>
    </w:p>
    <w:p w14:paraId="36313C55" w14:textId="77777777" w:rsidR="007029F0" w:rsidRDefault="008E1D2D">
      <w:pPr>
        <w:numPr>
          <w:ilvl w:val="0"/>
          <w:numId w:val="1"/>
        </w:numPr>
        <w:spacing w:after="9" w:line="259" w:lineRule="auto"/>
        <w:ind w:hanging="360"/>
      </w:pPr>
      <w:r>
        <w:t xml:space="preserve">klagen afvises som følge af overskredet klagefrist eller manglende klageberettigelse </w:t>
      </w:r>
    </w:p>
    <w:p w14:paraId="19E467F7" w14:textId="77777777" w:rsidR="007029F0" w:rsidRDefault="008E1D2D">
      <w:pPr>
        <w:numPr>
          <w:ilvl w:val="0"/>
          <w:numId w:val="1"/>
        </w:numPr>
        <w:ind w:hanging="360"/>
      </w:pPr>
      <w:r>
        <w:t xml:space="preserve">klagen ikke er omfattet af Miljø- og Fødevareklagenævnets kompetence. </w:t>
      </w:r>
    </w:p>
    <w:p w14:paraId="6A753576" w14:textId="77777777" w:rsidR="007029F0" w:rsidRDefault="008E1D2D">
      <w:pPr>
        <w:ind w:left="-5"/>
      </w:pPr>
      <w:r>
        <w:t>Det bemærkes, at hvis den eneste ændring af den påklagede afgørelse er forlængelse af frist for efterkommelse af afgørelse som følge af den tid, der er medgået til at behandle sagen i k</w:t>
      </w:r>
      <w:r>
        <w:t xml:space="preserve">lagenævnet, tilbagebetales gebyret dog ikke. </w:t>
      </w:r>
    </w:p>
    <w:p w14:paraId="2D90DBB1" w14:textId="77777777" w:rsidR="007029F0" w:rsidRDefault="008E1D2D">
      <w:pPr>
        <w:ind w:left="-5"/>
      </w:pPr>
      <w:r>
        <w:t xml:space="preserve">En klage har normalt ikke opsættende virkning, </w:t>
      </w:r>
      <w:proofErr w:type="gramStart"/>
      <w:r>
        <w:t>med mindre</w:t>
      </w:r>
      <w:proofErr w:type="gramEnd"/>
      <w:r>
        <w:t xml:space="preserve"> Miljø- og Fødevareklagenævnet beslutter andet. Hvis tilladelsen indeholder vilkår til sikring af de landskabelige værdier eller vilkår om placering af g</w:t>
      </w:r>
      <w:r>
        <w:t xml:space="preserve">yllebeholdere, må tilladelsen ikke udnyttes før klagefristens udløb, og i disse tilfælde har klagen opsættende virkning, </w:t>
      </w:r>
      <w:proofErr w:type="gramStart"/>
      <w:r>
        <w:t>med mindre</w:t>
      </w:r>
      <w:proofErr w:type="gramEnd"/>
      <w:r>
        <w:t xml:space="preserve"> Miljø- og Fødevareklagenævnet beslutter andet. Udnyttelse af tilladelsen sker på ansøgers eget ansvar og indebærer ingen beg</w:t>
      </w:r>
      <w:r>
        <w:t>rænsninger i Miljø- og Fødevareklagenævnets ret til at ændre eller ophæve afgørelsen.</w:t>
      </w:r>
    </w:p>
    <w:p w14:paraId="2948D764" w14:textId="623B02FB" w:rsidR="007029F0" w:rsidRDefault="008E1D2D">
      <w:pPr>
        <w:spacing w:after="1712"/>
        <w:ind w:left="-5"/>
      </w:pPr>
      <w:r>
        <w:t>Ifølge § 90 i Lov om miljøgodkendelse m.v. af husdyrbrug kan afgørelsen desuden prøves ved domstolene. Et eventuelt sagsanlæg skal anlægges inden 6 måneder efter, at afgø</w:t>
      </w:r>
      <w:r>
        <w:t>relsen er offentliggjort, dvs. senest den 31</w:t>
      </w:r>
      <w:r>
        <w:t>. januar 2025.</w:t>
      </w:r>
    </w:p>
    <w:p w14:paraId="6A7BD2BE" w14:textId="77777777" w:rsidR="007029F0" w:rsidRDefault="008E1D2D">
      <w:pPr>
        <w:spacing w:after="298"/>
        <w:ind w:left="0" w:right="506"/>
      </w:pPr>
      <w:r>
        <w:rPr>
          <w:sz w:val="14"/>
        </w:rPr>
        <w:t>Side 2</w:t>
      </w:r>
    </w:p>
    <w:p w14:paraId="2B50C4CD" w14:textId="77777777" w:rsidR="007029F0" w:rsidRDefault="008E1D2D">
      <w:pPr>
        <w:spacing w:after="631"/>
        <w:ind w:left="-5"/>
      </w:pPr>
      <w:r>
        <w:lastRenderedPageBreak/>
        <w:t>Venlig hilsen</w:t>
      </w:r>
    </w:p>
    <w:p w14:paraId="549AB706" w14:textId="77777777" w:rsidR="007029F0" w:rsidRDefault="008E1D2D">
      <w:pPr>
        <w:ind w:left="-5"/>
      </w:pPr>
      <w:r>
        <w:t xml:space="preserve">Mariann Nakano Pinkalski </w:t>
      </w:r>
    </w:p>
    <w:p w14:paraId="4E6C571E" w14:textId="77777777" w:rsidR="007029F0" w:rsidRDefault="008E1D2D">
      <w:pPr>
        <w:spacing w:after="469"/>
        <w:ind w:left="-5"/>
      </w:pPr>
      <w:r>
        <w:t>Biolog</w:t>
      </w:r>
    </w:p>
    <w:p w14:paraId="66012817" w14:textId="556BE07B" w:rsidR="008E1D2D" w:rsidRDefault="008E1D2D">
      <w:pPr>
        <w:spacing w:after="160" w:line="259" w:lineRule="auto"/>
        <w:ind w:left="0" w:firstLine="0"/>
      </w:pPr>
      <w:r>
        <w:br w:type="page"/>
      </w:r>
    </w:p>
    <w:p w14:paraId="268FBEA1" w14:textId="77777777" w:rsidR="008E1D2D" w:rsidRDefault="008E1D2D">
      <w:pPr>
        <w:spacing w:after="469"/>
        <w:ind w:left="-5"/>
      </w:pPr>
    </w:p>
    <w:p w14:paraId="2D56EFFE" w14:textId="77777777" w:rsidR="007029F0" w:rsidRDefault="008E1D2D">
      <w:pPr>
        <w:pStyle w:val="Overskrift1"/>
        <w:spacing w:after="453"/>
        <w:ind w:left="-5"/>
      </w:pPr>
      <w:r>
        <w:t>Bilag 1 – liste over organisationer og adresser der er orienteret om afgørelsen</w:t>
      </w:r>
    </w:p>
    <w:p w14:paraId="7B41B1CC" w14:textId="77777777" w:rsidR="007029F0" w:rsidRDefault="008E1D2D">
      <w:pPr>
        <w:ind w:left="-5"/>
      </w:pPr>
      <w:r>
        <w:t>Danmarks Naturfredningsforening, Masnedøgade 20, 2100 Kbh. Ø, d</w:t>
      </w:r>
      <w:r>
        <w:t>nsilkeborg-sager@dn.dk</w:t>
      </w:r>
    </w:p>
    <w:p w14:paraId="224EC6BD" w14:textId="77777777" w:rsidR="007029F0" w:rsidRDefault="008E1D2D">
      <w:pPr>
        <w:ind w:left="-5"/>
      </w:pPr>
      <w:r>
        <w:t xml:space="preserve">Danmarks Sportsfiskerforbund, Skyttevej 4, 7182 Bredsten, </w:t>
      </w:r>
      <w:r>
        <w:rPr>
          <w:color w:val="0000FF"/>
          <w:u w:val="single" w:color="0000FF"/>
        </w:rPr>
        <w:t>post@sportsfiskerforbundet.dk</w:t>
      </w:r>
      <w:r>
        <w:t>, lbt@sportsfiskerforbundet.dk</w:t>
      </w:r>
    </w:p>
    <w:p w14:paraId="432AFC3A" w14:textId="77777777" w:rsidR="007029F0" w:rsidRDefault="008E1D2D">
      <w:pPr>
        <w:ind w:left="-5"/>
      </w:pPr>
      <w:r>
        <w:t xml:space="preserve">Rådet for grøn omstilling, </w:t>
      </w:r>
      <w:proofErr w:type="spellStart"/>
      <w:r>
        <w:t>Kompagnistrædet</w:t>
      </w:r>
      <w:proofErr w:type="spellEnd"/>
      <w:r>
        <w:t xml:space="preserve"> 22, 3. sal, 1208 København K, info@rgo.dk</w:t>
      </w:r>
    </w:p>
    <w:p w14:paraId="631B266B" w14:textId="77777777" w:rsidR="007029F0" w:rsidRDefault="008E1D2D">
      <w:pPr>
        <w:ind w:left="-5"/>
      </w:pPr>
      <w:r>
        <w:t>Dansk Ornitologisk Forening, V</w:t>
      </w:r>
      <w:r>
        <w:t>esterbrogade 140, 1620 Kbh. V, natur@dof.dk</w:t>
      </w:r>
    </w:p>
    <w:p w14:paraId="239DBF8C" w14:textId="77777777" w:rsidR="007029F0" w:rsidRDefault="008E1D2D">
      <w:pPr>
        <w:ind w:left="-5"/>
      </w:pPr>
      <w:r>
        <w:t>Styrelsen for Patientsikkerhed, stps@stps.dk</w:t>
      </w:r>
    </w:p>
    <w:p w14:paraId="75CA2E2E" w14:textId="77777777" w:rsidR="007029F0" w:rsidRDefault="008E1D2D">
      <w:pPr>
        <w:ind w:left="-5"/>
      </w:pPr>
      <w:r>
        <w:t xml:space="preserve">Danmarks Fiskeriforening, </w:t>
      </w:r>
      <w:proofErr w:type="spellStart"/>
      <w:r>
        <w:t>Nordensvej</w:t>
      </w:r>
      <w:proofErr w:type="spellEnd"/>
      <w:r>
        <w:t xml:space="preserve"> 3, Taulov, 7000 Fredericia, mail@dkfisk.dk</w:t>
      </w:r>
    </w:p>
    <w:p w14:paraId="685A901F" w14:textId="77777777" w:rsidR="007029F0" w:rsidRDefault="008E1D2D">
      <w:pPr>
        <w:ind w:left="-5"/>
      </w:pPr>
      <w:r>
        <w:t>Ferskvandsfiskeriforeningen for Danmark, nb@ferskvandsfiskeriforeningen.dk</w:t>
      </w:r>
    </w:p>
    <w:p w14:paraId="7557E760" w14:textId="77777777" w:rsidR="007029F0" w:rsidRDefault="008E1D2D">
      <w:pPr>
        <w:ind w:left="-5"/>
      </w:pPr>
      <w:r>
        <w:t>Arbejderbevæ</w:t>
      </w:r>
      <w:r>
        <w:t>gelsens Erhvervsråd, Reventlowsgade 14, 1 sal, 1651 Kbh. V, ae@ae.dk</w:t>
      </w:r>
    </w:p>
    <w:p w14:paraId="48544037" w14:textId="77777777" w:rsidR="007029F0" w:rsidRDefault="008E1D2D">
      <w:pPr>
        <w:ind w:left="-5"/>
      </w:pPr>
      <w:r>
        <w:t xml:space="preserve">Forbrugerrådet, Fiolstræde 17, </w:t>
      </w:r>
      <w:proofErr w:type="spellStart"/>
      <w:r>
        <w:t>Postbox</w:t>
      </w:r>
      <w:proofErr w:type="spellEnd"/>
      <w:r>
        <w:t xml:space="preserve"> 2188, 1017 Kbh. K, fbr@fbr.dk</w:t>
      </w:r>
    </w:p>
    <w:p w14:paraId="63305F03" w14:textId="77777777" w:rsidR="007029F0" w:rsidRDefault="008E1D2D">
      <w:pPr>
        <w:spacing w:after="631"/>
        <w:ind w:left="-5"/>
      </w:pPr>
      <w:r>
        <w:t xml:space="preserve">Gjern </w:t>
      </w:r>
      <w:proofErr w:type="gramStart"/>
      <w:r>
        <w:t>Natur,post@gjern-natur.dk</w:t>
      </w:r>
      <w:proofErr w:type="gramEnd"/>
    </w:p>
    <w:p w14:paraId="51B9D88B" w14:textId="77777777" w:rsidR="007029F0" w:rsidRDefault="008E1D2D">
      <w:pPr>
        <w:spacing w:after="4341"/>
        <w:ind w:left="-5"/>
      </w:pPr>
      <w:r>
        <w:t>Sølvstensvej 5, 8882 Fårvang</w:t>
      </w:r>
    </w:p>
    <w:p w14:paraId="61B54042" w14:textId="77777777" w:rsidR="007029F0" w:rsidRDefault="008E1D2D">
      <w:pPr>
        <w:spacing w:after="298"/>
        <w:ind w:left="0" w:right="506"/>
      </w:pPr>
      <w:r>
        <w:rPr>
          <w:sz w:val="14"/>
        </w:rPr>
        <w:t>Side 3</w:t>
      </w:r>
    </w:p>
    <w:sectPr w:rsidR="007029F0">
      <w:type w:val="continuous"/>
      <w:pgSz w:w="11907" w:h="16839"/>
      <w:pgMar w:top="2316" w:right="1145" w:bottom="102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126FC"/>
    <w:multiLevelType w:val="hybridMultilevel"/>
    <w:tmpl w:val="918C1F68"/>
    <w:lvl w:ilvl="0" w:tplc="24DA35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EF4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847C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96E7D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BC24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EE46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4CBBB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C35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7A7E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2238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F0"/>
    <w:rsid w:val="007029F0"/>
    <w:rsid w:val="008E1D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4470"/>
  <w15:docId w15:val="{87806742-2C29-41A1-9B8F-37E1ACDD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49" w:lineRule="auto"/>
      <w:ind w:left="10" w:hanging="10"/>
    </w:pPr>
    <w:rPr>
      <w:rFonts w:ascii="Verdana" w:eastAsia="Verdana" w:hAnsi="Verdana" w:cs="Verdana"/>
      <w:color w:val="000000"/>
      <w:sz w:val="20"/>
    </w:rPr>
  </w:style>
  <w:style w:type="paragraph" w:styleId="Overskrift1">
    <w:name w:val="heading 1"/>
    <w:next w:val="Normal"/>
    <w:link w:val="Overskrift1Tegn"/>
    <w:uiPriority w:val="9"/>
    <w:qFormat/>
    <w:pPr>
      <w:keepNext/>
      <w:keepLines/>
      <w:spacing w:after="10" w:line="249" w:lineRule="auto"/>
      <w:ind w:left="10" w:hanging="10"/>
      <w:outlineLvl w:val="0"/>
    </w:pPr>
    <w:rPr>
      <w:rFonts w:ascii="Verdana" w:eastAsia="Verdana" w:hAnsi="Verdana" w:cs="Verdana"/>
      <w:b/>
      <w:color w:val="000000"/>
      <w:sz w:val="24"/>
    </w:rPr>
  </w:style>
  <w:style w:type="paragraph" w:styleId="Overskrift2">
    <w:name w:val="heading 2"/>
    <w:next w:val="Normal"/>
    <w:link w:val="Overskrift2Tegn"/>
    <w:uiPriority w:val="9"/>
    <w:unhideWhenUsed/>
    <w:qFormat/>
    <w:pPr>
      <w:keepNext/>
      <w:keepLines/>
      <w:spacing w:after="180"/>
      <w:ind w:left="10" w:hanging="10"/>
      <w:outlineLvl w:val="1"/>
    </w:pPr>
    <w:rPr>
      <w:rFonts w:ascii="Verdana" w:eastAsia="Verdana" w:hAnsi="Verdana" w:cs="Verdana"/>
      <w:i/>
      <w:color w:val="000000"/>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link w:val="Overskrift2"/>
    <w:rPr>
      <w:rFonts w:ascii="Verdana" w:eastAsia="Verdana" w:hAnsi="Verdana" w:cs="Verdana"/>
      <w:i/>
      <w:color w:val="000000"/>
      <w:sz w:val="20"/>
    </w:rPr>
  </w:style>
  <w:style w:type="character" w:customStyle="1" w:styleId="Overskrift1Tegn">
    <w:name w:val="Overskrift 1 Tegn"/>
    <w:link w:val="Overskrift1"/>
    <w:rPr>
      <w:rFonts w:ascii="Verdana" w:eastAsia="Verdana" w:hAnsi="Verdana" w:cs="Verdan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irk.dk/myndigheder/kommuner/selvbetjening/Klageskema_vedroerende_miljoeforhold" TargetMode="External"/><Relationship Id="rId3" Type="http://schemas.openxmlformats.org/officeDocument/2006/relationships/settings" Target="settings.xml"/><Relationship Id="rId7" Type="http://schemas.openxmlformats.org/officeDocument/2006/relationships/hyperlink" Target="https://www.borger.dk/miljoe-og-ener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evneneshus.dk/start-din-klage/miljoe-og-foedevareklagenaevnet/" TargetMode="External"/><Relationship Id="rId11" Type="http://schemas.openxmlformats.org/officeDocument/2006/relationships/theme" Target="theme/theme1.xml"/><Relationship Id="rId5" Type="http://schemas.openxmlformats.org/officeDocument/2006/relationships/hyperlink" Target="https://silkeborg.dk/Kommunen/Hoeringer-og-afgoerelser/Afgoerelser-Teknik-og-Miljo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rk.dk/myndigheder/kommuner/selvbetjening/Klageskema_vedroerende_miljoeforh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837</Words>
  <Characters>5140</Characters>
  <Application>Microsoft Office Word</Application>
  <DocSecurity>0</DocSecurity>
  <Lines>104</Lines>
  <Paragraphs>71</Paragraphs>
  <ScaleCrop>false</ScaleCrop>
  <Company>Silkeborg Kommune</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om at teltdug ikke kræver tillæg til eksisterende miljøgodkendelse</dc:title>
  <dc:subject/>
  <dc:creator>Mariann Louise Nakano S Pinkalski (27012)</dc:creator>
  <cp:keywords/>
  <cp:lastModifiedBy>Mariann Louise Nakano S Pinkalski (27012)</cp:lastModifiedBy>
  <cp:revision>2</cp:revision>
  <dcterms:created xsi:type="dcterms:W3CDTF">2024-07-31T08:04:00Z</dcterms:created>
  <dcterms:modified xsi:type="dcterms:W3CDTF">2024-07-31T08:04:00Z</dcterms:modified>
</cp:coreProperties>
</file>