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5670"/>
      </w:tblGrid>
      <w:tr w:rsidR="003755AF" w:rsidRPr="005C046A" w:rsidTr="00AF12A7">
        <w:trPr>
          <w:trHeight w:val="1417"/>
          <w:tblHeader/>
        </w:trPr>
        <w:tc>
          <w:tcPr>
            <w:tcW w:w="5670" w:type="dxa"/>
          </w:tcPr>
          <w:p w:rsidR="005C046A" w:rsidRPr="005C046A" w:rsidRDefault="005C046A" w:rsidP="005C046A">
            <w:pPr>
              <w:pStyle w:val="Modtager"/>
              <w:rPr>
                <w:rFonts w:ascii="Calibri" w:hAnsi="Calibri" w:cs="Calibri"/>
              </w:rPr>
            </w:pPr>
            <w:r w:rsidRPr="005C046A">
              <w:rPr>
                <w:rFonts w:ascii="Calibri" w:hAnsi="Calibri" w:cs="Calibri"/>
              </w:rPr>
              <w:t>Helsingør Kraftvarmeværk A/S</w:t>
            </w:r>
          </w:p>
          <w:p w:rsidR="003755AF" w:rsidRPr="005C046A" w:rsidRDefault="005C046A" w:rsidP="005C046A">
            <w:pPr>
              <w:pStyle w:val="Modtager"/>
            </w:pPr>
            <w:r w:rsidRPr="005C046A">
              <w:rPr>
                <w:rFonts w:ascii="Calibri" w:hAnsi="Calibri" w:cs="Calibri"/>
              </w:rPr>
              <w:t>Att.: Jeanette Michelsen</w:t>
            </w:r>
          </w:p>
        </w:tc>
      </w:tr>
    </w:tbl>
    <w:p w:rsidR="003755AF" w:rsidRPr="005C046A" w:rsidRDefault="003755AF" w:rsidP="001C760A">
      <w:pPr>
        <w:spacing w:line="24" w:lineRule="auto"/>
      </w:pPr>
      <w:bookmarkStart w:id="0" w:name="_GoBack"/>
      <w:bookmarkEnd w:id="0"/>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5C046A" w:rsidTr="00AF12A7">
        <w:trPr>
          <w:trHeight w:val="397"/>
          <w:tblHeader/>
        </w:trPr>
        <w:tc>
          <w:tcPr>
            <w:tcW w:w="4196" w:type="dxa"/>
            <w:vAlign w:val="bottom"/>
          </w:tcPr>
          <w:p w:rsidR="003755AF" w:rsidRPr="005C046A" w:rsidRDefault="005C046A" w:rsidP="005C046A">
            <w:pPr>
              <w:pStyle w:val="KolofonFed"/>
            </w:pPr>
            <w:r w:rsidRPr="005C046A">
              <w:rPr>
                <w:rFonts w:ascii="Calibri" w:hAnsi="Calibri" w:cs="Calibri"/>
              </w:rPr>
              <w:t>Center for By Land og Vand</w:t>
            </w:r>
          </w:p>
        </w:tc>
      </w:tr>
    </w:tbl>
    <w:p w:rsidR="003755AF" w:rsidRPr="005C046A"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5C046A" w:rsidTr="00654F3D">
        <w:trPr>
          <w:trHeight w:val="1985"/>
          <w:tblHeader/>
        </w:trPr>
        <w:tc>
          <w:tcPr>
            <w:tcW w:w="2268" w:type="dxa"/>
          </w:tcPr>
          <w:p w:rsidR="005C046A" w:rsidRPr="005C046A" w:rsidRDefault="005C046A" w:rsidP="005C046A">
            <w:pPr>
              <w:pStyle w:val="Kolofon"/>
              <w:rPr>
                <w:rFonts w:ascii="Calibri" w:hAnsi="Calibri" w:cs="Calibri"/>
              </w:rPr>
            </w:pPr>
            <w:r w:rsidRPr="005C046A">
              <w:rPr>
                <w:rFonts w:ascii="Calibri" w:hAnsi="Calibri" w:cs="Calibri"/>
              </w:rPr>
              <w:t>Natur Miljø og Klima</w:t>
            </w:r>
          </w:p>
          <w:p w:rsidR="005C046A" w:rsidRPr="005C046A" w:rsidRDefault="005C046A" w:rsidP="005C046A">
            <w:pPr>
              <w:pStyle w:val="Kolofon"/>
              <w:rPr>
                <w:rFonts w:ascii="Calibri" w:hAnsi="Calibri" w:cs="Calibri"/>
              </w:rPr>
            </w:pPr>
            <w:r w:rsidRPr="005C046A">
              <w:rPr>
                <w:rFonts w:ascii="Calibri" w:hAnsi="Calibri" w:cs="Calibri"/>
              </w:rPr>
              <w:t>Prøvestensvej 52</w:t>
            </w:r>
          </w:p>
          <w:p w:rsidR="005C046A" w:rsidRPr="005C046A" w:rsidRDefault="005C046A" w:rsidP="005C046A">
            <w:pPr>
              <w:pStyle w:val="Kolofon"/>
              <w:rPr>
                <w:rFonts w:ascii="Calibri" w:hAnsi="Calibri" w:cs="Calibri"/>
              </w:rPr>
            </w:pPr>
            <w:r w:rsidRPr="005C046A">
              <w:rPr>
                <w:rFonts w:ascii="Calibri" w:hAnsi="Calibri" w:cs="Calibri"/>
              </w:rPr>
              <w:t>3000 Helsingør</w:t>
            </w:r>
          </w:p>
          <w:p w:rsidR="005C046A" w:rsidRPr="005C046A" w:rsidRDefault="005C046A" w:rsidP="005C046A">
            <w:pPr>
              <w:pStyle w:val="KolofonAfstand"/>
            </w:pPr>
          </w:p>
          <w:p w:rsidR="005C046A" w:rsidRPr="005C046A" w:rsidRDefault="005C046A" w:rsidP="005C046A">
            <w:pPr>
              <w:pStyle w:val="Kolofon"/>
              <w:rPr>
                <w:rFonts w:ascii="Calibri" w:hAnsi="Calibri" w:cs="Calibri"/>
              </w:rPr>
            </w:pPr>
            <w:r w:rsidRPr="005C046A">
              <w:rPr>
                <w:rFonts w:ascii="Calibri" w:hAnsi="Calibri" w:cs="Calibri"/>
              </w:rPr>
              <w:t>Cvr nr. 64 50 20 18</w:t>
            </w:r>
          </w:p>
          <w:p w:rsidR="005C046A" w:rsidRPr="005C046A" w:rsidRDefault="005C046A" w:rsidP="005C046A">
            <w:pPr>
              <w:pStyle w:val="Kolofon"/>
              <w:rPr>
                <w:rFonts w:ascii="Calibri" w:hAnsi="Calibri" w:cs="Calibri"/>
              </w:rPr>
            </w:pPr>
            <w:r w:rsidRPr="005C046A">
              <w:rPr>
                <w:rFonts w:ascii="Calibri" w:hAnsi="Calibri" w:cs="Calibri"/>
              </w:rPr>
              <w:t>Dato 9. august 2023</w:t>
            </w:r>
          </w:p>
          <w:p w:rsidR="005C046A" w:rsidRPr="005C046A" w:rsidRDefault="005C046A" w:rsidP="005C046A">
            <w:pPr>
              <w:pStyle w:val="KolofonAfstand"/>
            </w:pPr>
          </w:p>
          <w:p w:rsidR="005C046A" w:rsidRPr="005C046A" w:rsidRDefault="005C046A" w:rsidP="005C046A">
            <w:pPr>
              <w:pStyle w:val="Kolofon"/>
              <w:rPr>
                <w:rFonts w:ascii="Calibri" w:hAnsi="Calibri" w:cs="Calibri"/>
              </w:rPr>
            </w:pPr>
            <w:r w:rsidRPr="005C046A">
              <w:rPr>
                <w:rFonts w:ascii="Calibri" w:hAnsi="Calibri" w:cs="Calibri"/>
                <w:b/>
              </w:rPr>
              <w:t>Malene Kamstrup</w:t>
            </w:r>
          </w:p>
          <w:p w:rsidR="005C046A" w:rsidRPr="005C046A" w:rsidRDefault="005C046A" w:rsidP="005C046A">
            <w:pPr>
              <w:pStyle w:val="Kolofon"/>
              <w:rPr>
                <w:rFonts w:ascii="Calibri" w:hAnsi="Calibri" w:cs="Calibri"/>
              </w:rPr>
            </w:pPr>
            <w:r w:rsidRPr="005C046A">
              <w:rPr>
                <w:rFonts w:ascii="Calibri" w:hAnsi="Calibri" w:cs="Calibri"/>
              </w:rPr>
              <w:t>Ingeniør</w:t>
            </w:r>
          </w:p>
          <w:p w:rsidR="005C046A" w:rsidRPr="005C046A" w:rsidRDefault="005C046A" w:rsidP="005C046A">
            <w:pPr>
              <w:pStyle w:val="Kolofon"/>
              <w:rPr>
                <w:rFonts w:ascii="Calibri" w:hAnsi="Calibri" w:cs="Calibri"/>
              </w:rPr>
            </w:pPr>
            <w:r w:rsidRPr="005C046A">
              <w:rPr>
                <w:rFonts w:ascii="Calibri" w:hAnsi="Calibri" w:cs="Calibri"/>
              </w:rPr>
              <w:t>Tlf. 49 28 24 54</w:t>
            </w:r>
          </w:p>
          <w:p w:rsidR="005C046A" w:rsidRPr="005C046A" w:rsidRDefault="005C046A" w:rsidP="005C046A">
            <w:pPr>
              <w:pStyle w:val="KolofonAfstand"/>
            </w:pPr>
          </w:p>
          <w:p w:rsidR="003755AF" w:rsidRPr="005C046A" w:rsidRDefault="005C046A" w:rsidP="005C046A">
            <w:pPr>
              <w:pStyle w:val="Kolofon"/>
            </w:pPr>
            <w:r w:rsidRPr="005C046A">
              <w:rPr>
                <w:rFonts w:ascii="Calibri" w:hAnsi="Calibri" w:cs="Calibri"/>
              </w:rPr>
              <w:t>www.helsingor.dk</w:t>
            </w:r>
          </w:p>
        </w:tc>
      </w:tr>
    </w:tbl>
    <w:p w:rsidR="003755AF" w:rsidRPr="005C046A" w:rsidRDefault="003755AF" w:rsidP="001C760A">
      <w:pPr>
        <w:spacing w:line="24" w:lineRule="auto"/>
      </w:pPr>
    </w:p>
    <w:p w:rsidR="003755AF" w:rsidRPr="005C046A"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5C046A" w:rsidTr="00AF12A7">
        <w:trPr>
          <w:trHeight w:val="2835"/>
          <w:tblHeader/>
        </w:trPr>
        <w:tc>
          <w:tcPr>
            <w:tcW w:w="2268" w:type="dxa"/>
            <w:vAlign w:val="bottom"/>
          </w:tcPr>
          <w:p w:rsidR="003755AF" w:rsidRPr="005C046A" w:rsidRDefault="003755AF" w:rsidP="00AF12A7">
            <w:pPr>
              <w:pStyle w:val="Kolofon"/>
            </w:pPr>
          </w:p>
        </w:tc>
      </w:tr>
    </w:tbl>
    <w:p w:rsidR="003755AF" w:rsidRPr="005C046A" w:rsidRDefault="003755AF" w:rsidP="001C760A">
      <w:pPr>
        <w:spacing w:line="24" w:lineRule="auto"/>
      </w:pPr>
    </w:p>
    <w:p w:rsidR="005C046A" w:rsidRPr="005C046A" w:rsidRDefault="005C046A" w:rsidP="005C046A">
      <w:pPr>
        <w:rPr>
          <w:b/>
          <w:bCs/>
        </w:rPr>
      </w:pPr>
      <w:r w:rsidRPr="005C046A">
        <w:rPr>
          <w:b/>
          <w:bCs/>
        </w:rPr>
        <w:t>Lempet vilkår om udledning af processpildevand</w:t>
      </w:r>
    </w:p>
    <w:p w:rsidR="005C046A" w:rsidRPr="005C046A" w:rsidRDefault="005C046A" w:rsidP="005C046A">
      <w:r w:rsidRPr="005C046A">
        <w:t>Tak for din ansøgning om lempet vilkår 62 om egenkontrol af udledning af renset processpildevand. Dette brev er et ændret vilkår.</w:t>
      </w:r>
    </w:p>
    <w:p w:rsidR="005C046A" w:rsidRPr="005C046A" w:rsidRDefault="005C046A" w:rsidP="005C046A"/>
    <w:p w:rsidR="005C046A" w:rsidRPr="005C046A" w:rsidRDefault="005C046A" w:rsidP="005C046A">
      <w:pPr>
        <w:rPr>
          <w:b/>
        </w:rPr>
      </w:pPr>
      <w:r w:rsidRPr="005C046A">
        <w:rPr>
          <w:b/>
        </w:rPr>
        <w:t>Kommunens afgørelse</w:t>
      </w:r>
    </w:p>
    <w:p w:rsidR="005C046A" w:rsidRPr="005C046A" w:rsidRDefault="005C046A" w:rsidP="005C046A">
      <w:r w:rsidRPr="005C046A">
        <w:t>Med hjemmel i miljøbeskyttelseslovens §33 og 72 meddeler Helsingør Kommune følgende lempelse i miljøgodkendelsen:</w:t>
      </w:r>
    </w:p>
    <w:p w:rsidR="005C046A" w:rsidRPr="005C046A" w:rsidRDefault="005C046A" w:rsidP="005C046A">
      <w:pPr>
        <w:tabs>
          <w:tab w:val="left" w:pos="567"/>
        </w:tabs>
      </w:pPr>
      <w:r w:rsidRPr="005C046A">
        <w:t>61</w:t>
      </w:r>
      <w:r w:rsidRPr="005C046A">
        <w:tab/>
        <w:t>Udgår</w:t>
      </w:r>
    </w:p>
    <w:p w:rsidR="005C046A" w:rsidRPr="005C046A" w:rsidRDefault="005C046A" w:rsidP="005C046A"/>
    <w:p w:rsidR="005C046A" w:rsidRPr="005C046A" w:rsidRDefault="005C046A" w:rsidP="005C046A">
      <w:pPr>
        <w:ind w:left="567" w:hanging="567"/>
      </w:pPr>
      <w:r w:rsidRPr="005C046A">
        <w:t>61a</w:t>
      </w:r>
      <w:r w:rsidRPr="005C046A">
        <w:tab/>
        <w:t xml:space="preserve">(BAT-AEL) Værket skal overholde følgende grænser for udledning af renset processpildevand til forsinkelsesbassinet: </w:t>
      </w:r>
    </w:p>
    <w:p w:rsidR="005C046A" w:rsidRPr="005C046A" w:rsidRDefault="005C046A" w:rsidP="005C046A"/>
    <w:tbl>
      <w:tblPr>
        <w:tblW w:w="6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992"/>
        <w:gridCol w:w="1560"/>
        <w:gridCol w:w="1417"/>
      </w:tblGrid>
      <w:tr w:rsidR="005C046A" w:rsidRPr="005C046A" w:rsidTr="00195B18">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pPr>
              <w:rPr>
                <w:b/>
              </w:rPr>
            </w:pPr>
            <w:r w:rsidRPr="005C046A">
              <w:rPr>
                <w:b/>
              </w:rPr>
              <w:t>Parameter</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pPr>
              <w:rPr>
                <w:b/>
              </w:rPr>
            </w:pPr>
            <w:r w:rsidRPr="005C046A">
              <w:rPr>
                <w:b/>
              </w:rPr>
              <w:t>Enhed</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pPr>
              <w:rPr>
                <w:b/>
              </w:rPr>
            </w:pPr>
            <w:r w:rsidRPr="005C046A">
              <w:rPr>
                <w:b/>
              </w:rPr>
              <w:t>Grænse</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pPr>
              <w:rPr>
                <w:b/>
              </w:rPr>
            </w:pPr>
            <w:r w:rsidRPr="005C046A">
              <w:rPr>
                <w:b/>
              </w:rPr>
              <w:t>Kontrolregel</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As , arsen</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4,3</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rPr>
          <w:trHeight w:val="50"/>
        </w:trPr>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Pb</w:t>
            </w:r>
            <w:proofErr w:type="spellEnd"/>
            <w:r w:rsidRPr="005C046A">
              <w:t>, bly</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1,2</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Cr</w:t>
            </w:r>
            <w:proofErr w:type="spellEnd"/>
            <w:r w:rsidRPr="005C046A">
              <w:t>, krom (total)</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3,4</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Cu</w:t>
            </w:r>
            <w:proofErr w:type="spellEnd"/>
            <w:r w:rsidRPr="005C046A">
              <w:t>, kobber</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1,0</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Ni, nikkel</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4</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Zn</w:t>
            </w:r>
            <w:proofErr w:type="spellEnd"/>
            <w:r w:rsidRPr="005C046A">
              <w:t>, zink</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 xml:space="preserve">7,8 </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Cd og Cd-forbindelser</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0,15 ved 100-200mg CaCO</w:t>
            </w:r>
            <w:r w:rsidRPr="005C046A">
              <w:rPr>
                <w:vertAlign w:val="subscript"/>
              </w:rPr>
              <w:t>3</w:t>
            </w:r>
            <w:r w:rsidRPr="005C046A">
              <w:t>/l</w:t>
            </w:r>
          </w:p>
          <w:p w:rsidR="005C046A" w:rsidRPr="005C046A" w:rsidRDefault="005C046A" w:rsidP="005C046A">
            <w:r w:rsidRPr="005C046A">
              <w:t>0,25 ved &gt;200mg CaCO</w:t>
            </w:r>
            <w:r w:rsidRPr="005C046A">
              <w:rPr>
                <w:vertAlign w:val="subscript"/>
              </w:rPr>
              <w:t>3</w:t>
            </w:r>
            <w:r w:rsidRPr="005C046A">
              <w:t>/l</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Hg og Hg-forbindelser</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0,05</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Formaldehyd</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9,2</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Benz(a)</w:t>
            </w:r>
            <w:proofErr w:type="spellStart"/>
            <w:r w:rsidRPr="005C046A">
              <w:t>anthracen</w:t>
            </w:r>
            <w:proofErr w:type="spellEnd"/>
            <w:r w:rsidRPr="005C046A">
              <w:t xml:space="preserve"> (PAH)</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0,012</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Dibenz</w:t>
            </w:r>
            <w:proofErr w:type="spellEnd"/>
            <w:r w:rsidRPr="005C046A">
              <w:t>(</w:t>
            </w:r>
            <w:proofErr w:type="spellStart"/>
            <w:r w:rsidRPr="005C046A">
              <w:t>a,h</w:t>
            </w:r>
            <w:proofErr w:type="spellEnd"/>
            <w:r w:rsidRPr="005C046A">
              <w:t>)</w:t>
            </w:r>
            <w:proofErr w:type="spellStart"/>
            <w:r w:rsidRPr="005C046A">
              <w:t>anthracenn</w:t>
            </w:r>
            <w:proofErr w:type="spellEnd"/>
            <w:r w:rsidRPr="005C046A">
              <w:t xml:space="preserve"> (PAH)</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0,0014</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Fluoranthen</w:t>
            </w:r>
            <w:proofErr w:type="spellEnd"/>
            <w:r w:rsidRPr="005C046A">
              <w:t>*( PAH)</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proofErr w:type="spellStart"/>
            <w:r w:rsidRPr="005C046A">
              <w:t>μg</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0,0063</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(NH</w:t>
            </w:r>
            <w:r w:rsidRPr="005C046A">
              <w:rPr>
                <w:vertAlign w:val="subscript"/>
              </w:rPr>
              <w:t>3</w:t>
            </w:r>
            <w:r w:rsidRPr="005C046A">
              <w:t>-NH</w:t>
            </w:r>
            <w:r w:rsidRPr="005C046A">
              <w:rPr>
                <w:vertAlign w:val="subscript"/>
              </w:rPr>
              <w:t>4</w:t>
            </w:r>
            <w:r w:rsidRPr="005C046A">
              <w:t>)-N</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1,0</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Tilstand</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Fluorid (F)</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0,5</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Tilstand</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Klorid (Cl)</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100</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Tilstand</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lastRenderedPageBreak/>
              <w:t>Sulfat (SO</w:t>
            </w:r>
            <w:r w:rsidRPr="005C046A">
              <w:rPr>
                <w:vertAlign w:val="subscript"/>
              </w:rPr>
              <w:t>4</w:t>
            </w:r>
            <w:r w:rsidRPr="005C046A">
              <w:rPr>
                <w:vertAlign w:val="superscript"/>
              </w:rPr>
              <w:t>--</w:t>
            </w:r>
            <w:r w:rsidRPr="005C046A">
              <w:t>)</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120</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Tilstand*</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Sulfid (S</w:t>
            </w:r>
            <w:r w:rsidRPr="005C046A">
              <w:rPr>
                <w:vertAlign w:val="superscript"/>
              </w:rPr>
              <w:t>--</w:t>
            </w:r>
            <w:r w:rsidRPr="005C046A">
              <w:t>)</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0,02</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Tilstand</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Sulfit (SO</w:t>
            </w:r>
            <w:r w:rsidRPr="005C046A">
              <w:rPr>
                <w:vertAlign w:val="subscript"/>
              </w:rPr>
              <w:t>3</w:t>
            </w:r>
            <w:r w:rsidRPr="005C046A">
              <w:rPr>
                <w:vertAlign w:val="superscript"/>
              </w:rPr>
              <w:t>--</w:t>
            </w:r>
            <w:r w:rsidRPr="005C046A">
              <w:t>)</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5</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Tilstand</w:t>
            </w:r>
          </w:p>
        </w:tc>
      </w:tr>
      <w:tr w:rsidR="005C046A" w:rsidRPr="005C046A" w:rsidTr="00195B18">
        <w:tc>
          <w:tcPr>
            <w:tcW w:w="2551"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 xml:space="preserve">Total </w:t>
            </w:r>
            <w:proofErr w:type="spellStart"/>
            <w:r w:rsidRPr="005C046A">
              <w:t>alkalinitet</w:t>
            </w:r>
            <w:proofErr w:type="spellEnd"/>
            <w:r w:rsidRPr="005C046A">
              <w:t xml:space="preserve"> (buffervirkning)</w:t>
            </w:r>
          </w:p>
        </w:tc>
        <w:tc>
          <w:tcPr>
            <w:tcW w:w="992"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proofErr w:type="spellStart"/>
            <w:r w:rsidRPr="005C046A">
              <w:t>meq</w:t>
            </w:r>
            <w:proofErr w:type="spellEnd"/>
            <w:r w:rsidRPr="005C046A">
              <w:t>/l</w:t>
            </w:r>
          </w:p>
        </w:tc>
        <w:tc>
          <w:tcPr>
            <w:tcW w:w="1560" w:type="dxa"/>
            <w:tcBorders>
              <w:top w:val="single" w:sz="4" w:space="0" w:color="auto"/>
              <w:left w:val="single" w:sz="4" w:space="0" w:color="auto"/>
              <w:bottom w:val="single" w:sz="4" w:space="0" w:color="auto"/>
              <w:right w:val="single" w:sz="4" w:space="0" w:color="auto"/>
            </w:tcBorders>
            <w:hideMark/>
          </w:tcPr>
          <w:p w:rsidR="005C046A" w:rsidRPr="005C046A" w:rsidRDefault="005C046A" w:rsidP="005C046A">
            <w:r w:rsidRPr="005C046A">
              <w:t>&gt;3</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SS</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30</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Total kulbrinter (THC)</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10</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r w:rsidR="005C046A" w:rsidRPr="005C046A" w:rsidTr="00195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1"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Total N</w:t>
            </w:r>
          </w:p>
        </w:tc>
        <w:tc>
          <w:tcPr>
            <w:tcW w:w="992"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mg/l</w:t>
            </w:r>
          </w:p>
        </w:tc>
        <w:tc>
          <w:tcPr>
            <w:tcW w:w="1560"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8</w:t>
            </w:r>
          </w:p>
        </w:tc>
        <w:tc>
          <w:tcPr>
            <w:tcW w:w="1417" w:type="dxa"/>
            <w:tcBorders>
              <w:top w:val="single" w:sz="4" w:space="0" w:color="auto"/>
              <w:left w:val="single" w:sz="4" w:space="0" w:color="auto"/>
              <w:bottom w:val="single" w:sz="4" w:space="0" w:color="auto"/>
              <w:right w:val="single" w:sz="4" w:space="0" w:color="auto"/>
            </w:tcBorders>
          </w:tcPr>
          <w:p w:rsidR="005C046A" w:rsidRPr="005C046A" w:rsidRDefault="005C046A" w:rsidP="005C046A">
            <w:r w:rsidRPr="005C046A">
              <w:t>Transport*</w:t>
            </w:r>
          </w:p>
        </w:tc>
      </w:tr>
    </w:tbl>
    <w:p w:rsidR="005C046A" w:rsidRPr="005C046A" w:rsidRDefault="005C046A" w:rsidP="005C046A"/>
    <w:p w:rsidR="005C046A" w:rsidRPr="005C046A" w:rsidRDefault="005C046A" w:rsidP="005C046A">
      <w:pPr>
        <w:ind w:left="567"/>
      </w:pPr>
      <w:r w:rsidRPr="005C046A">
        <w:t>Disse vilkår er overholdt, når resultatet af analyserne efter vilkår 62 er mindre end grænsen.</w:t>
      </w:r>
    </w:p>
    <w:p w:rsidR="005C046A" w:rsidRPr="005C046A" w:rsidRDefault="005C046A" w:rsidP="005C046A">
      <w:pPr>
        <w:ind w:left="567"/>
      </w:pPr>
    </w:p>
    <w:p w:rsidR="005C046A" w:rsidRPr="005C046A" w:rsidRDefault="005C046A" w:rsidP="005C046A">
      <w:pPr>
        <w:ind w:left="567"/>
      </w:pPr>
      <w:r w:rsidRPr="005C046A">
        <w:t xml:space="preserve">Parametre med transportkontrol skal overholdes som gennemsnit over et år, og parametre med tilstandskontrol, skal overholdes for hver prøve. Et år løber fra den 1. januar til den 31. december. </w:t>
      </w:r>
    </w:p>
    <w:p w:rsidR="005C046A" w:rsidRPr="005C046A" w:rsidRDefault="005C046A" w:rsidP="005C046A"/>
    <w:p w:rsidR="005C046A" w:rsidRPr="005C046A" w:rsidRDefault="005C046A" w:rsidP="005C046A">
      <w:pPr>
        <w:numPr>
          <w:ilvl w:val="0"/>
          <w:numId w:val="2"/>
        </w:numPr>
        <w:ind w:left="567" w:hanging="567"/>
      </w:pPr>
      <w:r w:rsidRPr="005C046A">
        <w:t>Udgår</w:t>
      </w:r>
    </w:p>
    <w:p w:rsidR="005C046A" w:rsidRPr="005C046A" w:rsidRDefault="005C046A" w:rsidP="005C046A"/>
    <w:p w:rsidR="005C046A" w:rsidRPr="005C046A" w:rsidRDefault="005C046A" w:rsidP="005C046A">
      <w:pPr>
        <w:ind w:left="567" w:hanging="567"/>
      </w:pPr>
      <w:r>
        <w:t>62a</w:t>
      </w:r>
      <w:r>
        <w:tab/>
      </w:r>
      <w:r w:rsidRPr="005C046A">
        <w:t xml:space="preserve">(Bat 5) Til kontrol af processpildevandets kvalitet skal værket mindst hver måned udtage en prøve af det udledte processpildevand før det blandes med andet spildevand, og før det ledes til forsinkelsesbassinet. </w:t>
      </w:r>
    </w:p>
    <w:p w:rsidR="005C046A" w:rsidRPr="005C046A" w:rsidRDefault="005C046A" w:rsidP="005C046A"/>
    <w:p w:rsidR="005C046A" w:rsidRPr="005C046A" w:rsidRDefault="005C046A" w:rsidP="005C046A">
      <w:pPr>
        <w:ind w:left="567"/>
      </w:pPr>
      <w:r w:rsidRPr="005C046A">
        <w:t>Vandprøverne skal udtages og analyseres i henhold til gældende bekendtgørelse om kvalitetskrav til miljømålinger, og skal analyseres for de parametre, der fremgår af vilkår 61. Parametre mærket med * behøver kun at blive analyseret en gang om året. Værket kan dog selv udtage prøverne.</w:t>
      </w:r>
    </w:p>
    <w:p w:rsidR="005C046A" w:rsidRPr="005C046A" w:rsidRDefault="005C046A" w:rsidP="005C046A"/>
    <w:p w:rsidR="005C046A" w:rsidRPr="005C046A" w:rsidRDefault="005C046A" w:rsidP="005C046A">
      <w:pPr>
        <w:ind w:left="567"/>
      </w:pPr>
      <w:r w:rsidRPr="005C046A">
        <w:t>Værket skal sende resultatet af hver prøve til kommunen højst en måned efter prøven er taget.</w:t>
      </w:r>
    </w:p>
    <w:p w:rsidR="005C046A" w:rsidRPr="005C046A" w:rsidRDefault="005C046A" w:rsidP="005C046A"/>
    <w:p w:rsidR="005C046A" w:rsidRPr="005C046A" w:rsidRDefault="005C046A" w:rsidP="005C046A">
      <w:pPr>
        <w:rPr>
          <w:b/>
        </w:rPr>
      </w:pPr>
      <w:r w:rsidRPr="005C046A">
        <w:rPr>
          <w:b/>
        </w:rPr>
        <w:t>Bagrund</w:t>
      </w:r>
    </w:p>
    <w:p w:rsidR="005C046A" w:rsidRPr="005C046A" w:rsidRDefault="005C046A" w:rsidP="005C046A">
      <w:r w:rsidRPr="005C046A">
        <w:t xml:space="preserve">Siden september 2021 har I ledt renset processpildevand til Egebækken, og målt på en række parametre hver måned. 17 prøver i alt. </w:t>
      </w:r>
    </w:p>
    <w:p w:rsidR="005C046A" w:rsidRPr="005C046A" w:rsidRDefault="005C046A" w:rsidP="005C046A"/>
    <w:p w:rsidR="005C046A" w:rsidRPr="005C046A" w:rsidRDefault="005C046A" w:rsidP="005C046A">
      <w:r w:rsidRPr="005C046A">
        <w:t xml:space="preserve">Bat-konklusionerne fastsætter i bat 5 hvilke parametre, I skal analysere for hver måned. Der ud over er der i vilkår 61 fastsat en række yderligere parametre, som I skal analysere hver anden måned. Disse parametre stammer fra jeres ansøgning om miljøgodkendelse. </w:t>
      </w:r>
    </w:p>
    <w:p w:rsidR="005C046A" w:rsidRPr="005C046A" w:rsidRDefault="005C046A" w:rsidP="005C046A"/>
    <w:p w:rsidR="005C046A" w:rsidRPr="005C046A" w:rsidRDefault="005C046A" w:rsidP="005C046A">
      <w:pPr>
        <w:rPr>
          <w:u w:val="single"/>
        </w:rPr>
      </w:pPr>
      <w:r w:rsidRPr="005C046A">
        <w:rPr>
          <w:u w:val="single"/>
        </w:rPr>
        <w:t>Udfordringer</w:t>
      </w:r>
    </w:p>
    <w:p w:rsidR="005C046A" w:rsidRPr="005C046A" w:rsidRDefault="005C046A" w:rsidP="005C046A">
      <w:r w:rsidRPr="005C046A">
        <w:t>Resultatet af jeres månedlige analyser viser, at I har udledt koncentrationer højere end grænsen sådan:</w:t>
      </w:r>
    </w:p>
    <w:p w:rsidR="005C046A" w:rsidRPr="005C046A" w:rsidRDefault="005C046A" w:rsidP="005C046A"/>
    <w:tbl>
      <w:tblPr>
        <w:tblStyle w:val="Tabel-Gitter"/>
        <w:tblW w:w="0" w:type="auto"/>
        <w:tblInd w:w="421" w:type="dxa"/>
        <w:tblLook w:val="04A0" w:firstRow="1" w:lastRow="0" w:firstColumn="1" w:lastColumn="0" w:noHBand="0" w:noVBand="1"/>
      </w:tblPr>
      <w:tblGrid>
        <w:gridCol w:w="2150"/>
        <w:gridCol w:w="1034"/>
        <w:gridCol w:w="1344"/>
        <w:gridCol w:w="1224"/>
        <w:gridCol w:w="1244"/>
      </w:tblGrid>
      <w:tr w:rsidR="005C046A" w:rsidRPr="005C046A" w:rsidTr="00195B18">
        <w:tc>
          <w:tcPr>
            <w:tcW w:w="2150" w:type="dxa"/>
          </w:tcPr>
          <w:p w:rsidR="005C046A" w:rsidRPr="005C046A" w:rsidRDefault="005C046A" w:rsidP="005C046A">
            <w:pPr>
              <w:rPr>
                <w:b/>
              </w:rPr>
            </w:pPr>
            <w:r w:rsidRPr="005C046A">
              <w:rPr>
                <w:b/>
              </w:rPr>
              <w:lastRenderedPageBreak/>
              <w:t>Parameter</w:t>
            </w:r>
          </w:p>
        </w:tc>
        <w:tc>
          <w:tcPr>
            <w:tcW w:w="1034" w:type="dxa"/>
          </w:tcPr>
          <w:p w:rsidR="005C046A" w:rsidRPr="005C046A" w:rsidRDefault="005C046A" w:rsidP="005C046A">
            <w:pPr>
              <w:rPr>
                <w:b/>
              </w:rPr>
            </w:pPr>
            <w:r w:rsidRPr="005C046A">
              <w:rPr>
                <w:b/>
              </w:rPr>
              <w:t>Bat?</w:t>
            </w:r>
          </w:p>
        </w:tc>
        <w:tc>
          <w:tcPr>
            <w:tcW w:w="1344" w:type="dxa"/>
          </w:tcPr>
          <w:p w:rsidR="005C046A" w:rsidRPr="005C046A" w:rsidRDefault="005C046A" w:rsidP="005C046A">
            <w:pPr>
              <w:rPr>
                <w:b/>
              </w:rPr>
            </w:pPr>
            <w:r w:rsidRPr="005C046A">
              <w:rPr>
                <w:b/>
              </w:rPr>
              <w:t>Grænse, µg/l</w:t>
            </w:r>
          </w:p>
        </w:tc>
        <w:tc>
          <w:tcPr>
            <w:tcW w:w="1224" w:type="dxa"/>
          </w:tcPr>
          <w:p w:rsidR="005C046A" w:rsidRPr="005C046A" w:rsidRDefault="005C046A" w:rsidP="005C046A">
            <w:pPr>
              <w:rPr>
                <w:b/>
              </w:rPr>
            </w:pPr>
            <w:r w:rsidRPr="005C046A">
              <w:rPr>
                <w:b/>
              </w:rPr>
              <w:t>målt</w:t>
            </w:r>
          </w:p>
        </w:tc>
        <w:tc>
          <w:tcPr>
            <w:tcW w:w="1244" w:type="dxa"/>
          </w:tcPr>
          <w:p w:rsidR="005C046A" w:rsidRPr="005C046A" w:rsidRDefault="005C046A" w:rsidP="005C046A">
            <w:pPr>
              <w:rPr>
                <w:b/>
              </w:rPr>
            </w:pPr>
            <w:r w:rsidRPr="005C046A">
              <w:rPr>
                <w:b/>
              </w:rPr>
              <w:t>Dato</w:t>
            </w:r>
          </w:p>
        </w:tc>
      </w:tr>
      <w:tr w:rsidR="005C046A" w:rsidRPr="005C046A" w:rsidTr="00195B18">
        <w:tc>
          <w:tcPr>
            <w:tcW w:w="2150" w:type="dxa"/>
          </w:tcPr>
          <w:p w:rsidR="005C046A" w:rsidRPr="005C046A" w:rsidRDefault="005C046A" w:rsidP="005C046A">
            <w:r w:rsidRPr="005C046A">
              <w:t>Krom(III)</w:t>
            </w:r>
          </w:p>
        </w:tc>
        <w:tc>
          <w:tcPr>
            <w:tcW w:w="1034" w:type="dxa"/>
          </w:tcPr>
          <w:p w:rsidR="005C046A" w:rsidRPr="005C046A" w:rsidRDefault="005C046A" w:rsidP="005C046A">
            <w:r w:rsidRPr="005C046A">
              <w:t>Bat</w:t>
            </w:r>
          </w:p>
        </w:tc>
        <w:tc>
          <w:tcPr>
            <w:tcW w:w="1344" w:type="dxa"/>
          </w:tcPr>
          <w:p w:rsidR="005C046A" w:rsidRPr="005C046A" w:rsidRDefault="005C046A" w:rsidP="005C046A">
            <w:r w:rsidRPr="005C046A">
              <w:t>4,9 µg/l</w:t>
            </w:r>
          </w:p>
        </w:tc>
        <w:tc>
          <w:tcPr>
            <w:tcW w:w="1224" w:type="dxa"/>
          </w:tcPr>
          <w:p w:rsidR="005C046A" w:rsidRPr="005C046A" w:rsidRDefault="005C046A" w:rsidP="005C046A">
            <w:r w:rsidRPr="005C046A">
              <w:t>12 µg/l</w:t>
            </w:r>
          </w:p>
        </w:tc>
        <w:tc>
          <w:tcPr>
            <w:tcW w:w="1244" w:type="dxa"/>
          </w:tcPr>
          <w:p w:rsidR="005C046A" w:rsidRPr="005C046A" w:rsidRDefault="005C046A" w:rsidP="005C046A">
            <w:r w:rsidRPr="005C046A">
              <w:t>dec. 21</w:t>
            </w:r>
          </w:p>
        </w:tc>
      </w:tr>
      <w:tr w:rsidR="005C046A" w:rsidRPr="005C046A" w:rsidTr="00195B18">
        <w:tc>
          <w:tcPr>
            <w:tcW w:w="2150" w:type="dxa"/>
          </w:tcPr>
          <w:p w:rsidR="005C046A" w:rsidRPr="005C046A" w:rsidRDefault="005C046A" w:rsidP="005C046A">
            <w:r w:rsidRPr="005C046A">
              <w:t>Krom(IV)</w:t>
            </w:r>
          </w:p>
        </w:tc>
        <w:tc>
          <w:tcPr>
            <w:tcW w:w="1034" w:type="dxa"/>
          </w:tcPr>
          <w:p w:rsidR="005C046A" w:rsidRPr="005C046A" w:rsidRDefault="005C046A" w:rsidP="005C046A">
            <w:r w:rsidRPr="005C046A">
              <w:t>Bat</w:t>
            </w:r>
          </w:p>
        </w:tc>
        <w:tc>
          <w:tcPr>
            <w:tcW w:w="1344" w:type="dxa"/>
          </w:tcPr>
          <w:p w:rsidR="005C046A" w:rsidRPr="005C046A" w:rsidRDefault="005C046A" w:rsidP="005C046A">
            <w:r w:rsidRPr="005C046A">
              <w:t>3,4 µg/l</w:t>
            </w:r>
          </w:p>
        </w:tc>
        <w:tc>
          <w:tcPr>
            <w:tcW w:w="1224" w:type="dxa"/>
          </w:tcPr>
          <w:p w:rsidR="005C046A" w:rsidRPr="005C046A" w:rsidRDefault="005C046A" w:rsidP="005C046A">
            <w:r w:rsidRPr="005C046A">
              <w:t>15 µg/l</w:t>
            </w:r>
          </w:p>
        </w:tc>
        <w:tc>
          <w:tcPr>
            <w:tcW w:w="1244" w:type="dxa"/>
          </w:tcPr>
          <w:p w:rsidR="005C046A" w:rsidRPr="005C046A" w:rsidRDefault="005C046A" w:rsidP="005C046A">
            <w:r w:rsidRPr="005C046A">
              <w:t>feb. 22</w:t>
            </w:r>
          </w:p>
        </w:tc>
      </w:tr>
      <w:tr w:rsidR="005C046A" w:rsidRPr="005C046A" w:rsidTr="00195B18">
        <w:tc>
          <w:tcPr>
            <w:tcW w:w="2150" w:type="dxa"/>
          </w:tcPr>
          <w:p w:rsidR="005C046A" w:rsidRPr="005C046A" w:rsidRDefault="005C046A" w:rsidP="005C046A">
            <w:r w:rsidRPr="005C046A">
              <w:t>Formaldehyd</w:t>
            </w:r>
          </w:p>
        </w:tc>
        <w:tc>
          <w:tcPr>
            <w:tcW w:w="1034" w:type="dxa"/>
          </w:tcPr>
          <w:p w:rsidR="005C046A" w:rsidRPr="005C046A" w:rsidRDefault="005C046A" w:rsidP="005C046A"/>
        </w:tc>
        <w:tc>
          <w:tcPr>
            <w:tcW w:w="1344" w:type="dxa"/>
          </w:tcPr>
          <w:p w:rsidR="005C046A" w:rsidRPr="005C046A" w:rsidRDefault="005C046A" w:rsidP="005C046A">
            <w:r w:rsidRPr="005C046A">
              <w:t>9,2 µg/l</w:t>
            </w:r>
          </w:p>
        </w:tc>
        <w:tc>
          <w:tcPr>
            <w:tcW w:w="1224" w:type="dxa"/>
          </w:tcPr>
          <w:p w:rsidR="005C046A" w:rsidRPr="005C046A" w:rsidRDefault="005C046A" w:rsidP="005C046A">
            <w:r w:rsidRPr="005C046A">
              <w:t>11 µg/l</w:t>
            </w:r>
          </w:p>
          <w:p w:rsidR="005C046A" w:rsidRPr="005C046A" w:rsidRDefault="005C046A" w:rsidP="005C046A">
            <w:r w:rsidRPr="005C046A">
              <w:t>12 µg/l</w:t>
            </w:r>
          </w:p>
        </w:tc>
        <w:tc>
          <w:tcPr>
            <w:tcW w:w="1244" w:type="dxa"/>
          </w:tcPr>
          <w:p w:rsidR="005C046A" w:rsidRPr="005C046A" w:rsidRDefault="005C046A" w:rsidP="005C046A">
            <w:r w:rsidRPr="005C046A">
              <w:t>okt. 21</w:t>
            </w:r>
          </w:p>
          <w:p w:rsidR="005C046A" w:rsidRPr="005C046A" w:rsidRDefault="005C046A" w:rsidP="005C046A">
            <w:r w:rsidRPr="005C046A">
              <w:t>maj 22</w:t>
            </w:r>
          </w:p>
        </w:tc>
      </w:tr>
      <w:tr w:rsidR="005C046A" w:rsidRPr="005C046A" w:rsidTr="00195B18">
        <w:tc>
          <w:tcPr>
            <w:tcW w:w="2150" w:type="dxa"/>
          </w:tcPr>
          <w:p w:rsidR="005C046A" w:rsidRPr="005C046A" w:rsidRDefault="005C046A" w:rsidP="005C046A">
            <w:r w:rsidRPr="005C046A">
              <w:t>Ammonium-N</w:t>
            </w:r>
          </w:p>
        </w:tc>
        <w:tc>
          <w:tcPr>
            <w:tcW w:w="1034" w:type="dxa"/>
          </w:tcPr>
          <w:p w:rsidR="005C046A" w:rsidRPr="005C046A" w:rsidRDefault="005C046A" w:rsidP="005C046A"/>
        </w:tc>
        <w:tc>
          <w:tcPr>
            <w:tcW w:w="1344" w:type="dxa"/>
          </w:tcPr>
          <w:p w:rsidR="005C046A" w:rsidRPr="005C046A" w:rsidRDefault="005C046A" w:rsidP="005C046A">
            <w:r w:rsidRPr="005C046A">
              <w:t>1 mg/l</w:t>
            </w:r>
          </w:p>
        </w:tc>
        <w:tc>
          <w:tcPr>
            <w:tcW w:w="1224" w:type="dxa"/>
          </w:tcPr>
          <w:p w:rsidR="005C046A" w:rsidRPr="005C046A" w:rsidRDefault="005C046A" w:rsidP="005C046A">
            <w:r w:rsidRPr="005C046A">
              <w:t>1,4 µg/l</w:t>
            </w:r>
          </w:p>
          <w:p w:rsidR="005C046A" w:rsidRPr="005C046A" w:rsidRDefault="005C046A" w:rsidP="005C046A">
            <w:r w:rsidRPr="005C046A">
              <w:t>1,9 µg/l</w:t>
            </w:r>
          </w:p>
          <w:p w:rsidR="005C046A" w:rsidRPr="005C046A" w:rsidRDefault="005C046A" w:rsidP="005C046A">
            <w:r w:rsidRPr="005C046A">
              <w:t>1,6 µg/l</w:t>
            </w:r>
          </w:p>
          <w:p w:rsidR="005C046A" w:rsidRPr="005C046A" w:rsidRDefault="005C046A" w:rsidP="005C046A">
            <w:r w:rsidRPr="005C046A">
              <w:t>1,1 µg/l</w:t>
            </w:r>
          </w:p>
          <w:p w:rsidR="005C046A" w:rsidRPr="005C046A" w:rsidRDefault="005C046A" w:rsidP="005C046A">
            <w:r w:rsidRPr="005C046A">
              <w:t>1,3 µg/l</w:t>
            </w:r>
          </w:p>
          <w:p w:rsidR="005C046A" w:rsidRPr="005C046A" w:rsidRDefault="005C046A" w:rsidP="005C046A">
            <w:r w:rsidRPr="005C046A">
              <w:t>1,1 µg/l</w:t>
            </w:r>
          </w:p>
        </w:tc>
        <w:tc>
          <w:tcPr>
            <w:tcW w:w="1244" w:type="dxa"/>
          </w:tcPr>
          <w:p w:rsidR="005C046A" w:rsidRPr="005C046A" w:rsidRDefault="005C046A" w:rsidP="005C046A">
            <w:r w:rsidRPr="005C046A">
              <w:t>okt. 21</w:t>
            </w:r>
          </w:p>
          <w:p w:rsidR="005C046A" w:rsidRPr="005C046A" w:rsidRDefault="005C046A" w:rsidP="005C046A">
            <w:r w:rsidRPr="005C046A">
              <w:t>nov. 21</w:t>
            </w:r>
          </w:p>
          <w:p w:rsidR="005C046A" w:rsidRPr="005C046A" w:rsidRDefault="005C046A" w:rsidP="005C046A">
            <w:r w:rsidRPr="005C046A">
              <w:t>dec. 21</w:t>
            </w:r>
          </w:p>
          <w:p w:rsidR="005C046A" w:rsidRPr="005C046A" w:rsidRDefault="005C046A" w:rsidP="005C046A">
            <w:r w:rsidRPr="005C046A">
              <w:t>jan. 22</w:t>
            </w:r>
          </w:p>
          <w:p w:rsidR="005C046A" w:rsidRPr="005C046A" w:rsidRDefault="005C046A" w:rsidP="005C046A">
            <w:r w:rsidRPr="005C046A">
              <w:t>marts 22</w:t>
            </w:r>
          </w:p>
          <w:p w:rsidR="005C046A" w:rsidRPr="005C046A" w:rsidRDefault="005C046A" w:rsidP="005C046A">
            <w:r w:rsidRPr="005C046A">
              <w:t>nov. 23</w:t>
            </w:r>
          </w:p>
        </w:tc>
      </w:tr>
      <w:tr w:rsidR="005C046A" w:rsidRPr="005C046A" w:rsidTr="00195B18">
        <w:tc>
          <w:tcPr>
            <w:tcW w:w="2150" w:type="dxa"/>
          </w:tcPr>
          <w:p w:rsidR="005C046A" w:rsidRPr="005C046A" w:rsidRDefault="005C046A" w:rsidP="005C046A">
            <w:r w:rsidRPr="005C046A">
              <w:t>Klorid</w:t>
            </w:r>
          </w:p>
        </w:tc>
        <w:tc>
          <w:tcPr>
            <w:tcW w:w="1034" w:type="dxa"/>
          </w:tcPr>
          <w:p w:rsidR="005C046A" w:rsidRPr="005C046A" w:rsidRDefault="005C046A" w:rsidP="005C046A">
            <w:r w:rsidRPr="005C046A">
              <w:t>Bat</w:t>
            </w:r>
          </w:p>
        </w:tc>
        <w:tc>
          <w:tcPr>
            <w:tcW w:w="1344" w:type="dxa"/>
          </w:tcPr>
          <w:p w:rsidR="005C046A" w:rsidRPr="005C046A" w:rsidRDefault="005C046A" w:rsidP="005C046A">
            <w:r w:rsidRPr="005C046A">
              <w:t>100 mg/l</w:t>
            </w:r>
          </w:p>
        </w:tc>
        <w:tc>
          <w:tcPr>
            <w:tcW w:w="1224" w:type="dxa"/>
          </w:tcPr>
          <w:p w:rsidR="005C046A" w:rsidRPr="005C046A" w:rsidRDefault="005C046A" w:rsidP="005C046A">
            <w:r w:rsidRPr="005C046A">
              <w:t>130 µg/l</w:t>
            </w:r>
          </w:p>
        </w:tc>
        <w:tc>
          <w:tcPr>
            <w:tcW w:w="1244" w:type="dxa"/>
          </w:tcPr>
          <w:p w:rsidR="005C046A" w:rsidRPr="005C046A" w:rsidRDefault="005C046A" w:rsidP="005C046A">
            <w:r w:rsidRPr="005C046A">
              <w:t>maj 22</w:t>
            </w:r>
          </w:p>
        </w:tc>
      </w:tr>
      <w:tr w:rsidR="005C046A" w:rsidRPr="005C046A" w:rsidTr="00195B18">
        <w:tc>
          <w:tcPr>
            <w:tcW w:w="2150" w:type="dxa"/>
          </w:tcPr>
          <w:p w:rsidR="005C046A" w:rsidRPr="005C046A" w:rsidRDefault="005C046A" w:rsidP="005C046A">
            <w:proofErr w:type="spellStart"/>
            <w:r w:rsidRPr="005C046A">
              <w:t>Dibenz</w:t>
            </w:r>
            <w:proofErr w:type="spellEnd"/>
            <w:r w:rsidRPr="005C046A">
              <w:t>(</w:t>
            </w:r>
            <w:proofErr w:type="spellStart"/>
            <w:r w:rsidRPr="005C046A">
              <w:t>a,h</w:t>
            </w:r>
            <w:proofErr w:type="spellEnd"/>
            <w:r w:rsidRPr="005C046A">
              <w:t>)</w:t>
            </w:r>
            <w:proofErr w:type="spellStart"/>
            <w:r w:rsidRPr="005C046A">
              <w:t>anthracen</w:t>
            </w:r>
            <w:proofErr w:type="spellEnd"/>
            <w:r w:rsidRPr="005C046A">
              <w:t xml:space="preserve"> (PAH)</w:t>
            </w:r>
          </w:p>
        </w:tc>
        <w:tc>
          <w:tcPr>
            <w:tcW w:w="1034" w:type="dxa"/>
          </w:tcPr>
          <w:p w:rsidR="005C046A" w:rsidRPr="005C046A" w:rsidRDefault="005C046A" w:rsidP="005C046A"/>
        </w:tc>
        <w:tc>
          <w:tcPr>
            <w:tcW w:w="1344" w:type="dxa"/>
          </w:tcPr>
          <w:p w:rsidR="005C046A" w:rsidRPr="005C046A" w:rsidRDefault="005C046A" w:rsidP="005C046A">
            <w:r w:rsidRPr="005C046A">
              <w:t>0,0014 µg/l</w:t>
            </w:r>
          </w:p>
        </w:tc>
        <w:tc>
          <w:tcPr>
            <w:tcW w:w="1224" w:type="dxa"/>
          </w:tcPr>
          <w:p w:rsidR="005C046A" w:rsidRPr="005C046A" w:rsidRDefault="005C046A" w:rsidP="005C046A">
            <w:r w:rsidRPr="005C046A">
              <w:t>0,01 µg/l*</w:t>
            </w:r>
          </w:p>
          <w:p w:rsidR="005C046A" w:rsidRPr="005C046A" w:rsidRDefault="005C046A" w:rsidP="005C046A">
            <w:r w:rsidRPr="005C046A">
              <w:t>0,01 µg/l*</w:t>
            </w:r>
          </w:p>
          <w:p w:rsidR="005C046A" w:rsidRPr="005C046A" w:rsidRDefault="005C046A" w:rsidP="005C046A">
            <w:r w:rsidRPr="005C046A">
              <w:t>0,01 µg/l*</w:t>
            </w:r>
          </w:p>
          <w:p w:rsidR="005C046A" w:rsidRPr="005C046A" w:rsidRDefault="005C046A" w:rsidP="005C046A">
            <w:r w:rsidRPr="005C046A">
              <w:t>0,01 µg/l*</w:t>
            </w:r>
          </w:p>
        </w:tc>
        <w:tc>
          <w:tcPr>
            <w:tcW w:w="1244" w:type="dxa"/>
          </w:tcPr>
          <w:p w:rsidR="005C046A" w:rsidRPr="005C046A" w:rsidRDefault="005C046A" w:rsidP="005C046A">
            <w:r w:rsidRPr="005C046A">
              <w:t>feb. 22</w:t>
            </w:r>
          </w:p>
          <w:p w:rsidR="005C046A" w:rsidRPr="005C046A" w:rsidRDefault="005C046A" w:rsidP="005C046A">
            <w:r w:rsidRPr="005C046A">
              <w:t>april 22</w:t>
            </w:r>
          </w:p>
          <w:p w:rsidR="005C046A" w:rsidRPr="005C046A" w:rsidRDefault="005C046A" w:rsidP="005C046A">
            <w:r w:rsidRPr="005C046A">
              <w:t>maj 22</w:t>
            </w:r>
          </w:p>
          <w:p w:rsidR="005C046A" w:rsidRPr="005C046A" w:rsidRDefault="005C046A" w:rsidP="005C046A">
            <w:r w:rsidRPr="005C046A">
              <w:t>nov. 23</w:t>
            </w:r>
          </w:p>
        </w:tc>
      </w:tr>
      <w:tr w:rsidR="005C046A" w:rsidRPr="005C046A" w:rsidTr="00195B18">
        <w:tc>
          <w:tcPr>
            <w:tcW w:w="2150" w:type="dxa"/>
          </w:tcPr>
          <w:p w:rsidR="005C046A" w:rsidRPr="005C046A" w:rsidRDefault="005C046A" w:rsidP="005C046A">
            <w:proofErr w:type="spellStart"/>
            <w:r w:rsidRPr="005C046A">
              <w:t>Fluoranthen</w:t>
            </w:r>
            <w:proofErr w:type="spellEnd"/>
            <w:r w:rsidRPr="005C046A">
              <w:t xml:space="preserve"> (PAH)</w:t>
            </w:r>
          </w:p>
        </w:tc>
        <w:tc>
          <w:tcPr>
            <w:tcW w:w="1034" w:type="dxa"/>
          </w:tcPr>
          <w:p w:rsidR="005C046A" w:rsidRPr="005C046A" w:rsidRDefault="005C046A" w:rsidP="005C046A"/>
        </w:tc>
        <w:tc>
          <w:tcPr>
            <w:tcW w:w="1344" w:type="dxa"/>
          </w:tcPr>
          <w:p w:rsidR="005C046A" w:rsidRPr="005C046A" w:rsidRDefault="005C046A" w:rsidP="005C046A">
            <w:r w:rsidRPr="005C046A">
              <w:t>0,0063</w:t>
            </w:r>
          </w:p>
        </w:tc>
        <w:tc>
          <w:tcPr>
            <w:tcW w:w="1224" w:type="dxa"/>
          </w:tcPr>
          <w:p w:rsidR="005C046A" w:rsidRPr="005C046A" w:rsidRDefault="005C046A" w:rsidP="005C046A">
            <w:r w:rsidRPr="005C046A">
              <w:t>0,01 µg/l*</w:t>
            </w:r>
          </w:p>
          <w:p w:rsidR="005C046A" w:rsidRPr="005C046A" w:rsidRDefault="005C046A" w:rsidP="005C046A">
            <w:r w:rsidRPr="005C046A">
              <w:t>0,01 µg/l*</w:t>
            </w:r>
          </w:p>
          <w:p w:rsidR="005C046A" w:rsidRPr="005C046A" w:rsidRDefault="005C046A" w:rsidP="005C046A">
            <w:r w:rsidRPr="005C046A">
              <w:t>0,01 µg/l*</w:t>
            </w:r>
          </w:p>
          <w:p w:rsidR="005C046A" w:rsidRPr="005C046A" w:rsidRDefault="005C046A" w:rsidP="005C046A">
            <w:r w:rsidRPr="005C046A">
              <w:t>0,01 µg/l*</w:t>
            </w:r>
          </w:p>
        </w:tc>
        <w:tc>
          <w:tcPr>
            <w:tcW w:w="1244" w:type="dxa"/>
          </w:tcPr>
          <w:p w:rsidR="005C046A" w:rsidRPr="005C046A" w:rsidRDefault="005C046A" w:rsidP="005C046A">
            <w:r w:rsidRPr="005C046A">
              <w:t>feb. 22</w:t>
            </w:r>
          </w:p>
          <w:p w:rsidR="005C046A" w:rsidRPr="005C046A" w:rsidRDefault="005C046A" w:rsidP="005C046A">
            <w:r w:rsidRPr="005C046A">
              <w:t>april 22</w:t>
            </w:r>
          </w:p>
          <w:p w:rsidR="005C046A" w:rsidRPr="005C046A" w:rsidRDefault="005C046A" w:rsidP="005C046A">
            <w:r w:rsidRPr="005C046A">
              <w:t>maj 22</w:t>
            </w:r>
          </w:p>
          <w:p w:rsidR="005C046A" w:rsidRPr="005C046A" w:rsidRDefault="005C046A" w:rsidP="005C046A">
            <w:r w:rsidRPr="005C046A">
              <w:t>nov. 23</w:t>
            </w:r>
          </w:p>
        </w:tc>
      </w:tr>
      <w:tr w:rsidR="005C046A" w:rsidRPr="005C046A" w:rsidTr="00195B18">
        <w:tc>
          <w:tcPr>
            <w:tcW w:w="2150" w:type="dxa"/>
          </w:tcPr>
          <w:p w:rsidR="005C046A" w:rsidRPr="005C046A" w:rsidRDefault="005C046A" w:rsidP="005C046A">
            <w:r w:rsidRPr="005C046A">
              <w:t xml:space="preserve">Total </w:t>
            </w:r>
            <w:proofErr w:type="spellStart"/>
            <w:r w:rsidRPr="005C046A">
              <w:t>alkalinitet</w:t>
            </w:r>
            <w:proofErr w:type="spellEnd"/>
          </w:p>
        </w:tc>
        <w:tc>
          <w:tcPr>
            <w:tcW w:w="1034" w:type="dxa"/>
          </w:tcPr>
          <w:p w:rsidR="005C046A" w:rsidRPr="005C046A" w:rsidRDefault="005C046A" w:rsidP="005C046A"/>
        </w:tc>
        <w:tc>
          <w:tcPr>
            <w:tcW w:w="1344" w:type="dxa"/>
          </w:tcPr>
          <w:p w:rsidR="005C046A" w:rsidRPr="005C046A" w:rsidRDefault="005C046A" w:rsidP="005C046A">
            <w:r w:rsidRPr="005C046A">
              <w:t>&gt;3</w:t>
            </w:r>
          </w:p>
        </w:tc>
        <w:tc>
          <w:tcPr>
            <w:tcW w:w="1224" w:type="dxa"/>
          </w:tcPr>
          <w:p w:rsidR="005C046A" w:rsidRPr="005C046A" w:rsidRDefault="005C046A" w:rsidP="005C046A">
            <w:r w:rsidRPr="005C046A">
              <w:t>0,82</w:t>
            </w:r>
          </w:p>
        </w:tc>
        <w:tc>
          <w:tcPr>
            <w:tcW w:w="1244" w:type="dxa"/>
          </w:tcPr>
          <w:p w:rsidR="005C046A" w:rsidRPr="005C046A" w:rsidRDefault="005C046A" w:rsidP="005C046A">
            <w:proofErr w:type="spellStart"/>
            <w:r w:rsidRPr="005C046A">
              <w:t>feb</w:t>
            </w:r>
            <w:proofErr w:type="spellEnd"/>
            <w:r w:rsidRPr="005C046A">
              <w:t xml:space="preserve"> 22</w:t>
            </w:r>
          </w:p>
        </w:tc>
      </w:tr>
    </w:tbl>
    <w:p w:rsidR="005C046A" w:rsidRPr="005C046A" w:rsidRDefault="005C046A" w:rsidP="005C046A">
      <w:r w:rsidRPr="005C046A">
        <w:t xml:space="preserve">*De høje værdier er </w:t>
      </w:r>
      <w:proofErr w:type="spellStart"/>
      <w:r w:rsidRPr="005C046A">
        <w:t>detektionsgrænsen</w:t>
      </w:r>
      <w:proofErr w:type="spellEnd"/>
      <w:r w:rsidRPr="005C046A">
        <w:t xml:space="preserve">, og skyldes forkert valg af analysemetode, idet flere resultater også er på </w:t>
      </w:r>
      <w:proofErr w:type="spellStart"/>
      <w:r w:rsidRPr="005C046A">
        <w:t>detektionsgrænsen</w:t>
      </w:r>
      <w:proofErr w:type="spellEnd"/>
      <w:r w:rsidRPr="005C046A">
        <w:t>, som dog er 0,001 µg/l.</w:t>
      </w:r>
    </w:p>
    <w:p w:rsidR="005C046A" w:rsidRPr="005C046A" w:rsidRDefault="005C046A" w:rsidP="005C046A"/>
    <w:p w:rsidR="005C046A" w:rsidRPr="005C046A" w:rsidRDefault="005C046A" w:rsidP="005C046A">
      <w:r w:rsidRPr="005C046A">
        <w:t>Overskridelserne for krom og klorid har været enkeltstående, og ser ikke ud til at være en del af et mønster. Overskridelserne for formaldehyd og ammonium er derimod sket flere gange, og I har ikke nogen god forklaring på hvad årsagen er. I har heller ikke nogen effektiv måde at undgå overskridelser.</w:t>
      </w:r>
    </w:p>
    <w:p w:rsidR="005C046A" w:rsidRPr="005C046A" w:rsidRDefault="005C046A" w:rsidP="005C046A"/>
    <w:p w:rsidR="005C046A" w:rsidRPr="005C046A" w:rsidRDefault="005C046A" w:rsidP="005C046A">
      <w:pPr>
        <w:rPr>
          <w:u w:val="single"/>
        </w:rPr>
      </w:pPr>
      <w:r w:rsidRPr="005C046A">
        <w:rPr>
          <w:u w:val="single"/>
        </w:rPr>
        <w:t>Ingen problemer</w:t>
      </w:r>
    </w:p>
    <w:p w:rsidR="005C046A" w:rsidRPr="005C046A" w:rsidRDefault="005C046A" w:rsidP="005C046A">
      <w:r w:rsidRPr="005C046A">
        <w:t>Resultatet af jeres månedlige analyser viser, at I overholder følgende parametre, og hver gang har målt en faktor ti mindre end grænsen:</w:t>
      </w:r>
    </w:p>
    <w:p w:rsidR="005C046A" w:rsidRPr="005C046A" w:rsidRDefault="005C046A" w:rsidP="005C046A"/>
    <w:p w:rsidR="005C046A" w:rsidRPr="005C046A" w:rsidRDefault="005C046A" w:rsidP="005C046A">
      <w:r w:rsidRPr="005C046A">
        <w:br w:type="column"/>
      </w:r>
    </w:p>
    <w:tbl>
      <w:tblPr>
        <w:tblStyle w:val="Tabel-Gitter"/>
        <w:tblW w:w="0" w:type="auto"/>
        <w:tblLook w:val="04A0" w:firstRow="1" w:lastRow="0" w:firstColumn="1" w:lastColumn="0" w:noHBand="0" w:noVBand="1"/>
      </w:tblPr>
      <w:tblGrid>
        <w:gridCol w:w="2547"/>
        <w:gridCol w:w="709"/>
        <w:gridCol w:w="2236"/>
        <w:gridCol w:w="1925"/>
      </w:tblGrid>
      <w:tr w:rsidR="005C046A" w:rsidRPr="005C046A" w:rsidTr="00195B18">
        <w:tc>
          <w:tcPr>
            <w:tcW w:w="2547" w:type="dxa"/>
          </w:tcPr>
          <w:p w:rsidR="005C046A" w:rsidRPr="005C046A" w:rsidRDefault="005C046A" w:rsidP="005C046A">
            <w:pPr>
              <w:rPr>
                <w:b/>
              </w:rPr>
            </w:pPr>
            <w:r w:rsidRPr="005C046A">
              <w:rPr>
                <w:b/>
              </w:rPr>
              <w:t>Parameter</w:t>
            </w:r>
          </w:p>
        </w:tc>
        <w:tc>
          <w:tcPr>
            <w:tcW w:w="709" w:type="dxa"/>
          </w:tcPr>
          <w:p w:rsidR="005C046A" w:rsidRPr="005C046A" w:rsidRDefault="005C046A" w:rsidP="005C046A">
            <w:pPr>
              <w:rPr>
                <w:b/>
              </w:rPr>
            </w:pPr>
            <w:r w:rsidRPr="005C046A">
              <w:rPr>
                <w:b/>
              </w:rPr>
              <w:t>Bat?</w:t>
            </w:r>
          </w:p>
        </w:tc>
        <w:tc>
          <w:tcPr>
            <w:tcW w:w="2236" w:type="dxa"/>
          </w:tcPr>
          <w:p w:rsidR="005C046A" w:rsidRPr="005C046A" w:rsidRDefault="005C046A" w:rsidP="005C046A">
            <w:pPr>
              <w:rPr>
                <w:b/>
              </w:rPr>
            </w:pPr>
            <w:r w:rsidRPr="005C046A">
              <w:rPr>
                <w:b/>
              </w:rPr>
              <w:t>Grænse</w:t>
            </w:r>
          </w:p>
        </w:tc>
        <w:tc>
          <w:tcPr>
            <w:tcW w:w="1925" w:type="dxa"/>
          </w:tcPr>
          <w:p w:rsidR="005C046A" w:rsidRPr="005C046A" w:rsidRDefault="005C046A" w:rsidP="005C046A">
            <w:pPr>
              <w:rPr>
                <w:b/>
              </w:rPr>
            </w:pPr>
            <w:r w:rsidRPr="005C046A">
              <w:rPr>
                <w:b/>
              </w:rPr>
              <w:t>Største måling</w:t>
            </w:r>
          </w:p>
        </w:tc>
      </w:tr>
      <w:tr w:rsidR="005C046A" w:rsidRPr="005C046A" w:rsidTr="00195B18">
        <w:tc>
          <w:tcPr>
            <w:tcW w:w="2547" w:type="dxa"/>
          </w:tcPr>
          <w:p w:rsidR="005C046A" w:rsidRPr="005C046A" w:rsidRDefault="005C046A" w:rsidP="005C046A">
            <w:r w:rsidRPr="005C046A">
              <w:t>Arsen</w:t>
            </w:r>
          </w:p>
        </w:tc>
        <w:tc>
          <w:tcPr>
            <w:tcW w:w="709" w:type="dxa"/>
          </w:tcPr>
          <w:p w:rsidR="005C046A" w:rsidRPr="005C046A" w:rsidRDefault="005C046A" w:rsidP="005C046A">
            <w:r w:rsidRPr="005C046A">
              <w:t>Bat</w:t>
            </w:r>
          </w:p>
        </w:tc>
        <w:tc>
          <w:tcPr>
            <w:tcW w:w="2236" w:type="dxa"/>
          </w:tcPr>
          <w:p w:rsidR="005C046A" w:rsidRPr="005C046A" w:rsidRDefault="005C046A" w:rsidP="005C046A">
            <w:r w:rsidRPr="005C046A">
              <w:t>4,3 µg/l</w:t>
            </w:r>
          </w:p>
        </w:tc>
        <w:tc>
          <w:tcPr>
            <w:tcW w:w="1925" w:type="dxa"/>
          </w:tcPr>
          <w:p w:rsidR="005C046A" w:rsidRPr="005C046A" w:rsidRDefault="005C046A" w:rsidP="005C046A">
            <w:r w:rsidRPr="005C046A">
              <w:t>0,03 µg/l</w:t>
            </w:r>
          </w:p>
        </w:tc>
      </w:tr>
      <w:tr w:rsidR="005C046A" w:rsidRPr="005C046A" w:rsidTr="00195B18">
        <w:tc>
          <w:tcPr>
            <w:tcW w:w="2547" w:type="dxa"/>
          </w:tcPr>
          <w:p w:rsidR="005C046A" w:rsidRPr="005C046A" w:rsidRDefault="005C046A" w:rsidP="005C046A">
            <w:r w:rsidRPr="005C046A">
              <w:t>Antimon</w:t>
            </w:r>
          </w:p>
        </w:tc>
        <w:tc>
          <w:tcPr>
            <w:tcW w:w="709" w:type="dxa"/>
          </w:tcPr>
          <w:p w:rsidR="005C046A" w:rsidRPr="005C046A" w:rsidRDefault="005C046A" w:rsidP="005C046A"/>
        </w:tc>
        <w:tc>
          <w:tcPr>
            <w:tcW w:w="2236" w:type="dxa"/>
          </w:tcPr>
          <w:p w:rsidR="005C046A" w:rsidRPr="005C046A" w:rsidRDefault="005C046A" w:rsidP="005C046A">
            <w:r w:rsidRPr="005C046A">
              <w:t>113 µg/l</w:t>
            </w:r>
          </w:p>
        </w:tc>
        <w:tc>
          <w:tcPr>
            <w:tcW w:w="1925" w:type="dxa"/>
          </w:tcPr>
          <w:p w:rsidR="005C046A" w:rsidRPr="005C046A" w:rsidRDefault="005C046A" w:rsidP="005C046A">
            <w:r w:rsidRPr="005C046A">
              <w:t>0,2 µg/l</w:t>
            </w:r>
          </w:p>
        </w:tc>
      </w:tr>
      <w:tr w:rsidR="005C046A" w:rsidRPr="005C046A" w:rsidTr="00195B18">
        <w:tc>
          <w:tcPr>
            <w:tcW w:w="2547" w:type="dxa"/>
          </w:tcPr>
          <w:p w:rsidR="005C046A" w:rsidRPr="005C046A" w:rsidRDefault="005C046A" w:rsidP="005C046A">
            <w:r w:rsidRPr="005C046A">
              <w:t>Kobolt</w:t>
            </w:r>
          </w:p>
        </w:tc>
        <w:tc>
          <w:tcPr>
            <w:tcW w:w="709" w:type="dxa"/>
          </w:tcPr>
          <w:p w:rsidR="005C046A" w:rsidRPr="005C046A" w:rsidRDefault="005C046A" w:rsidP="005C046A"/>
        </w:tc>
        <w:tc>
          <w:tcPr>
            <w:tcW w:w="2236" w:type="dxa"/>
          </w:tcPr>
          <w:p w:rsidR="005C046A" w:rsidRPr="005C046A" w:rsidRDefault="005C046A" w:rsidP="005C046A">
            <w:r w:rsidRPr="005C046A">
              <w:t>0,28 µg/l</w:t>
            </w:r>
          </w:p>
        </w:tc>
        <w:tc>
          <w:tcPr>
            <w:tcW w:w="1925" w:type="dxa"/>
          </w:tcPr>
          <w:p w:rsidR="005C046A" w:rsidRPr="005C046A" w:rsidRDefault="005C046A" w:rsidP="005C046A">
            <w:r w:rsidRPr="005C046A">
              <w:t>0,01 µg/l</w:t>
            </w:r>
          </w:p>
        </w:tc>
      </w:tr>
      <w:tr w:rsidR="005C046A" w:rsidRPr="005C046A" w:rsidTr="00195B18">
        <w:tc>
          <w:tcPr>
            <w:tcW w:w="2547" w:type="dxa"/>
          </w:tcPr>
          <w:p w:rsidR="005C046A" w:rsidRPr="005C046A" w:rsidRDefault="005C046A" w:rsidP="005C046A">
            <w:r w:rsidRPr="005C046A">
              <w:t>Mangan</w:t>
            </w:r>
          </w:p>
        </w:tc>
        <w:tc>
          <w:tcPr>
            <w:tcW w:w="709" w:type="dxa"/>
          </w:tcPr>
          <w:p w:rsidR="005C046A" w:rsidRPr="005C046A" w:rsidRDefault="005C046A" w:rsidP="005C046A"/>
        </w:tc>
        <w:tc>
          <w:tcPr>
            <w:tcW w:w="2236" w:type="dxa"/>
          </w:tcPr>
          <w:p w:rsidR="005C046A" w:rsidRPr="005C046A" w:rsidRDefault="005C046A" w:rsidP="005C046A">
            <w:r w:rsidRPr="005C046A">
              <w:t>150 µg/l</w:t>
            </w:r>
          </w:p>
        </w:tc>
        <w:tc>
          <w:tcPr>
            <w:tcW w:w="1925" w:type="dxa"/>
          </w:tcPr>
          <w:p w:rsidR="005C046A" w:rsidRPr="005C046A" w:rsidRDefault="005C046A" w:rsidP="005C046A">
            <w:r w:rsidRPr="005C046A">
              <w:t>2 µg/l</w:t>
            </w:r>
          </w:p>
        </w:tc>
      </w:tr>
      <w:tr w:rsidR="005C046A" w:rsidRPr="005C046A" w:rsidTr="00195B18">
        <w:tc>
          <w:tcPr>
            <w:tcW w:w="2547" w:type="dxa"/>
          </w:tcPr>
          <w:p w:rsidR="005C046A" w:rsidRPr="005C046A" w:rsidRDefault="005C046A" w:rsidP="005C046A">
            <w:r w:rsidRPr="005C046A">
              <w:t>Nikkel</w:t>
            </w:r>
          </w:p>
        </w:tc>
        <w:tc>
          <w:tcPr>
            <w:tcW w:w="709" w:type="dxa"/>
          </w:tcPr>
          <w:p w:rsidR="005C046A" w:rsidRPr="005C046A" w:rsidRDefault="005C046A" w:rsidP="005C046A">
            <w:r w:rsidRPr="005C046A">
              <w:t>Bat</w:t>
            </w:r>
          </w:p>
        </w:tc>
        <w:tc>
          <w:tcPr>
            <w:tcW w:w="2236" w:type="dxa"/>
          </w:tcPr>
          <w:p w:rsidR="005C046A" w:rsidRPr="005C046A" w:rsidRDefault="005C046A" w:rsidP="005C046A">
            <w:r w:rsidRPr="005C046A">
              <w:t>4 µg/l</w:t>
            </w:r>
          </w:p>
        </w:tc>
        <w:tc>
          <w:tcPr>
            <w:tcW w:w="1925" w:type="dxa"/>
          </w:tcPr>
          <w:p w:rsidR="005C046A" w:rsidRPr="005C046A" w:rsidRDefault="005C046A" w:rsidP="005C046A">
            <w:r w:rsidRPr="005C046A">
              <w:t>0,75 µg/l</w:t>
            </w:r>
          </w:p>
        </w:tc>
      </w:tr>
      <w:tr w:rsidR="005C046A" w:rsidRPr="005C046A" w:rsidTr="00195B18">
        <w:tc>
          <w:tcPr>
            <w:tcW w:w="2547" w:type="dxa"/>
          </w:tcPr>
          <w:p w:rsidR="005C046A" w:rsidRPr="005C046A" w:rsidRDefault="005C046A" w:rsidP="005C046A">
            <w:r w:rsidRPr="005C046A">
              <w:t>Tallium</w:t>
            </w:r>
          </w:p>
        </w:tc>
        <w:tc>
          <w:tcPr>
            <w:tcW w:w="709" w:type="dxa"/>
          </w:tcPr>
          <w:p w:rsidR="005C046A" w:rsidRPr="005C046A" w:rsidRDefault="005C046A" w:rsidP="005C046A"/>
        </w:tc>
        <w:tc>
          <w:tcPr>
            <w:tcW w:w="2236" w:type="dxa"/>
          </w:tcPr>
          <w:p w:rsidR="005C046A" w:rsidRPr="005C046A" w:rsidRDefault="005C046A" w:rsidP="005C046A">
            <w:r w:rsidRPr="005C046A">
              <w:t>0,48 µg/l</w:t>
            </w:r>
          </w:p>
        </w:tc>
        <w:tc>
          <w:tcPr>
            <w:tcW w:w="1925" w:type="dxa"/>
          </w:tcPr>
          <w:p w:rsidR="005C046A" w:rsidRPr="005C046A" w:rsidRDefault="005C046A" w:rsidP="005C046A">
            <w:r w:rsidRPr="005C046A">
              <w:t>0,02 µg/l</w:t>
            </w:r>
          </w:p>
        </w:tc>
      </w:tr>
      <w:tr w:rsidR="005C046A" w:rsidRPr="005C046A" w:rsidTr="00195B18">
        <w:tc>
          <w:tcPr>
            <w:tcW w:w="2547" w:type="dxa"/>
          </w:tcPr>
          <w:p w:rsidR="005C046A" w:rsidRPr="005C046A" w:rsidRDefault="005C046A" w:rsidP="005C046A">
            <w:r w:rsidRPr="005C046A">
              <w:t>Vanadium</w:t>
            </w:r>
          </w:p>
        </w:tc>
        <w:tc>
          <w:tcPr>
            <w:tcW w:w="709" w:type="dxa"/>
          </w:tcPr>
          <w:p w:rsidR="005C046A" w:rsidRPr="005C046A" w:rsidRDefault="005C046A" w:rsidP="005C046A"/>
        </w:tc>
        <w:tc>
          <w:tcPr>
            <w:tcW w:w="2236" w:type="dxa"/>
          </w:tcPr>
          <w:p w:rsidR="005C046A" w:rsidRPr="005C046A" w:rsidRDefault="005C046A" w:rsidP="005C046A">
            <w:r w:rsidRPr="005C046A">
              <w:t>4,1 µg/l</w:t>
            </w:r>
          </w:p>
        </w:tc>
        <w:tc>
          <w:tcPr>
            <w:tcW w:w="1925" w:type="dxa"/>
          </w:tcPr>
          <w:p w:rsidR="005C046A" w:rsidRPr="005C046A" w:rsidRDefault="005C046A" w:rsidP="005C046A">
            <w:r w:rsidRPr="005C046A">
              <w:t>0,05 µg/l</w:t>
            </w:r>
          </w:p>
        </w:tc>
      </w:tr>
      <w:tr w:rsidR="005C046A" w:rsidRPr="005C046A" w:rsidTr="00195B18">
        <w:tc>
          <w:tcPr>
            <w:tcW w:w="2547" w:type="dxa"/>
          </w:tcPr>
          <w:p w:rsidR="005C046A" w:rsidRPr="005C046A" w:rsidRDefault="005C046A" w:rsidP="005C046A">
            <w:proofErr w:type="spellStart"/>
            <w:r w:rsidRPr="005C046A">
              <w:t>Acenaphten</w:t>
            </w:r>
            <w:proofErr w:type="spellEnd"/>
            <w:r w:rsidRPr="005C046A">
              <w:t xml:space="preserve"> (PAH)</w:t>
            </w:r>
          </w:p>
        </w:tc>
        <w:tc>
          <w:tcPr>
            <w:tcW w:w="709" w:type="dxa"/>
          </w:tcPr>
          <w:p w:rsidR="005C046A" w:rsidRPr="005C046A" w:rsidRDefault="005C046A" w:rsidP="005C046A"/>
        </w:tc>
        <w:tc>
          <w:tcPr>
            <w:tcW w:w="2236" w:type="dxa"/>
          </w:tcPr>
          <w:p w:rsidR="005C046A" w:rsidRPr="005C046A" w:rsidRDefault="005C046A" w:rsidP="005C046A">
            <w:r w:rsidRPr="005C046A">
              <w:t>3,8 µg/l</w:t>
            </w:r>
          </w:p>
        </w:tc>
        <w:tc>
          <w:tcPr>
            <w:tcW w:w="1925" w:type="dxa"/>
          </w:tcPr>
          <w:p w:rsidR="005C046A" w:rsidRPr="005C046A" w:rsidRDefault="005C046A" w:rsidP="005C046A">
            <w:r w:rsidRPr="005C046A">
              <w:t>0,01 µg/l</w:t>
            </w:r>
          </w:p>
        </w:tc>
      </w:tr>
      <w:tr w:rsidR="005C046A" w:rsidRPr="005C046A" w:rsidTr="00195B18">
        <w:tc>
          <w:tcPr>
            <w:tcW w:w="2547" w:type="dxa"/>
          </w:tcPr>
          <w:p w:rsidR="005C046A" w:rsidRPr="005C046A" w:rsidRDefault="005C046A" w:rsidP="005C046A">
            <w:proofErr w:type="spellStart"/>
            <w:r w:rsidRPr="005C046A">
              <w:t>Acenaphthylen</w:t>
            </w:r>
            <w:proofErr w:type="spellEnd"/>
            <w:r w:rsidRPr="005C046A">
              <w:t xml:space="preserve"> (PAH)</w:t>
            </w:r>
          </w:p>
        </w:tc>
        <w:tc>
          <w:tcPr>
            <w:tcW w:w="709" w:type="dxa"/>
          </w:tcPr>
          <w:p w:rsidR="005C046A" w:rsidRPr="005C046A" w:rsidRDefault="005C046A" w:rsidP="005C046A"/>
        </w:tc>
        <w:tc>
          <w:tcPr>
            <w:tcW w:w="2236" w:type="dxa"/>
          </w:tcPr>
          <w:p w:rsidR="005C046A" w:rsidRPr="005C046A" w:rsidRDefault="005C046A" w:rsidP="005C046A">
            <w:r w:rsidRPr="005C046A">
              <w:t>1,3 µg/l</w:t>
            </w:r>
          </w:p>
        </w:tc>
        <w:tc>
          <w:tcPr>
            <w:tcW w:w="1925" w:type="dxa"/>
          </w:tcPr>
          <w:p w:rsidR="005C046A" w:rsidRPr="005C046A" w:rsidRDefault="005C046A" w:rsidP="005C046A">
            <w:r w:rsidRPr="005C046A">
              <w:t>0,01 µg/l</w:t>
            </w:r>
          </w:p>
        </w:tc>
      </w:tr>
      <w:tr w:rsidR="005C046A" w:rsidRPr="005C046A" w:rsidTr="00195B18">
        <w:tc>
          <w:tcPr>
            <w:tcW w:w="2547" w:type="dxa"/>
          </w:tcPr>
          <w:p w:rsidR="005C046A" w:rsidRPr="005C046A" w:rsidRDefault="005C046A" w:rsidP="005C046A">
            <w:proofErr w:type="spellStart"/>
            <w:r w:rsidRPr="005C046A">
              <w:t>Phenanthren</w:t>
            </w:r>
            <w:proofErr w:type="spellEnd"/>
            <w:r w:rsidRPr="005C046A">
              <w:t xml:space="preserve"> (PAH)</w:t>
            </w:r>
          </w:p>
        </w:tc>
        <w:tc>
          <w:tcPr>
            <w:tcW w:w="709" w:type="dxa"/>
          </w:tcPr>
          <w:p w:rsidR="005C046A" w:rsidRPr="005C046A" w:rsidRDefault="005C046A" w:rsidP="005C046A"/>
        </w:tc>
        <w:tc>
          <w:tcPr>
            <w:tcW w:w="2236" w:type="dxa"/>
          </w:tcPr>
          <w:p w:rsidR="005C046A" w:rsidRPr="005C046A" w:rsidRDefault="005C046A" w:rsidP="005C046A">
            <w:r w:rsidRPr="005C046A">
              <w:t>1,3 µg/l</w:t>
            </w:r>
          </w:p>
        </w:tc>
        <w:tc>
          <w:tcPr>
            <w:tcW w:w="1925" w:type="dxa"/>
          </w:tcPr>
          <w:p w:rsidR="005C046A" w:rsidRPr="005C046A" w:rsidRDefault="005C046A" w:rsidP="005C046A">
            <w:r w:rsidRPr="005C046A">
              <w:t>0,01 µg/l</w:t>
            </w:r>
          </w:p>
        </w:tc>
      </w:tr>
      <w:tr w:rsidR="005C046A" w:rsidRPr="005C046A" w:rsidTr="00195B18">
        <w:tc>
          <w:tcPr>
            <w:tcW w:w="2547" w:type="dxa"/>
          </w:tcPr>
          <w:p w:rsidR="005C046A" w:rsidRPr="005C046A" w:rsidRDefault="005C046A" w:rsidP="005C046A">
            <w:proofErr w:type="spellStart"/>
            <w:r w:rsidRPr="005C046A">
              <w:t>Anthracen</w:t>
            </w:r>
            <w:proofErr w:type="spellEnd"/>
            <w:r w:rsidRPr="005C046A">
              <w:t xml:space="preserve"> (PAH)</w:t>
            </w:r>
          </w:p>
        </w:tc>
        <w:tc>
          <w:tcPr>
            <w:tcW w:w="709" w:type="dxa"/>
          </w:tcPr>
          <w:p w:rsidR="005C046A" w:rsidRPr="005C046A" w:rsidRDefault="005C046A" w:rsidP="005C046A"/>
        </w:tc>
        <w:tc>
          <w:tcPr>
            <w:tcW w:w="2236" w:type="dxa"/>
          </w:tcPr>
          <w:p w:rsidR="005C046A" w:rsidRPr="005C046A" w:rsidRDefault="005C046A" w:rsidP="005C046A">
            <w:r w:rsidRPr="005C046A">
              <w:t>0,1 µg/l</w:t>
            </w:r>
          </w:p>
        </w:tc>
        <w:tc>
          <w:tcPr>
            <w:tcW w:w="1925" w:type="dxa"/>
          </w:tcPr>
          <w:p w:rsidR="005C046A" w:rsidRPr="005C046A" w:rsidRDefault="005C046A" w:rsidP="005C046A">
            <w:r w:rsidRPr="005C046A">
              <w:t>0,01 µg/l</w:t>
            </w:r>
          </w:p>
        </w:tc>
      </w:tr>
      <w:tr w:rsidR="005C046A" w:rsidRPr="005C046A" w:rsidTr="00195B18">
        <w:tc>
          <w:tcPr>
            <w:tcW w:w="2547" w:type="dxa"/>
          </w:tcPr>
          <w:p w:rsidR="005C046A" w:rsidRPr="005C046A" w:rsidRDefault="005C046A" w:rsidP="005C046A">
            <w:r w:rsidRPr="005C046A">
              <w:t>Cadmium</w:t>
            </w:r>
          </w:p>
        </w:tc>
        <w:tc>
          <w:tcPr>
            <w:tcW w:w="709" w:type="dxa"/>
          </w:tcPr>
          <w:p w:rsidR="005C046A" w:rsidRPr="005C046A" w:rsidRDefault="005C046A" w:rsidP="005C046A">
            <w:r w:rsidRPr="005C046A">
              <w:t>Bat</w:t>
            </w:r>
          </w:p>
        </w:tc>
        <w:tc>
          <w:tcPr>
            <w:tcW w:w="2236" w:type="dxa"/>
          </w:tcPr>
          <w:p w:rsidR="005C046A" w:rsidRPr="005C046A" w:rsidRDefault="005C046A" w:rsidP="005C046A">
            <w:r w:rsidRPr="005C046A">
              <w:t>0,15 µg/l</w:t>
            </w:r>
          </w:p>
        </w:tc>
        <w:tc>
          <w:tcPr>
            <w:tcW w:w="1925" w:type="dxa"/>
          </w:tcPr>
          <w:p w:rsidR="005C046A" w:rsidRPr="005C046A" w:rsidRDefault="005C046A" w:rsidP="005C046A">
            <w:r w:rsidRPr="005C046A">
              <w:t>0,003 µg/l</w:t>
            </w:r>
          </w:p>
        </w:tc>
      </w:tr>
      <w:tr w:rsidR="005C046A" w:rsidRPr="005C046A" w:rsidTr="00195B18">
        <w:tc>
          <w:tcPr>
            <w:tcW w:w="2547" w:type="dxa"/>
          </w:tcPr>
          <w:p w:rsidR="005C046A" w:rsidRPr="005C046A" w:rsidRDefault="005C046A" w:rsidP="005C046A">
            <w:pPr>
              <w:rPr>
                <w:vertAlign w:val="superscript"/>
              </w:rPr>
            </w:pPr>
            <w:r w:rsidRPr="005C046A">
              <w:t>Sulfat, SO</w:t>
            </w:r>
            <w:r w:rsidRPr="005C046A">
              <w:rPr>
                <w:vertAlign w:val="subscript"/>
              </w:rPr>
              <w:t>4</w:t>
            </w:r>
            <w:r w:rsidRPr="005C046A">
              <w:rPr>
                <w:vertAlign w:val="superscript"/>
              </w:rPr>
              <w:t>--</w:t>
            </w:r>
          </w:p>
        </w:tc>
        <w:tc>
          <w:tcPr>
            <w:tcW w:w="709" w:type="dxa"/>
          </w:tcPr>
          <w:p w:rsidR="005C046A" w:rsidRPr="005C046A" w:rsidRDefault="005C046A" w:rsidP="005C046A">
            <w:r w:rsidRPr="005C046A">
              <w:t>Bat</w:t>
            </w:r>
          </w:p>
        </w:tc>
        <w:tc>
          <w:tcPr>
            <w:tcW w:w="2236" w:type="dxa"/>
          </w:tcPr>
          <w:p w:rsidR="005C046A" w:rsidRPr="005C046A" w:rsidRDefault="005C046A" w:rsidP="005C046A">
            <w:r w:rsidRPr="005C046A">
              <w:t>120 mg/l</w:t>
            </w:r>
          </w:p>
        </w:tc>
        <w:tc>
          <w:tcPr>
            <w:tcW w:w="1925" w:type="dxa"/>
          </w:tcPr>
          <w:p w:rsidR="005C046A" w:rsidRPr="005C046A" w:rsidRDefault="005C046A" w:rsidP="005C046A">
            <w:r w:rsidRPr="005C046A">
              <w:t>1,8 mg/l</w:t>
            </w:r>
          </w:p>
        </w:tc>
      </w:tr>
      <w:tr w:rsidR="005C046A" w:rsidRPr="005C046A" w:rsidTr="00195B18">
        <w:tc>
          <w:tcPr>
            <w:tcW w:w="2547" w:type="dxa"/>
          </w:tcPr>
          <w:p w:rsidR="005C046A" w:rsidRPr="005C046A" w:rsidRDefault="005C046A" w:rsidP="005C046A">
            <w:r w:rsidRPr="005C046A">
              <w:t>Suspenderet stof</w:t>
            </w:r>
          </w:p>
        </w:tc>
        <w:tc>
          <w:tcPr>
            <w:tcW w:w="709" w:type="dxa"/>
          </w:tcPr>
          <w:p w:rsidR="005C046A" w:rsidRPr="005C046A" w:rsidRDefault="005C046A" w:rsidP="005C046A">
            <w:r w:rsidRPr="005C046A">
              <w:t>Bat</w:t>
            </w:r>
          </w:p>
        </w:tc>
        <w:tc>
          <w:tcPr>
            <w:tcW w:w="2236" w:type="dxa"/>
          </w:tcPr>
          <w:p w:rsidR="005C046A" w:rsidRPr="005C046A" w:rsidRDefault="005C046A" w:rsidP="005C046A">
            <w:r w:rsidRPr="005C046A">
              <w:t>30 mg/l</w:t>
            </w:r>
          </w:p>
        </w:tc>
        <w:tc>
          <w:tcPr>
            <w:tcW w:w="1925" w:type="dxa"/>
          </w:tcPr>
          <w:p w:rsidR="005C046A" w:rsidRPr="005C046A" w:rsidRDefault="005C046A" w:rsidP="005C046A">
            <w:r w:rsidRPr="005C046A">
              <w:t>2,8 mg/l</w:t>
            </w:r>
          </w:p>
        </w:tc>
      </w:tr>
      <w:tr w:rsidR="005C046A" w:rsidRPr="005C046A" w:rsidTr="00195B18">
        <w:tc>
          <w:tcPr>
            <w:tcW w:w="2547" w:type="dxa"/>
          </w:tcPr>
          <w:p w:rsidR="005C046A" w:rsidRPr="005C046A" w:rsidRDefault="005C046A" w:rsidP="005C046A">
            <w:r w:rsidRPr="005C046A">
              <w:t>Total kulbrinter (THC)</w:t>
            </w:r>
          </w:p>
        </w:tc>
        <w:tc>
          <w:tcPr>
            <w:tcW w:w="709" w:type="dxa"/>
          </w:tcPr>
          <w:p w:rsidR="005C046A" w:rsidRPr="005C046A" w:rsidRDefault="005C046A" w:rsidP="005C046A">
            <w:r w:rsidRPr="005C046A">
              <w:t>Bat</w:t>
            </w:r>
          </w:p>
        </w:tc>
        <w:tc>
          <w:tcPr>
            <w:tcW w:w="2236" w:type="dxa"/>
          </w:tcPr>
          <w:p w:rsidR="005C046A" w:rsidRPr="005C046A" w:rsidRDefault="005C046A" w:rsidP="005C046A">
            <w:r w:rsidRPr="005C046A">
              <w:t>10 mg/l</w:t>
            </w:r>
          </w:p>
        </w:tc>
        <w:tc>
          <w:tcPr>
            <w:tcW w:w="1925" w:type="dxa"/>
          </w:tcPr>
          <w:p w:rsidR="005C046A" w:rsidRPr="005C046A" w:rsidRDefault="005C046A" w:rsidP="005C046A">
            <w:r w:rsidRPr="005C046A">
              <w:t>0,001 mg/l</w:t>
            </w:r>
          </w:p>
        </w:tc>
      </w:tr>
      <w:tr w:rsidR="005C046A" w:rsidRPr="005C046A" w:rsidTr="00195B18">
        <w:tc>
          <w:tcPr>
            <w:tcW w:w="2547" w:type="dxa"/>
          </w:tcPr>
          <w:p w:rsidR="005C046A" w:rsidRPr="005C046A" w:rsidRDefault="005C046A" w:rsidP="005C046A">
            <w:r w:rsidRPr="005C046A">
              <w:t>Total P</w:t>
            </w:r>
          </w:p>
        </w:tc>
        <w:tc>
          <w:tcPr>
            <w:tcW w:w="709" w:type="dxa"/>
          </w:tcPr>
          <w:p w:rsidR="005C046A" w:rsidRPr="005C046A" w:rsidRDefault="005C046A" w:rsidP="005C046A"/>
        </w:tc>
        <w:tc>
          <w:tcPr>
            <w:tcW w:w="2236" w:type="dxa"/>
          </w:tcPr>
          <w:p w:rsidR="005C046A" w:rsidRPr="005C046A" w:rsidRDefault="005C046A" w:rsidP="005C046A">
            <w:r w:rsidRPr="005C046A">
              <w:t>1,5 mg/l</w:t>
            </w:r>
          </w:p>
        </w:tc>
        <w:tc>
          <w:tcPr>
            <w:tcW w:w="1925" w:type="dxa"/>
          </w:tcPr>
          <w:p w:rsidR="005C046A" w:rsidRPr="005C046A" w:rsidRDefault="005C046A" w:rsidP="005C046A">
            <w:r w:rsidRPr="005C046A">
              <w:t>0,005mg/l</w:t>
            </w:r>
          </w:p>
        </w:tc>
      </w:tr>
    </w:tbl>
    <w:p w:rsidR="005C046A" w:rsidRPr="005C046A" w:rsidRDefault="005C046A" w:rsidP="005C046A"/>
    <w:p w:rsidR="005C046A" w:rsidRPr="005C046A" w:rsidRDefault="005C046A" w:rsidP="005C046A">
      <w:r w:rsidRPr="005C046A">
        <w:t xml:space="preserve">Kviksølv har en grænse på 0,05 µg/l. Stoffet er hver måned målt under </w:t>
      </w:r>
      <w:proofErr w:type="spellStart"/>
      <w:r w:rsidRPr="005C046A">
        <w:t>detektionsgrænsen</w:t>
      </w:r>
      <w:proofErr w:type="spellEnd"/>
      <w:r w:rsidRPr="005C046A">
        <w:t xml:space="preserve"> på hhv. 0,02 µg/l, 0,05 µg/l og 0,001 µg/l afhængig af analysemetode. Dog i januar 23 blev kviksølv målt til 0,005 µg/l. Grænsen er derfor ikke overskredet, men man kan ikke vide, om den er overholdt med en faktor ti.</w:t>
      </w:r>
    </w:p>
    <w:p w:rsidR="005C046A" w:rsidRPr="005C046A" w:rsidRDefault="005C046A" w:rsidP="005C046A"/>
    <w:p w:rsidR="005C046A" w:rsidRPr="005C046A" w:rsidRDefault="005C046A" w:rsidP="005C046A">
      <w:r w:rsidRPr="005C046A">
        <w:t xml:space="preserve">I godkendelsesbekendtgørelsen §27 står, at kommunen skal fastsætte emissionsgrænser og krav til egenkontrol i overensstemmelse med bat-konklusionerne, I §28 står dog, at kommunen kan lempe grænserne såfremt lempelsen ikke medfører væsentlig forurening. </w:t>
      </w:r>
    </w:p>
    <w:p w:rsidR="005C046A" w:rsidRPr="005C046A" w:rsidRDefault="005C046A" w:rsidP="005C046A"/>
    <w:p w:rsidR="005C046A" w:rsidRPr="005C046A" w:rsidRDefault="005C046A" w:rsidP="005C046A">
      <w:pPr>
        <w:rPr>
          <w:u w:val="single"/>
        </w:rPr>
      </w:pPr>
      <w:r w:rsidRPr="005C046A">
        <w:rPr>
          <w:u w:val="single"/>
        </w:rPr>
        <w:t>Parametre, der ikke er omfattet af bat</w:t>
      </w:r>
    </w:p>
    <w:p w:rsidR="005C046A" w:rsidRPr="005C046A" w:rsidRDefault="005C046A" w:rsidP="005C046A">
      <w:r w:rsidRPr="005C046A">
        <w:t>Eneste parameter, der hverken er ikke omfattet af bat eller af ovenstående tabeller er Benz(a)</w:t>
      </w:r>
      <w:proofErr w:type="spellStart"/>
      <w:r w:rsidRPr="005C046A">
        <w:t>anthracen</w:t>
      </w:r>
      <w:proofErr w:type="spellEnd"/>
      <w:r w:rsidRPr="005C046A">
        <w:t xml:space="preserve"> (PAH) med en grænse på 0,012 µg/l. Stoffet er hver måned målt under </w:t>
      </w:r>
      <w:proofErr w:type="spellStart"/>
      <w:r w:rsidRPr="005C046A">
        <w:t>detektionsgrænsen</w:t>
      </w:r>
      <w:proofErr w:type="spellEnd"/>
      <w:r w:rsidRPr="005C046A">
        <w:t xml:space="preserve"> på hhv. 0,01 µg/l og 0,001 µg/l afhængig af analysemetode.</w:t>
      </w:r>
    </w:p>
    <w:p w:rsidR="005C046A" w:rsidRPr="005C046A" w:rsidRDefault="005C046A" w:rsidP="005C046A"/>
    <w:p w:rsidR="005C046A" w:rsidRPr="005C046A" w:rsidRDefault="005C046A" w:rsidP="005C046A">
      <w:r w:rsidRPr="005C046A">
        <w:t xml:space="preserve">For de tre PAH-stoffer med meget lave grænser, kan man ikke konkludere at grænsen er overholdt med meget god margen. Men analyserne viser dog, at grænserne ikke er overskredet. </w:t>
      </w:r>
    </w:p>
    <w:p w:rsidR="005C046A" w:rsidRPr="005C046A" w:rsidRDefault="005C046A" w:rsidP="005C046A"/>
    <w:p w:rsidR="005C046A" w:rsidRPr="005C046A" w:rsidRDefault="005C046A" w:rsidP="005C046A">
      <w:pPr>
        <w:rPr>
          <w:u w:val="single"/>
        </w:rPr>
      </w:pPr>
      <w:r w:rsidRPr="005C046A">
        <w:rPr>
          <w:u w:val="single"/>
        </w:rPr>
        <w:t>Plan, natur og miljø</w:t>
      </w:r>
    </w:p>
    <w:p w:rsidR="005C046A" w:rsidRPr="005C046A" w:rsidRDefault="005C046A" w:rsidP="005C046A">
      <w:r w:rsidRPr="005C046A">
        <w:t>Værket er omfattet af lokalplan L 1.143, ”Nyt forsyningscenter på Energivej i Helsingør”, som byrådet vedtog den 22. juni 2015. Lokalplanen udlægger området til blandt andet kraftvarmeværk.</w:t>
      </w:r>
    </w:p>
    <w:p w:rsidR="005C046A" w:rsidRPr="005C046A" w:rsidRDefault="005C046A" w:rsidP="005C046A"/>
    <w:p w:rsidR="005C046A" w:rsidRPr="005C046A" w:rsidRDefault="005C046A" w:rsidP="005C046A">
      <w:r w:rsidRPr="005C046A">
        <w:t xml:space="preserve">Kørsel til og fra værket sker via Kongevejen, Støberivej og Energivej. </w:t>
      </w:r>
    </w:p>
    <w:p w:rsidR="005C046A" w:rsidRPr="005C046A" w:rsidRDefault="005C046A" w:rsidP="005C046A"/>
    <w:p w:rsidR="005C046A" w:rsidRPr="005C046A" w:rsidRDefault="005C046A" w:rsidP="005C046A">
      <w:r w:rsidRPr="005C046A">
        <w:t>Kommunen meddelte den 6. juli 2015 VVM tilladelse til det nye biomassefyrede kraftvarmeværk. Den 29. juni 2018 meddelte kommunen desuden, at de søgte ændringer og tilføjelser i projektet ikke er omfattet af reglerne om VVM. Kommunen vurderede, at det ansøgte ikke vil påvirke Natura 2000-områder og ej heller vil beskadige eller ødelægge yngle- eller rasteområder for beskyttede dyrearter henholdsvis ødelægge plantearter opført på habitatdirektivets bilag IV. Da der er tale om en ændret egenkontrol, vil der ikke ske nogen ændringer af indretning og drift, der vil påvirke beskyttede arter og områder.</w:t>
      </w:r>
    </w:p>
    <w:p w:rsidR="005C046A" w:rsidRPr="005C046A" w:rsidRDefault="005C046A" w:rsidP="005C046A"/>
    <w:p w:rsidR="005C046A" w:rsidRPr="005C046A" w:rsidRDefault="005C046A" w:rsidP="005C046A">
      <w:pPr>
        <w:rPr>
          <w:b/>
        </w:rPr>
      </w:pPr>
      <w:r w:rsidRPr="005C046A">
        <w:rPr>
          <w:b/>
        </w:rPr>
        <w:t>Kommunens vurdering</w:t>
      </w:r>
    </w:p>
    <w:p w:rsidR="005C046A" w:rsidRPr="005C046A" w:rsidRDefault="005C046A" w:rsidP="005C046A">
      <w:r w:rsidRPr="005C046A">
        <w:t xml:space="preserve">For de parametre, hvor I siden september 2021 har udledt mindre end 10% af grænsen vurderer kommunen, at vi kan lempe jeres egenkontrol, uden at jeres forurening af Egebækken vil blive øget. </w:t>
      </w:r>
    </w:p>
    <w:p w:rsidR="005C046A" w:rsidRPr="005C046A" w:rsidRDefault="005C046A" w:rsidP="005C046A"/>
    <w:p w:rsidR="005C046A" w:rsidRPr="005C046A" w:rsidRDefault="005C046A" w:rsidP="005C046A">
      <w:r w:rsidRPr="005C046A">
        <w:t xml:space="preserve">For de parametre, der ikke er omfattet af bat og hvor I har udledt mindre end 10% af grænsen vurderer kommunen desuden, at vi helt kan slette grænsen for udledning og for egenkontrol. For de parametre, der er omfattet af bat, vurderer vi, at vi kan reducere egenkontrollen til en gang om året. </w:t>
      </w:r>
    </w:p>
    <w:p w:rsidR="005C046A" w:rsidRPr="005C046A" w:rsidRDefault="005C046A" w:rsidP="005C046A"/>
    <w:p w:rsidR="005C046A" w:rsidRPr="005C046A" w:rsidRDefault="005C046A" w:rsidP="005C046A">
      <w:r w:rsidRPr="005C046A">
        <w:t>For PAH forventer kommunen, at I vil fortsætte med de lave koncentrationer. Vi vurderer derfor, at det vil være tilstrækkeligt med en måling en gang om året.</w:t>
      </w:r>
    </w:p>
    <w:p w:rsidR="005C046A" w:rsidRPr="005C046A" w:rsidRDefault="005C046A" w:rsidP="005C046A"/>
    <w:p w:rsidR="005C046A" w:rsidRPr="005C046A" w:rsidRDefault="005C046A" w:rsidP="005C046A">
      <w:r w:rsidRPr="005C046A">
        <w:t xml:space="preserve">For de parametre, hvor der har været problemer, og for de parametre, der er omfattet af bat og udledninger i nærheden af grænsen, vurderer kommunen, at vi fastholder grænserne og kravet om en prøve hver måned.  </w:t>
      </w:r>
    </w:p>
    <w:p w:rsidR="005C046A" w:rsidRPr="005C046A" w:rsidRDefault="005C046A" w:rsidP="005C046A"/>
    <w:p w:rsidR="005C046A" w:rsidRPr="005C046A" w:rsidRDefault="005C046A" w:rsidP="005C046A">
      <w:pPr>
        <w:rPr>
          <w:b/>
        </w:rPr>
      </w:pPr>
      <w:r w:rsidRPr="005C046A">
        <w:rPr>
          <w:b/>
        </w:rPr>
        <w:t>Klagevejledning</w:t>
      </w:r>
    </w:p>
    <w:p w:rsidR="005C046A" w:rsidRPr="005C046A" w:rsidRDefault="005C046A" w:rsidP="005C046A">
      <w:r w:rsidRPr="005C046A">
        <w:t>I kan klage over afgørelsen. Ønsker I at klage, skal I senest</w:t>
      </w:r>
      <w:r>
        <w:t xml:space="preserve"> den 6. september 2023 have</w:t>
      </w:r>
      <w:r w:rsidRPr="005C046A">
        <w:t xml:space="preserve"> indtastet klagen i </w:t>
      </w:r>
      <w:hyperlink r:id="rId8" w:history="1">
        <w:r w:rsidRPr="005C046A">
          <w:rPr>
            <w:rStyle w:val="Hyperlink"/>
          </w:rPr>
          <w:t>Klageportalen</w:t>
        </w:r>
      </w:hyperlink>
      <w:r w:rsidRPr="005C046A">
        <w:t xml:space="preserve"> til Miljø- og Fødevareklagenævnet.</w:t>
      </w:r>
    </w:p>
    <w:p w:rsidR="005C046A" w:rsidRPr="005C046A" w:rsidRDefault="005C046A" w:rsidP="005C046A">
      <w:pPr>
        <w:rPr>
          <w:b/>
          <w:iCs/>
        </w:rPr>
      </w:pPr>
    </w:p>
    <w:p w:rsidR="005C046A" w:rsidRPr="005C046A" w:rsidRDefault="005C046A" w:rsidP="005C046A">
      <w:r w:rsidRPr="005C046A">
        <w:t>Visse interesseorganisationer kan også klage. Vi sender derfor kopi af afgørelsen til dem, der har ønsket det.</w:t>
      </w:r>
    </w:p>
    <w:p w:rsidR="005C046A" w:rsidRPr="005C046A" w:rsidRDefault="005C046A" w:rsidP="005C046A"/>
    <w:p w:rsidR="005C046A" w:rsidRPr="005C046A" w:rsidRDefault="005C046A" w:rsidP="005C046A">
      <w:r w:rsidRPr="005C046A">
        <w:t>Vi vurderer, at der ikke er nogen med en individuel interesse I sagen. Vi offentliggør derfor ikke afgørelsen på vores hjemmeside. Enhver kan desuden komme til at se kommunens dokumenter i denne sag.</w:t>
      </w:r>
    </w:p>
    <w:p w:rsidR="005C046A" w:rsidRPr="005C046A" w:rsidRDefault="005C046A" w:rsidP="005C046A"/>
    <w:p w:rsidR="005C046A" w:rsidRPr="005C046A" w:rsidRDefault="005C046A" w:rsidP="005C046A">
      <w:r w:rsidRPr="005C046A">
        <w:t>Hvis Klagenævnet modtager en klage får både I og vi besked. Det koster for privatpersoner 900 kroner og for virksomheder og organisationer 1800 kroner at få klagen behandlet, og Klagenævnet sender en opkrævning. I får pengene tilbage, hvis I får helt eller delvist medhold i klagen.</w:t>
      </w:r>
    </w:p>
    <w:p w:rsidR="005C046A" w:rsidRPr="005C046A" w:rsidRDefault="005C046A" w:rsidP="005C046A"/>
    <w:p w:rsidR="005C046A" w:rsidRPr="005C046A" w:rsidRDefault="005C046A" w:rsidP="005C046A">
      <w:r w:rsidRPr="005C046A">
        <w:t>Afgørelsen kan også bringes for domstolene senest</w:t>
      </w:r>
      <w:r>
        <w:t xml:space="preserve"> den 9. februar 2023</w:t>
      </w:r>
      <w:r w:rsidRPr="005C046A">
        <w:t>.</w:t>
      </w:r>
    </w:p>
    <w:p w:rsidR="005C046A" w:rsidRPr="005C046A" w:rsidRDefault="005C046A" w:rsidP="005C046A"/>
    <w:p w:rsidR="005C046A" w:rsidRPr="005C046A" w:rsidRDefault="005C046A" w:rsidP="005C046A">
      <w:r w:rsidRPr="005C046A">
        <w:t>Kopi:</w:t>
      </w:r>
    </w:p>
    <w:p w:rsidR="005C046A" w:rsidRPr="005C046A" w:rsidRDefault="005C046A" w:rsidP="005C046A">
      <w:pPr>
        <w:numPr>
          <w:ilvl w:val="0"/>
          <w:numId w:val="3"/>
        </w:numPr>
      </w:pPr>
      <w:r w:rsidRPr="005C046A">
        <w:t>Danmarks naturfredningsforening (</w:t>
      </w:r>
      <w:hyperlink r:id="rId9" w:history="1">
        <w:r w:rsidRPr="005C046A">
          <w:rPr>
            <w:rStyle w:val="Hyperlink"/>
          </w:rPr>
          <w:t>dn@dn.dk</w:t>
        </w:r>
      </w:hyperlink>
      <w:r w:rsidRPr="005C046A">
        <w:t>)</w:t>
      </w:r>
    </w:p>
    <w:p w:rsidR="005C046A" w:rsidRPr="005C046A" w:rsidRDefault="005C046A" w:rsidP="005C046A">
      <w:pPr>
        <w:numPr>
          <w:ilvl w:val="0"/>
          <w:numId w:val="3"/>
        </w:numPr>
      </w:pPr>
      <w:r w:rsidRPr="005C046A">
        <w:t>Styrelsen for Patientsikkerhed (</w:t>
      </w:r>
      <w:hyperlink r:id="rId10" w:history="1">
        <w:r w:rsidRPr="005C046A">
          <w:rPr>
            <w:rStyle w:val="Hyperlink"/>
          </w:rPr>
          <w:t>stps@stps.dk</w:t>
        </w:r>
      </w:hyperlink>
      <w:r w:rsidRPr="005C046A">
        <w:t>)</w:t>
      </w:r>
    </w:p>
    <w:p w:rsidR="005C046A" w:rsidRPr="005C046A" w:rsidRDefault="005C046A" w:rsidP="005C046A"/>
    <w:p w:rsidR="005C046A" w:rsidRPr="005C046A" w:rsidRDefault="005C046A" w:rsidP="005C046A"/>
    <w:p w:rsidR="005C046A" w:rsidRPr="005C046A" w:rsidRDefault="005C046A" w:rsidP="005C046A"/>
    <w:p w:rsidR="005C046A" w:rsidRPr="005C046A" w:rsidRDefault="005C046A" w:rsidP="005C046A">
      <w:r w:rsidRPr="005C046A">
        <w:t>Med venlig hilsen</w:t>
      </w:r>
    </w:p>
    <w:p w:rsidR="005C046A" w:rsidRPr="005C046A" w:rsidRDefault="005C046A" w:rsidP="005C046A"/>
    <w:p w:rsidR="005C046A" w:rsidRPr="005C046A" w:rsidRDefault="005C046A" w:rsidP="005C046A">
      <w:r w:rsidRPr="005C046A">
        <w:t>Malene Kamstrup</w:t>
      </w:r>
    </w:p>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5C046A" w:rsidRPr="005C046A" w:rsidTr="00195B18">
        <w:trPr>
          <w:trHeight w:hRule="exact" w:val="851"/>
          <w:tblHeader/>
        </w:trPr>
        <w:tc>
          <w:tcPr>
            <w:tcW w:w="7371" w:type="dxa"/>
            <w:vAlign w:val="bottom"/>
          </w:tcPr>
          <w:p w:rsidR="005C046A" w:rsidRPr="005C046A" w:rsidRDefault="005C046A" w:rsidP="005C046A"/>
        </w:tc>
      </w:tr>
    </w:tbl>
    <w:p w:rsidR="005C046A" w:rsidRPr="005C046A" w:rsidRDefault="005C046A" w:rsidP="005C046A">
      <w:r w:rsidRPr="005C046A">
        <w:t>Ingeniør</w:t>
      </w:r>
    </w:p>
    <w:p w:rsidR="004A09AB" w:rsidRPr="005C046A" w:rsidRDefault="004A09AB" w:rsidP="005C2578"/>
    <w:p w:rsidR="004A09AB" w:rsidRPr="005C046A" w:rsidRDefault="004A09AB" w:rsidP="005C2578"/>
    <w:p w:rsidR="00E63AE4" w:rsidRPr="005C046A" w:rsidRDefault="00E63AE4" w:rsidP="00B51C65"/>
    <w:p w:rsidR="00E71C9F" w:rsidRPr="005C046A" w:rsidRDefault="00E71C9F" w:rsidP="005C046A"/>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3B06CF" w:rsidRPr="005C046A" w:rsidTr="002C7C88">
        <w:trPr>
          <w:trHeight w:hRule="exact" w:val="851"/>
          <w:tblHeader/>
        </w:trPr>
        <w:tc>
          <w:tcPr>
            <w:tcW w:w="7371" w:type="dxa"/>
            <w:vAlign w:val="bottom"/>
          </w:tcPr>
          <w:p w:rsidR="003B06CF" w:rsidRPr="005C046A" w:rsidRDefault="003B06CF" w:rsidP="002C7C88">
            <w:pPr>
              <w:pStyle w:val="Kampagne"/>
            </w:pPr>
          </w:p>
        </w:tc>
      </w:tr>
    </w:tbl>
    <w:p w:rsidR="003B06CF" w:rsidRPr="005C046A" w:rsidRDefault="003B06CF" w:rsidP="00CC21C1"/>
    <w:sectPr w:rsidR="003B06CF" w:rsidRPr="005C046A" w:rsidSect="00F26994">
      <w:headerReference w:type="even" r:id="rId11"/>
      <w:headerReference w:type="default" r:id="rId12"/>
      <w:footerReference w:type="even" r:id="rId13"/>
      <w:footerReference w:type="default" r:id="rId14"/>
      <w:headerReference w:type="first" r:id="rId15"/>
      <w:footerReference w:type="first" r:id="rId16"/>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46A" w:rsidRPr="005C046A" w:rsidRDefault="005C046A" w:rsidP="00413091">
      <w:pPr>
        <w:spacing w:line="240" w:lineRule="auto"/>
      </w:pPr>
      <w:r w:rsidRPr="005C046A">
        <w:separator/>
      </w:r>
    </w:p>
  </w:endnote>
  <w:endnote w:type="continuationSeparator" w:id="0">
    <w:p w:rsidR="005C046A" w:rsidRPr="005C046A" w:rsidRDefault="005C046A" w:rsidP="00413091">
      <w:pPr>
        <w:spacing w:line="240" w:lineRule="auto"/>
      </w:pPr>
      <w:r w:rsidRPr="005C0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6A" w:rsidRDefault="005C046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6A" w:rsidRDefault="005C046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6A" w:rsidRDefault="005C046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46A" w:rsidRPr="005C046A" w:rsidRDefault="005C046A" w:rsidP="00413091">
      <w:pPr>
        <w:spacing w:line="240" w:lineRule="auto"/>
      </w:pPr>
      <w:r w:rsidRPr="005C046A">
        <w:separator/>
      </w:r>
    </w:p>
  </w:footnote>
  <w:footnote w:type="continuationSeparator" w:id="0">
    <w:p w:rsidR="005C046A" w:rsidRPr="005C046A" w:rsidRDefault="005C046A" w:rsidP="00413091">
      <w:pPr>
        <w:spacing w:line="240" w:lineRule="auto"/>
      </w:pPr>
      <w:r w:rsidRPr="005C0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6A" w:rsidRDefault="005C046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4F3D" w:rsidRPr="005C046A" w:rsidTr="00B51C65">
      <w:trPr>
        <w:trHeight w:hRule="exact" w:val="397"/>
      </w:trPr>
      <w:tc>
        <w:tcPr>
          <w:tcW w:w="2268" w:type="dxa"/>
        </w:tcPr>
        <w:p w:rsidR="00654F3D" w:rsidRPr="005C046A" w:rsidRDefault="00654F3D" w:rsidP="00B51C65">
          <w:pPr>
            <w:pStyle w:val="SidetalTop"/>
          </w:pPr>
          <w:r w:rsidRPr="005C046A">
            <w:t xml:space="preserve">SIDE </w:t>
          </w:r>
          <w:r w:rsidRPr="005C046A">
            <w:fldChar w:fldCharType="begin"/>
          </w:r>
          <w:r w:rsidRPr="005C046A">
            <w:instrText>PAGE   \* MERGEFORMAT</w:instrText>
          </w:r>
          <w:r w:rsidRPr="005C046A">
            <w:fldChar w:fldCharType="separate"/>
          </w:r>
          <w:r w:rsidR="00C9483F">
            <w:rPr>
              <w:noProof/>
            </w:rPr>
            <w:t>6</w:t>
          </w:r>
          <w:r w:rsidRPr="005C046A">
            <w:fldChar w:fldCharType="end"/>
          </w:r>
        </w:p>
      </w:tc>
    </w:tr>
    <w:tr w:rsidR="00654F3D" w:rsidRPr="005C046A" w:rsidTr="00B51C65">
      <w:trPr>
        <w:trHeight w:hRule="exact" w:val="737"/>
      </w:trPr>
      <w:tc>
        <w:tcPr>
          <w:tcW w:w="2268" w:type="dxa"/>
        </w:tcPr>
        <w:p w:rsidR="00654F3D" w:rsidRPr="005C046A" w:rsidRDefault="005C046A" w:rsidP="005C046A">
          <w:pPr>
            <w:pStyle w:val="Kolofon"/>
          </w:pPr>
          <w:r w:rsidRPr="005C046A">
            <w:rPr>
              <w:rFonts w:ascii="Calibri" w:hAnsi="Calibri" w:cs="Calibri"/>
            </w:rPr>
            <w:t>Helsingør Kommune</w:t>
          </w:r>
        </w:p>
      </w:tc>
    </w:tr>
  </w:tbl>
  <w:p w:rsidR="00654F3D" w:rsidRPr="005C046A"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5C046A" w:rsidRDefault="005C046A">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rsidP="004C79E7">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20"/>
      </w:rPr>
    </w:pPr>
  </w:p>
  <w:p w:rsidR="00654F3D" w:rsidRPr="005C046A" w:rsidRDefault="00654F3D">
    <w:pPr>
      <w:pStyle w:val="Sidehoved"/>
      <w:rPr>
        <w:rFonts w:ascii="Arial" w:hAnsi="Arial" w:cs="Arial"/>
        <w:sz w:val="16"/>
        <w:szCs w:val="16"/>
      </w:rPr>
    </w:pPr>
  </w:p>
  <w:p w:rsidR="00654F3D" w:rsidRPr="005C046A" w:rsidRDefault="00654F3D">
    <w:pPr>
      <w:pStyle w:val="Sidehoved"/>
      <w:rPr>
        <w:rFonts w:ascii="Arial" w:hAnsi="Arial" w:cs="Arial"/>
      </w:rPr>
    </w:pPr>
  </w:p>
  <w:p w:rsidR="00784C0A" w:rsidRPr="005C046A" w:rsidRDefault="00784C0A">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C85E62"/>
    <w:multiLevelType w:val="hybridMultilevel"/>
    <w:tmpl w:val="5E2E65BA"/>
    <w:lvl w:ilvl="0" w:tplc="F7C8430A">
      <w:start w:val="6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4.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6rIijpOu58Gxmt2AR541WEgfVB3e6CUYOZSQDV+Umc4QKtNG45NP7JxY1xd1YZMh"/>
    <w:docVar w:name="Encrypted_DocHeader" w:val="BeJBmJ7Z3/BF9WFlIWWGGw=="/>
    <w:docVar w:name="Encrypted_DocumentChangeThisVar" w:val="Go1BF8BBsJqqGsR1izlsvQ=="/>
    <w:docVar w:name="IntegrationType" w:val="StandAlone"/>
    <w:docVar w:name="IsDocument" w:val=" "/>
  </w:docVars>
  <w:rsids>
    <w:rsidRoot w:val="005C046A"/>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05EF"/>
    <w:rsid w:val="000919FB"/>
    <w:rsid w:val="000A07F3"/>
    <w:rsid w:val="000A0D31"/>
    <w:rsid w:val="000A28ED"/>
    <w:rsid w:val="000A52B9"/>
    <w:rsid w:val="000B453D"/>
    <w:rsid w:val="000B5826"/>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3D3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046A"/>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84C0A"/>
    <w:rsid w:val="00796243"/>
    <w:rsid w:val="007B31D7"/>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304B"/>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483F"/>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1A26"/>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5CA6F35-7378-4C42-8C53-A146D37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ps@stps.dk" TargetMode="External"/><Relationship Id="rId4" Type="http://schemas.openxmlformats.org/officeDocument/2006/relationships/settings" Target="settings.xml"/><Relationship Id="rId9" Type="http://schemas.openxmlformats.org/officeDocument/2006/relationships/hyperlink" Target="mailto:dn@dn.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90680-29FF-4F8A-BB6F-4DECCF32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6</Pages>
  <Words>1345</Words>
  <Characters>7327</Characters>
  <Application>Microsoft Office Word</Application>
  <DocSecurity>0</DocSecurity>
  <Lines>431</Lines>
  <Paragraphs>333</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cp:lastPrinted>2023-08-09T08:24:00Z</cp:lastPrinted>
  <dcterms:created xsi:type="dcterms:W3CDTF">2023-08-09T08:24:00Z</dcterms:created>
  <dcterms:modified xsi:type="dcterms:W3CDTF">2023-08-09T08:24:00Z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{2FCD68CD-02EE-4612-8AFC-73CC19FE216C}</vt:lpwstr>
  </property>
</Properties>
</file>