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5661" w:rsidRPr="007B2F87" w:rsidRDefault="00316256" w:rsidP="0042390A">
      <w:pPr>
        <w:pStyle w:val="Overskrift1"/>
        <w:spacing w:after="0" w:line="240" w:lineRule="auto"/>
      </w:pPr>
      <w:sdt>
        <w:sdtPr>
          <w:rPr>
            <w:rFonts w:eastAsia="Times New Roman" w:cs="Times New Roman"/>
            <w:color w:val="000000" w:themeColor="text1"/>
            <w:sz w:val="38"/>
            <w:szCs w:val="38"/>
            <w:lang w:eastAsia="da-DK"/>
          </w:rPr>
          <w:tag w:val="Title"/>
          <w:id w:val="679944147"/>
          <w:placeholder>
            <w:docPart w:val="B59E1AB7D6454B0A925C85155A4335A7"/>
          </w:placeholder>
          <w:dataBinding w:prefixMappings="xmlns:gbs='http://www.software-innovation.no/growBusinessDocument'" w:xpath="/gbs:GrowBusinessDocument/gbs:Title[@gbs:key='10000']" w:storeItemID="{506825E8-CC84-4088-AAC6-DF5BB1EF1B74}"/>
          <w:text/>
        </w:sdtPr>
        <w:sdtContent>
          <w:r w:rsidR="007B2F87" w:rsidRPr="007B2F87">
            <w:rPr>
              <w:rFonts w:eastAsia="Times New Roman" w:cs="Times New Roman"/>
              <w:color w:val="000000" w:themeColor="text1"/>
              <w:sz w:val="38"/>
              <w:szCs w:val="38"/>
              <w:lang w:eastAsia="da-DK"/>
            </w:rPr>
            <w:t>Tilsynsrapport: SMOKA</w:t>
          </w:r>
          <w:r w:rsidR="007B2F87">
            <w:rPr>
              <w:rFonts w:eastAsia="Times New Roman" w:cs="Times New Roman"/>
              <w:color w:val="000000" w:themeColor="text1"/>
              <w:sz w:val="38"/>
              <w:szCs w:val="38"/>
              <w:lang w:eastAsia="da-DK"/>
            </w:rPr>
            <w:t xml:space="preserve"> </w:t>
          </w:r>
          <w:r w:rsidR="0042390A">
            <w:rPr>
              <w:rFonts w:eastAsia="Times New Roman" w:cs="Times New Roman"/>
              <w:color w:val="000000" w:themeColor="text1"/>
              <w:sz w:val="38"/>
              <w:szCs w:val="38"/>
              <w:lang w:eastAsia="da-DK"/>
            </w:rPr>
            <w:t>I/S</w:t>
          </w:r>
          <w:r w:rsidR="007B2F87" w:rsidRPr="007B2F87">
            <w:rPr>
              <w:rFonts w:eastAsia="Times New Roman" w:cs="Times New Roman"/>
              <w:color w:val="000000" w:themeColor="text1"/>
              <w:sz w:val="38"/>
              <w:szCs w:val="38"/>
              <w:lang w:eastAsia="da-DK"/>
            </w:rPr>
            <w:t>.</w:t>
          </w:r>
        </w:sdtContent>
      </w:sdt>
    </w:p>
    <w:p w:rsidR="007B2F87" w:rsidRDefault="007B2F87" w:rsidP="007B2F87">
      <w:pPr>
        <w:rPr>
          <w:color w:val="000000" w:themeColor="text1"/>
        </w:rPr>
      </w:pPr>
    </w:p>
    <w:p w:rsidR="007B2F87" w:rsidRPr="006C316C" w:rsidRDefault="007B2F87" w:rsidP="007B2F87">
      <w:pPr>
        <w:rPr>
          <w:color w:val="000000" w:themeColor="text1"/>
        </w:rPr>
      </w:pPr>
      <w:r w:rsidRPr="008B6E22">
        <w:rPr>
          <w:color w:val="000000" w:themeColor="text1"/>
        </w:rPr>
        <w:t>Center for Miljøbeskyttelse</w:t>
      </w:r>
      <w:r>
        <w:rPr>
          <w:color w:val="000000" w:themeColor="text1"/>
        </w:rPr>
        <w:t xml:space="preserve"> har d. </w:t>
      </w:r>
      <w:r w:rsidR="0042390A">
        <w:rPr>
          <w:color w:val="000000" w:themeColor="text1"/>
        </w:rPr>
        <w:t>8. oktober 2018</w:t>
      </w:r>
      <w:r>
        <w:rPr>
          <w:color w:val="000000" w:themeColor="text1"/>
        </w:rPr>
        <w:t xml:space="preserve"> </w:t>
      </w:r>
      <w:r w:rsidRPr="008B6E22">
        <w:rPr>
          <w:color w:val="000000" w:themeColor="text1"/>
        </w:rPr>
        <w:t>været på tilsyn</w:t>
      </w:r>
      <w:r>
        <w:rPr>
          <w:color w:val="000000" w:themeColor="text1"/>
        </w:rPr>
        <w:t>:</w:t>
      </w:r>
      <w:r>
        <w:rPr>
          <w:color w:val="000000" w:themeColor="text1"/>
        </w:rPr>
        <w:br/>
      </w:r>
    </w:p>
    <w:tbl>
      <w:tblPr>
        <w:tblStyle w:val="Tabel-Gitter"/>
        <w:tblpPr w:leftFromText="141" w:rightFromText="141" w:vertAnchor="text" w:tblpY="1"/>
        <w:tblW w:w="0" w:type="auto"/>
        <w:tblLook w:val="04A0" w:firstRow="1" w:lastRow="0" w:firstColumn="1" w:lastColumn="0" w:noHBand="0" w:noVBand="1"/>
      </w:tblPr>
      <w:tblGrid>
        <w:gridCol w:w="2421"/>
        <w:gridCol w:w="4372"/>
      </w:tblGrid>
      <w:tr w:rsidR="007B2F87" w:rsidRPr="0030094E" w:rsidTr="00183DD3">
        <w:tc>
          <w:tcPr>
            <w:tcW w:w="2504" w:type="dxa"/>
          </w:tcPr>
          <w:p w:rsidR="007B2F87" w:rsidRPr="0030094E" w:rsidRDefault="007B2F87" w:rsidP="00183DD3">
            <w:pPr>
              <w:rPr>
                <w:rFonts w:cs="Times New Roman"/>
                <w:lang w:eastAsia="da-DK"/>
              </w:rPr>
            </w:pPr>
            <w:r>
              <w:rPr>
                <w:rFonts w:cs="Times New Roman"/>
                <w:lang w:eastAsia="da-DK"/>
              </w:rPr>
              <w:t>Virksomhed:</w:t>
            </w:r>
          </w:p>
        </w:tc>
        <w:tc>
          <w:tcPr>
            <w:tcW w:w="4515" w:type="dxa"/>
          </w:tcPr>
          <w:p w:rsidR="007B2F87" w:rsidRPr="0030094E" w:rsidRDefault="0042390A" w:rsidP="00183DD3">
            <w:r>
              <w:t>SMOKA I/S</w:t>
            </w:r>
          </w:p>
        </w:tc>
      </w:tr>
      <w:tr w:rsidR="007B2F87" w:rsidRPr="0030094E" w:rsidTr="00183DD3">
        <w:tc>
          <w:tcPr>
            <w:tcW w:w="2504" w:type="dxa"/>
          </w:tcPr>
          <w:p w:rsidR="007B2F87" w:rsidRPr="0030094E" w:rsidRDefault="007B2F87" w:rsidP="00183DD3">
            <w:pPr>
              <w:rPr>
                <w:rFonts w:cs="Times New Roman"/>
                <w:lang w:eastAsia="da-DK"/>
              </w:rPr>
            </w:pPr>
            <w:r w:rsidRPr="0030094E">
              <w:rPr>
                <w:rFonts w:cs="Times New Roman"/>
                <w:lang w:eastAsia="da-DK"/>
              </w:rPr>
              <w:t>Adresse:</w:t>
            </w:r>
          </w:p>
        </w:tc>
        <w:tc>
          <w:tcPr>
            <w:tcW w:w="4515" w:type="dxa"/>
          </w:tcPr>
          <w:p w:rsidR="007B2F87" w:rsidRPr="0042390A" w:rsidRDefault="0042390A" w:rsidP="00183DD3">
            <w:r w:rsidRPr="0042390A">
              <w:t>U-Vej 7</w:t>
            </w:r>
            <w:r w:rsidR="007B2F87" w:rsidRPr="0042390A">
              <w:t xml:space="preserve">, </w:t>
            </w:r>
            <w:r w:rsidRPr="0042390A">
              <w:t>2300 Kbh. S</w:t>
            </w:r>
          </w:p>
        </w:tc>
      </w:tr>
      <w:tr w:rsidR="007B2F87" w:rsidRPr="0030094E" w:rsidTr="00183DD3">
        <w:tc>
          <w:tcPr>
            <w:tcW w:w="2504" w:type="dxa"/>
          </w:tcPr>
          <w:p w:rsidR="007B2F87" w:rsidRPr="0030094E" w:rsidRDefault="007B2F87" w:rsidP="00183DD3">
            <w:pPr>
              <w:rPr>
                <w:rFonts w:cs="Times New Roman"/>
                <w:lang w:eastAsia="da-DK"/>
              </w:rPr>
            </w:pPr>
            <w:r w:rsidRPr="0030094E">
              <w:rPr>
                <w:rFonts w:cs="Times New Roman"/>
                <w:lang w:eastAsia="da-DK"/>
              </w:rPr>
              <w:t>CVR nr. / P nr.</w:t>
            </w:r>
          </w:p>
        </w:tc>
        <w:tc>
          <w:tcPr>
            <w:tcW w:w="4515" w:type="dxa"/>
          </w:tcPr>
          <w:p w:rsidR="007B2F87" w:rsidRPr="0042390A" w:rsidRDefault="00316256" w:rsidP="00183DD3">
            <w:r>
              <w:t>35433433</w:t>
            </w:r>
            <w:r w:rsidR="007B2F87" w:rsidRPr="0042390A">
              <w:t xml:space="preserve"> / </w:t>
            </w:r>
            <w:r w:rsidR="0042390A" w:rsidRPr="0042390A">
              <w:t>10</w:t>
            </w:r>
            <w:r>
              <w:t>19999536 (U-Vej 7) &amp; 1021235089 (P-Vej 7)</w:t>
            </w:r>
          </w:p>
        </w:tc>
      </w:tr>
      <w:tr w:rsidR="007B2F87" w:rsidRPr="0030094E" w:rsidTr="00183DD3">
        <w:tc>
          <w:tcPr>
            <w:tcW w:w="2504" w:type="dxa"/>
          </w:tcPr>
          <w:p w:rsidR="007B2F87" w:rsidRPr="0030094E" w:rsidRDefault="007B2F87" w:rsidP="00183DD3">
            <w:pPr>
              <w:rPr>
                <w:rFonts w:cs="Times New Roman"/>
                <w:lang w:eastAsia="da-DK"/>
              </w:rPr>
            </w:pPr>
            <w:r w:rsidRPr="0030094E">
              <w:rPr>
                <w:rFonts w:cs="Times New Roman"/>
                <w:lang w:eastAsia="da-DK"/>
              </w:rPr>
              <w:t>Deltagere:</w:t>
            </w:r>
          </w:p>
        </w:tc>
        <w:tc>
          <w:tcPr>
            <w:tcW w:w="4515" w:type="dxa"/>
          </w:tcPr>
          <w:p w:rsidR="002C3F7F" w:rsidRPr="002C3F7F" w:rsidRDefault="002C3F7F" w:rsidP="00183DD3">
            <w:r w:rsidRPr="002C3F7F">
              <w:t>Bente Tange Kallesen</w:t>
            </w:r>
            <w:r w:rsidR="007B2F87" w:rsidRPr="002C3F7F">
              <w:rPr>
                <w:lang w:eastAsia="da-DK"/>
              </w:rPr>
              <w:t xml:space="preserve">, </w:t>
            </w:r>
            <w:r w:rsidRPr="002C3F7F">
              <w:t>SMOKA I/S</w:t>
            </w:r>
          </w:p>
          <w:p w:rsidR="002C3F7F" w:rsidRPr="002C3F7F" w:rsidRDefault="002C3F7F" w:rsidP="00183DD3">
            <w:r w:rsidRPr="002C3F7F">
              <w:t>Dunja Strange, SMOKA I/S</w:t>
            </w:r>
          </w:p>
          <w:p w:rsidR="002C3F7F" w:rsidRPr="002C3F7F" w:rsidRDefault="002C3F7F" w:rsidP="00183DD3">
            <w:r w:rsidRPr="002C3F7F">
              <w:t>Kurt Str</w:t>
            </w:r>
            <w:r w:rsidR="00316256">
              <w:t>øm</w:t>
            </w:r>
            <w:r w:rsidRPr="002C3F7F">
              <w:t>, SMOKA I/S</w:t>
            </w:r>
          </w:p>
          <w:p w:rsidR="007B2F87" w:rsidRDefault="007B2F87" w:rsidP="00183DD3">
            <w:pPr>
              <w:rPr>
                <w:lang w:eastAsia="da-DK"/>
              </w:rPr>
            </w:pPr>
            <w:r w:rsidRPr="00854328">
              <w:rPr>
                <w:highlight w:val="yellow"/>
                <w:lang w:eastAsia="da-DK"/>
              </w:rPr>
              <w:br/>
            </w:r>
            <w:r w:rsidR="002C3F7F">
              <w:t>Lars Klinge</w:t>
            </w:r>
            <w:r w:rsidRPr="0030094E">
              <w:rPr>
                <w:lang w:eastAsia="da-DK"/>
              </w:rPr>
              <w:t>, Center for Miljøbeskyttelse</w:t>
            </w:r>
          </w:p>
          <w:p w:rsidR="002C3F7F" w:rsidRPr="0030094E" w:rsidRDefault="002C3F7F" w:rsidP="00183DD3">
            <w:r>
              <w:t>Lisa Bizzarro</w:t>
            </w:r>
            <w:r w:rsidRPr="0030094E">
              <w:rPr>
                <w:lang w:eastAsia="da-DK"/>
              </w:rPr>
              <w:t>, Center for Miljøbeskyttelse</w:t>
            </w:r>
          </w:p>
        </w:tc>
      </w:tr>
      <w:tr w:rsidR="007B2F87" w:rsidRPr="0030094E" w:rsidTr="00183DD3">
        <w:tc>
          <w:tcPr>
            <w:tcW w:w="2504" w:type="dxa"/>
          </w:tcPr>
          <w:p w:rsidR="007B2F87" w:rsidRPr="0030094E" w:rsidRDefault="007B2F87" w:rsidP="00183DD3">
            <w:pPr>
              <w:rPr>
                <w:rFonts w:cs="Times New Roman"/>
                <w:lang w:eastAsia="da-DK"/>
              </w:rPr>
            </w:pPr>
            <w:r w:rsidRPr="0030094E">
              <w:rPr>
                <w:rFonts w:cs="Times New Roman"/>
                <w:lang w:eastAsia="da-DK"/>
              </w:rPr>
              <w:t>Virksomheden er:</w:t>
            </w:r>
          </w:p>
        </w:tc>
        <w:tc>
          <w:tcPr>
            <w:tcW w:w="4515" w:type="dxa"/>
          </w:tcPr>
          <w:p w:rsidR="007B2F87" w:rsidRPr="0030094E" w:rsidRDefault="007B2F87" w:rsidP="00183DD3">
            <w:pPr>
              <w:rPr>
                <w:lang w:eastAsia="da-DK"/>
              </w:rPr>
            </w:pPr>
            <w:r>
              <w:t xml:space="preserve">Omfattet af </w:t>
            </w:r>
            <w:r w:rsidR="0042390A">
              <w:t>Godkendelsesbekendtgørelsen og Standardbekendtgørelsen</w:t>
            </w:r>
          </w:p>
        </w:tc>
      </w:tr>
      <w:tr w:rsidR="007B2F87" w:rsidRPr="0030094E" w:rsidTr="00183DD3">
        <w:tc>
          <w:tcPr>
            <w:tcW w:w="2504" w:type="dxa"/>
          </w:tcPr>
          <w:p w:rsidR="007B2F87" w:rsidRPr="0030094E" w:rsidRDefault="007B2F87" w:rsidP="00183DD3">
            <w:pPr>
              <w:rPr>
                <w:rFonts w:cs="Times New Roman"/>
                <w:lang w:eastAsia="da-DK"/>
              </w:rPr>
            </w:pPr>
            <w:r w:rsidRPr="0030094E">
              <w:rPr>
                <w:rFonts w:cs="Times New Roman"/>
                <w:lang w:eastAsia="da-DK"/>
              </w:rPr>
              <w:t>Tilsynet blev foretaget som:</w:t>
            </w:r>
          </w:p>
        </w:tc>
        <w:tc>
          <w:tcPr>
            <w:tcW w:w="4515" w:type="dxa"/>
          </w:tcPr>
          <w:p w:rsidR="007B2F87" w:rsidRPr="0030094E" w:rsidRDefault="007B2F87" w:rsidP="00183DD3">
            <w:pPr>
              <w:rPr>
                <w:lang w:eastAsia="da-DK"/>
              </w:rPr>
            </w:pPr>
            <w:r w:rsidRPr="0042390A">
              <w:rPr>
                <w:lang w:eastAsia="da-DK"/>
              </w:rPr>
              <w:t>Varslet</w:t>
            </w:r>
            <w:r>
              <w:rPr>
                <w:lang w:eastAsia="da-DK"/>
              </w:rPr>
              <w:t xml:space="preserve"> </w:t>
            </w:r>
          </w:p>
        </w:tc>
      </w:tr>
      <w:tr w:rsidR="007B2F87" w:rsidRPr="0030094E" w:rsidTr="00183DD3">
        <w:tc>
          <w:tcPr>
            <w:tcW w:w="2504" w:type="dxa"/>
          </w:tcPr>
          <w:p w:rsidR="007B2F87" w:rsidRPr="0030094E" w:rsidRDefault="007B2F87" w:rsidP="00183DD3">
            <w:pPr>
              <w:rPr>
                <w:rFonts w:cs="Times New Roman"/>
                <w:lang w:eastAsia="da-DK"/>
              </w:rPr>
            </w:pPr>
            <w:r w:rsidRPr="0030094E">
              <w:rPr>
                <w:rFonts w:cs="Times New Roman"/>
                <w:lang w:eastAsia="da-DK"/>
              </w:rPr>
              <w:t>Formålet med tilsynet var at:</w:t>
            </w:r>
          </w:p>
        </w:tc>
        <w:tc>
          <w:tcPr>
            <w:tcW w:w="4515" w:type="dxa"/>
          </w:tcPr>
          <w:p w:rsidR="007B2F87" w:rsidRPr="0030094E" w:rsidRDefault="007B2F87" w:rsidP="00183DD3">
            <w:pPr>
              <w:rPr>
                <w:lang w:eastAsia="da-DK"/>
              </w:rPr>
            </w:pPr>
            <w:r w:rsidRPr="0030094E">
              <w:rPr>
                <w:lang w:eastAsia="da-DK"/>
              </w:rPr>
              <w:t>Gennemgå virksomhedens miljøforhold</w:t>
            </w:r>
            <w:r w:rsidR="0042390A">
              <w:rPr>
                <w:lang w:eastAsia="da-DK"/>
              </w:rPr>
              <w:t xml:space="preserve"> og vilkår i m</w:t>
            </w:r>
            <w:r w:rsidRPr="0030094E">
              <w:rPr>
                <w:lang w:eastAsia="da-DK"/>
              </w:rPr>
              <w:t>iljøgodkendelse</w:t>
            </w:r>
            <w:r w:rsidR="0042390A">
              <w:rPr>
                <w:lang w:eastAsia="da-DK"/>
              </w:rPr>
              <w:t>n</w:t>
            </w:r>
          </w:p>
          <w:p w:rsidR="007B2F87" w:rsidRPr="0030094E" w:rsidRDefault="007B2F87" w:rsidP="00183DD3">
            <w:pPr>
              <w:rPr>
                <w:lang w:eastAsia="da-DK"/>
              </w:rPr>
            </w:pPr>
          </w:p>
        </w:tc>
      </w:tr>
      <w:tr w:rsidR="007B2F87" w:rsidRPr="0030094E" w:rsidTr="00183DD3">
        <w:tc>
          <w:tcPr>
            <w:tcW w:w="2504" w:type="dxa"/>
          </w:tcPr>
          <w:p w:rsidR="007B2F87" w:rsidRPr="0030094E" w:rsidRDefault="007B2F87" w:rsidP="00183DD3">
            <w:pPr>
              <w:rPr>
                <w:rFonts w:cs="Times New Roman"/>
                <w:lang w:eastAsia="da-DK"/>
              </w:rPr>
            </w:pPr>
            <w:r w:rsidRPr="0030094E">
              <w:rPr>
                <w:rFonts w:cs="Times New Roman"/>
                <w:lang w:eastAsia="da-DK"/>
              </w:rPr>
              <w:t>Jordforurening:</w:t>
            </w:r>
          </w:p>
        </w:tc>
        <w:tc>
          <w:tcPr>
            <w:tcW w:w="4515" w:type="dxa"/>
          </w:tcPr>
          <w:p w:rsidR="007B2F87" w:rsidRPr="0030094E" w:rsidRDefault="007B2F87" w:rsidP="00183DD3">
            <w:pPr>
              <w:rPr>
                <w:lang w:eastAsia="da-DK"/>
              </w:rPr>
            </w:pPr>
            <w:r w:rsidRPr="0030094E">
              <w:rPr>
                <w:lang w:eastAsia="da-DK"/>
              </w:rPr>
              <w:t>Der blev ikke observeret ny jordforurening på tilsynet</w:t>
            </w:r>
          </w:p>
        </w:tc>
      </w:tr>
      <w:tr w:rsidR="007B2F87" w:rsidRPr="0030094E" w:rsidTr="00183DD3">
        <w:tc>
          <w:tcPr>
            <w:tcW w:w="2504" w:type="dxa"/>
          </w:tcPr>
          <w:p w:rsidR="007B2F87" w:rsidRPr="0030094E" w:rsidRDefault="007B2F87" w:rsidP="00183DD3">
            <w:pPr>
              <w:rPr>
                <w:rFonts w:cs="Times New Roman"/>
                <w:lang w:eastAsia="da-DK"/>
              </w:rPr>
            </w:pPr>
            <w:r w:rsidRPr="0030094E">
              <w:rPr>
                <w:rFonts w:cs="Times New Roman"/>
                <w:lang w:eastAsia="da-DK"/>
              </w:rPr>
              <w:t>Resultat af seneste egenkontrol:</w:t>
            </w:r>
          </w:p>
        </w:tc>
        <w:tc>
          <w:tcPr>
            <w:tcW w:w="4515" w:type="dxa"/>
          </w:tcPr>
          <w:p w:rsidR="007B2F87" w:rsidRPr="0030094E" w:rsidRDefault="007B2F87" w:rsidP="00183DD3">
            <w:pPr>
              <w:rPr>
                <w:lang w:eastAsia="da-DK"/>
              </w:rPr>
            </w:pPr>
            <w:r w:rsidRPr="0030094E">
              <w:rPr>
                <w:lang w:eastAsia="da-DK"/>
              </w:rPr>
              <w:t>Ingen bemærkninger</w:t>
            </w:r>
          </w:p>
          <w:p w:rsidR="007B2F87" w:rsidRPr="0030094E" w:rsidRDefault="007B2F87" w:rsidP="00183DD3">
            <w:pPr>
              <w:rPr>
                <w:lang w:eastAsia="da-DK"/>
              </w:rPr>
            </w:pPr>
          </w:p>
        </w:tc>
      </w:tr>
      <w:tr w:rsidR="007B2F87" w:rsidRPr="0030094E" w:rsidTr="00183DD3">
        <w:tc>
          <w:tcPr>
            <w:tcW w:w="2504" w:type="dxa"/>
          </w:tcPr>
          <w:p w:rsidR="007B2F87" w:rsidRPr="0030094E" w:rsidRDefault="007B2F87" w:rsidP="00183DD3">
            <w:pPr>
              <w:rPr>
                <w:rFonts w:cs="Times New Roman"/>
                <w:lang w:eastAsia="da-DK"/>
              </w:rPr>
            </w:pPr>
            <w:r w:rsidRPr="0030094E">
              <w:rPr>
                <w:rFonts w:cs="Times New Roman"/>
                <w:lang w:eastAsia="da-DK"/>
              </w:rPr>
              <w:t>Konklusion på tilsynet:</w:t>
            </w:r>
          </w:p>
        </w:tc>
        <w:tc>
          <w:tcPr>
            <w:tcW w:w="4515" w:type="dxa"/>
          </w:tcPr>
          <w:p w:rsidR="007B2F87" w:rsidRPr="0030094E" w:rsidRDefault="007B2F87" w:rsidP="00183DD3">
            <w:pPr>
              <w:rPr>
                <w:bCs/>
                <w:lang w:eastAsia="da-DK"/>
              </w:rPr>
            </w:pPr>
            <w:r w:rsidRPr="0030094E">
              <w:rPr>
                <w:bCs/>
                <w:lang w:eastAsia="da-DK"/>
              </w:rPr>
              <w:t>Tilsynet gav ikke anledning til bemærkninger</w:t>
            </w:r>
          </w:p>
          <w:p w:rsidR="007B2F87" w:rsidRPr="0030094E" w:rsidRDefault="007B2F87" w:rsidP="00EE47F9">
            <w:pPr>
              <w:rPr>
                <w:lang w:eastAsia="da-DK"/>
              </w:rPr>
            </w:pPr>
          </w:p>
        </w:tc>
      </w:tr>
    </w:tbl>
    <w:p w:rsidR="007B2F87" w:rsidRDefault="007B2F87" w:rsidP="007B2F87">
      <w:pPr>
        <w:rPr>
          <w:b/>
        </w:rPr>
      </w:pPr>
      <w:r>
        <w:rPr>
          <w:b/>
        </w:rPr>
        <w:br w:type="textWrapping" w:clear="all"/>
      </w:r>
    </w:p>
    <w:p w:rsidR="007B2F87" w:rsidRDefault="007B2F87" w:rsidP="007B2F87">
      <w:pPr>
        <w:rPr>
          <w:b/>
        </w:rPr>
      </w:pPr>
      <w:r>
        <w:rPr>
          <w:b/>
        </w:rPr>
        <w:t>Offentliggørelse af tilsynsrapporten</w:t>
      </w:r>
    </w:p>
    <w:p w:rsidR="007B2F87" w:rsidRPr="00391E9C" w:rsidRDefault="007B2F87" w:rsidP="007B2F87">
      <w:r>
        <w:t>Denne rapport offentliggøres jf. § 12 i tilsynsbekendtgørelsen</w:t>
      </w:r>
      <w:r>
        <w:rPr>
          <w:rStyle w:val="Fodnotehenvisning"/>
        </w:rPr>
        <w:footnoteReference w:id="1"/>
      </w:r>
      <w:r>
        <w:t xml:space="preserve"> senest 4 måneder efter tilsynsbesøget har fundet sted. </w:t>
      </w:r>
      <w:r w:rsidRPr="00A62039">
        <w:t xml:space="preserve">Offentliggørelsen sker via </w:t>
      </w:r>
      <w:r>
        <w:t xml:space="preserve">Danmarks Miljø Administration (DMA) på </w:t>
      </w:r>
      <w:hyperlink r:id="rId9" w:history="1">
        <w:r w:rsidRPr="003D38A9">
          <w:rPr>
            <w:rStyle w:val="Hyperlink"/>
          </w:rPr>
          <w:t>https://dma.mst.dk/</w:t>
        </w:r>
      </w:hyperlink>
      <w:r>
        <w:t xml:space="preserve"> .</w:t>
      </w:r>
    </w:p>
    <w:p w:rsidR="007B2F87" w:rsidRDefault="007B2F87" w:rsidP="007B2F87">
      <w:pPr>
        <w:rPr>
          <w:b/>
        </w:rPr>
      </w:pPr>
    </w:p>
    <w:p w:rsidR="007B2F87" w:rsidRPr="004762EB" w:rsidRDefault="007B2F87" w:rsidP="007B2F87">
      <w:pPr>
        <w:rPr>
          <w:b/>
        </w:rPr>
      </w:pPr>
      <w:r w:rsidRPr="00F630A9">
        <w:rPr>
          <w:b/>
        </w:rPr>
        <w:t xml:space="preserve">Brugerbetaling på miljøområdet </w:t>
      </w:r>
      <w:r>
        <w:rPr>
          <w:b/>
        </w:rPr>
        <w:br/>
      </w:r>
      <w:r w:rsidRPr="00F630A9">
        <w:t xml:space="preserve">Der vil en gang årligt blive opkrævet gebyr for tilsyn, sagsbehandling m.v. Opkrævninger sker ved udgangen af november måned og dækker over perioden 1. november til 31. oktober. Center for </w:t>
      </w:r>
      <w:r w:rsidRPr="00F630A9">
        <w:lastRenderedPageBreak/>
        <w:t>Miljøbeskyttelses afgørelse om fastsættelse af gebyr kan ikke påklages</w:t>
      </w:r>
      <w:r w:rsidRPr="00F630A9">
        <w:rPr>
          <w:rStyle w:val="Fodnotehenvisning"/>
          <w:color w:val="000000" w:themeColor="text1"/>
        </w:rPr>
        <w:footnoteReference w:id="2"/>
      </w:r>
      <w:r w:rsidRPr="00F630A9">
        <w:t>.</w:t>
      </w:r>
    </w:p>
    <w:p w:rsidR="007B2F87" w:rsidRDefault="007B2F87" w:rsidP="007B2F87">
      <w:pPr>
        <w:rPr>
          <w:b/>
          <w:bCs/>
        </w:rPr>
      </w:pPr>
    </w:p>
    <w:p w:rsidR="007B2F87" w:rsidRPr="00F630A9" w:rsidRDefault="007B2F87" w:rsidP="007B2F87">
      <w:r w:rsidRPr="00F630A9">
        <w:rPr>
          <w:b/>
          <w:bCs/>
        </w:rPr>
        <w:t xml:space="preserve">Miljørisikovurdering af virksomheden </w:t>
      </w:r>
      <w:r>
        <w:br/>
      </w:r>
      <w:proofErr w:type="spellStart"/>
      <w:r w:rsidRPr="00F630A9">
        <w:t>Virksomheden</w:t>
      </w:r>
      <w:proofErr w:type="spellEnd"/>
      <w:r w:rsidRPr="00F630A9">
        <w:t xml:space="preserve"> skal vurderes efter den nye bekendtgørelse om miljøtilsyn</w:t>
      </w:r>
      <w:r w:rsidRPr="00F630A9">
        <w:rPr>
          <w:rStyle w:val="Fodnotehenvisning"/>
          <w:color w:val="000000" w:themeColor="text1"/>
        </w:rPr>
        <w:footnoteReference w:id="3"/>
      </w:r>
      <w:r w:rsidRPr="00F630A9">
        <w:t>, hvor der stilles krav om vurdering af tilsynspligtige virksomheder på baggrund af virksomhedens miljøarbejde, regelefterlevelse og potentiel miljøforurening. Miljørisikovurderingen ligger til grund for bestemmelse af den fremtidige tilsynsfrekvens.</w:t>
      </w:r>
    </w:p>
    <w:p w:rsidR="007B2F87" w:rsidRPr="000739BB" w:rsidRDefault="007B2F87" w:rsidP="007B2F87">
      <w:pPr>
        <w:keepNext/>
        <w:keepLines/>
        <w:rPr>
          <w:szCs w:val="24"/>
        </w:rPr>
      </w:pPr>
      <w:bookmarkStart w:id="0" w:name="kkHilsen"/>
      <w:r>
        <w:rPr>
          <w:szCs w:val="24"/>
        </w:rPr>
        <w:br/>
      </w:r>
      <w:r w:rsidRPr="000739BB">
        <w:rPr>
          <w:szCs w:val="24"/>
        </w:rPr>
        <w:t>Med venlig hilsen</w:t>
      </w:r>
      <w:bookmarkEnd w:id="0"/>
    </w:p>
    <w:p w:rsidR="007B2F87" w:rsidRPr="000739BB" w:rsidRDefault="007B2F87" w:rsidP="007B2F87">
      <w:pPr>
        <w:keepNext/>
        <w:keepLines/>
        <w:rPr>
          <w:szCs w:val="24"/>
        </w:rPr>
      </w:pPr>
    </w:p>
    <w:p w:rsidR="007B2F87" w:rsidRDefault="00EE47F9" w:rsidP="007B2F87">
      <w:pPr>
        <w:keepNext/>
        <w:keepLines/>
        <w:tabs>
          <w:tab w:val="left" w:pos="4020"/>
        </w:tabs>
        <w:rPr>
          <w:szCs w:val="24"/>
        </w:rPr>
      </w:pPr>
      <w:r>
        <w:rPr>
          <w:szCs w:val="24"/>
        </w:rPr>
        <w:t>Lars Klinge og Lisa Bizzarro</w:t>
      </w:r>
    </w:p>
    <w:p w:rsidR="00EE47F9" w:rsidRDefault="00EE47F9" w:rsidP="007B2F87">
      <w:pPr>
        <w:keepNext/>
        <w:keepLines/>
        <w:tabs>
          <w:tab w:val="left" w:pos="4020"/>
        </w:tabs>
        <w:rPr>
          <w:szCs w:val="24"/>
        </w:rPr>
      </w:pPr>
      <w:r>
        <w:rPr>
          <w:szCs w:val="24"/>
        </w:rPr>
        <w:t xml:space="preserve">Miljøsagsbehandlere, </w:t>
      </w:r>
    </w:p>
    <w:p w:rsidR="00EE47F9" w:rsidRPr="000739BB" w:rsidRDefault="00EE47F9" w:rsidP="007B2F87">
      <w:pPr>
        <w:keepNext/>
        <w:keepLines/>
        <w:tabs>
          <w:tab w:val="left" w:pos="4020"/>
        </w:tabs>
        <w:rPr>
          <w:szCs w:val="24"/>
        </w:rPr>
      </w:pPr>
      <w:r>
        <w:rPr>
          <w:szCs w:val="24"/>
        </w:rPr>
        <w:t>Center for Miljøbeskyttelse.</w:t>
      </w:r>
    </w:p>
    <w:p w:rsidR="007B2F87" w:rsidRPr="000739BB" w:rsidRDefault="007B2F87" w:rsidP="007B2F87">
      <w:pPr>
        <w:keepNext/>
        <w:keepLines/>
        <w:rPr>
          <w:szCs w:val="24"/>
        </w:rPr>
      </w:pPr>
    </w:p>
    <w:p w:rsidR="007B2F87" w:rsidRPr="000739BB" w:rsidRDefault="007B2F87" w:rsidP="007B2F87">
      <w:pPr>
        <w:keepNext/>
        <w:keepLines/>
        <w:rPr>
          <w:szCs w:val="24"/>
        </w:rPr>
      </w:pPr>
    </w:p>
    <w:p w:rsidR="007B2F87" w:rsidRPr="000739BB" w:rsidRDefault="007B2F87" w:rsidP="007B2F87">
      <w:pPr>
        <w:keepNext/>
        <w:keepLines/>
        <w:rPr>
          <w:szCs w:val="24"/>
        </w:rPr>
      </w:pPr>
      <w:bookmarkStart w:id="1" w:name="kkLangEmail"/>
      <w:bookmarkEnd w:id="1"/>
    </w:p>
    <w:p w:rsidR="007B2F87" w:rsidRDefault="007B2F87" w:rsidP="007B2F87">
      <w:pPr>
        <w:rPr>
          <w:szCs w:val="24"/>
        </w:rPr>
      </w:pPr>
    </w:p>
    <w:p w:rsidR="00004F78" w:rsidRDefault="00004F78" w:rsidP="007B2F87">
      <w:pPr>
        <w:rPr>
          <w:color w:val="000000" w:themeColor="text1"/>
          <w:szCs w:val="24"/>
        </w:rPr>
        <w:sectPr w:rsidR="00004F78" w:rsidSect="00B22DE9">
          <w:headerReference w:type="even" r:id="rId10"/>
          <w:headerReference w:type="default" r:id="rId11"/>
          <w:footerReference w:type="even" r:id="rId12"/>
          <w:footerReference w:type="default" r:id="rId13"/>
          <w:headerReference w:type="first" r:id="rId14"/>
          <w:footerReference w:type="first" r:id="rId15"/>
          <w:pgSz w:w="11906" w:h="16838" w:code="9"/>
          <w:pgMar w:top="2268" w:right="3402" w:bottom="1134" w:left="1701" w:header="425" w:footer="709" w:gutter="0"/>
          <w:cols w:space="708"/>
          <w:titlePg/>
          <w:docGrid w:linePitch="360"/>
        </w:sectPr>
      </w:pPr>
    </w:p>
    <w:p w:rsidR="00004F78" w:rsidRDefault="00004F78" w:rsidP="00183DD3">
      <w:pPr>
        <w:tabs>
          <w:tab w:val="left" w:pos="1950"/>
        </w:tabs>
      </w:pPr>
    </w:p>
    <w:p w:rsidR="00183DD3" w:rsidRPr="0042390A" w:rsidRDefault="0042390A" w:rsidP="00183DD3">
      <w:pPr>
        <w:tabs>
          <w:tab w:val="left" w:pos="1950"/>
        </w:tabs>
        <w:rPr>
          <w:b/>
          <w:sz w:val="32"/>
          <w:szCs w:val="32"/>
        </w:rPr>
      </w:pPr>
      <w:r w:rsidRPr="0042390A">
        <w:rPr>
          <w:b/>
          <w:sz w:val="32"/>
          <w:szCs w:val="32"/>
        </w:rPr>
        <w:t>Gennemgang af vilkår</w:t>
      </w:r>
    </w:p>
    <w:p w:rsidR="00183DD3" w:rsidRDefault="00183DD3" w:rsidP="00183DD3">
      <w:pPr>
        <w:tabs>
          <w:tab w:val="left" w:pos="1950"/>
        </w:tabs>
      </w:pPr>
    </w:p>
    <w:tbl>
      <w:tblPr>
        <w:tblStyle w:val="Tabel-Gitter"/>
        <w:tblW w:w="0" w:type="auto"/>
        <w:tblLook w:val="04A0" w:firstRow="1" w:lastRow="0" w:firstColumn="1" w:lastColumn="0" w:noHBand="0" w:noVBand="1"/>
      </w:tblPr>
      <w:tblGrid>
        <w:gridCol w:w="8926"/>
        <w:gridCol w:w="850"/>
        <w:gridCol w:w="5612"/>
      </w:tblGrid>
      <w:tr w:rsidR="0042390A" w:rsidRPr="00021B9C" w:rsidTr="00EC463E">
        <w:trPr>
          <w:tblHeader/>
        </w:trPr>
        <w:tc>
          <w:tcPr>
            <w:tcW w:w="8926" w:type="dxa"/>
          </w:tcPr>
          <w:p w:rsidR="0042390A" w:rsidRPr="00021B9C" w:rsidRDefault="0042390A" w:rsidP="00183DD3">
            <w:pPr>
              <w:rPr>
                <w:b/>
              </w:rPr>
            </w:pPr>
            <w:r w:rsidRPr="00021B9C">
              <w:rPr>
                <w:b/>
              </w:rPr>
              <w:t>VILKÅR</w:t>
            </w:r>
          </w:p>
        </w:tc>
        <w:tc>
          <w:tcPr>
            <w:tcW w:w="850" w:type="dxa"/>
          </w:tcPr>
          <w:p w:rsidR="0042390A" w:rsidRPr="00021B9C" w:rsidRDefault="0042390A" w:rsidP="00EE47F9">
            <w:pPr>
              <w:ind w:left="-36"/>
              <w:jc w:val="center"/>
              <w:rPr>
                <w:b/>
              </w:rPr>
            </w:pPr>
            <w:r>
              <w:rPr>
                <w:b/>
              </w:rPr>
              <w:t>OK?</w:t>
            </w:r>
          </w:p>
        </w:tc>
        <w:tc>
          <w:tcPr>
            <w:tcW w:w="5612" w:type="dxa"/>
          </w:tcPr>
          <w:p w:rsidR="0042390A" w:rsidRPr="00021B9C" w:rsidRDefault="0042390A" w:rsidP="00EE47F9">
            <w:pPr>
              <w:rPr>
                <w:b/>
              </w:rPr>
            </w:pPr>
            <w:r w:rsidRPr="00021B9C">
              <w:rPr>
                <w:b/>
              </w:rPr>
              <w:t>BEMÆRKNINGER</w:t>
            </w:r>
          </w:p>
        </w:tc>
      </w:tr>
      <w:tr w:rsidR="0042390A" w:rsidRPr="00021B9C" w:rsidTr="00EC463E">
        <w:tc>
          <w:tcPr>
            <w:tcW w:w="8926" w:type="dxa"/>
          </w:tcPr>
          <w:p w:rsidR="0042390A" w:rsidRPr="00021B9C" w:rsidRDefault="0042390A" w:rsidP="00183DD3">
            <w:pPr>
              <w:spacing w:before="240" w:after="120"/>
              <w:rPr>
                <w:b/>
              </w:rPr>
            </w:pPr>
            <w:r w:rsidRPr="00021B9C">
              <w:rPr>
                <w:b/>
              </w:rPr>
              <w:t>1. Generelt</w:t>
            </w:r>
          </w:p>
        </w:tc>
        <w:tc>
          <w:tcPr>
            <w:tcW w:w="850" w:type="dxa"/>
          </w:tcPr>
          <w:p w:rsidR="0042390A" w:rsidRPr="00021B9C" w:rsidRDefault="0042390A" w:rsidP="00EE47F9">
            <w:pPr>
              <w:ind w:left="-36"/>
              <w:jc w:val="center"/>
            </w:pPr>
          </w:p>
        </w:tc>
        <w:tc>
          <w:tcPr>
            <w:tcW w:w="5612" w:type="dxa"/>
          </w:tcPr>
          <w:p w:rsidR="0042390A" w:rsidRPr="00021B9C" w:rsidRDefault="0042390A" w:rsidP="00EE47F9"/>
        </w:tc>
      </w:tr>
      <w:tr w:rsidR="0042390A" w:rsidRPr="00021B9C" w:rsidTr="00EC463E">
        <w:tc>
          <w:tcPr>
            <w:tcW w:w="8926" w:type="dxa"/>
          </w:tcPr>
          <w:p w:rsidR="0042390A" w:rsidRPr="00021B9C" w:rsidRDefault="0042390A" w:rsidP="00183DD3">
            <w:pPr>
              <w:pStyle w:val="Listeafsnit"/>
              <w:numPr>
                <w:ilvl w:val="0"/>
                <w:numId w:val="3"/>
              </w:numPr>
            </w:pPr>
            <w:r w:rsidRPr="00021B9C">
              <w:t xml:space="preserve">Ved ophør af virksomhedens drift skal virksomheden træffe de nødvendige foranstaltninger for at undgå forureningsfare og for at efterlade stedet i tilfredsstillende tilstand. En redegørelse for disse foranstaltninger skal fremsendes til tilsynsmyndigheden senest 3 måneder, før driften ophører. </w:t>
            </w:r>
          </w:p>
        </w:tc>
        <w:tc>
          <w:tcPr>
            <w:tcW w:w="850" w:type="dxa"/>
          </w:tcPr>
          <w:p w:rsidR="0042390A" w:rsidRPr="00021B9C" w:rsidRDefault="00EE47F9" w:rsidP="00EE47F9">
            <w:pPr>
              <w:ind w:left="-36"/>
              <w:jc w:val="center"/>
            </w:pPr>
            <w:r>
              <w:t>-</w:t>
            </w:r>
          </w:p>
        </w:tc>
        <w:tc>
          <w:tcPr>
            <w:tcW w:w="5612" w:type="dxa"/>
          </w:tcPr>
          <w:p w:rsidR="0042390A" w:rsidRPr="00021B9C" w:rsidRDefault="00EE47F9" w:rsidP="00EE47F9">
            <w:r>
              <w:t>Ikke relevant ved tilsynet</w:t>
            </w:r>
          </w:p>
        </w:tc>
      </w:tr>
      <w:tr w:rsidR="0042390A" w:rsidRPr="00021B9C" w:rsidTr="00EC463E">
        <w:tc>
          <w:tcPr>
            <w:tcW w:w="8926" w:type="dxa"/>
          </w:tcPr>
          <w:p w:rsidR="0042390A" w:rsidRPr="00021B9C" w:rsidRDefault="0042390A" w:rsidP="00183DD3">
            <w:pPr>
              <w:pStyle w:val="Listeafsnit"/>
              <w:numPr>
                <w:ilvl w:val="0"/>
                <w:numId w:val="3"/>
              </w:numPr>
            </w:pPr>
            <w:r w:rsidRPr="00021B9C">
              <w:t>Oprydning på arealet efter ophør af virksomheden skal være afsluttet senest 3 måneder efter driftens ophør.</w:t>
            </w:r>
          </w:p>
        </w:tc>
        <w:tc>
          <w:tcPr>
            <w:tcW w:w="850" w:type="dxa"/>
          </w:tcPr>
          <w:p w:rsidR="0042390A" w:rsidRPr="00021B9C" w:rsidRDefault="00EE47F9" w:rsidP="00EE47F9">
            <w:pPr>
              <w:ind w:left="-36"/>
              <w:jc w:val="center"/>
            </w:pPr>
            <w:r>
              <w:t>-</w:t>
            </w:r>
          </w:p>
        </w:tc>
        <w:tc>
          <w:tcPr>
            <w:tcW w:w="5612" w:type="dxa"/>
          </w:tcPr>
          <w:p w:rsidR="0042390A" w:rsidRPr="00021B9C" w:rsidRDefault="00EE47F9" w:rsidP="00EE47F9">
            <w:r>
              <w:t>Ikke relevant ved tilsynet</w:t>
            </w:r>
          </w:p>
        </w:tc>
      </w:tr>
      <w:tr w:rsidR="0042390A" w:rsidRPr="00021B9C" w:rsidTr="00EC463E">
        <w:tc>
          <w:tcPr>
            <w:tcW w:w="8926" w:type="dxa"/>
          </w:tcPr>
          <w:p w:rsidR="0042390A" w:rsidRPr="00021B9C" w:rsidRDefault="0042390A" w:rsidP="00183DD3">
            <w:pPr>
              <w:pStyle w:val="Listeafsnit"/>
              <w:numPr>
                <w:ilvl w:val="0"/>
                <w:numId w:val="3"/>
              </w:numPr>
            </w:pPr>
            <w:r w:rsidRPr="00021B9C">
              <w:t>Ved udlejning eller hel eller delvis overdragelse til andre af drift, grund eller udstyr skal Center for Miljøbeskyttelse orienteres senest en uge før udlejning/overdragelse finder sted.</w:t>
            </w:r>
          </w:p>
        </w:tc>
        <w:tc>
          <w:tcPr>
            <w:tcW w:w="850" w:type="dxa"/>
          </w:tcPr>
          <w:p w:rsidR="0042390A" w:rsidRPr="00021B9C" w:rsidRDefault="00EE47F9" w:rsidP="00EE47F9">
            <w:pPr>
              <w:ind w:left="-36"/>
              <w:jc w:val="center"/>
            </w:pPr>
            <w:r>
              <w:t>-</w:t>
            </w:r>
          </w:p>
        </w:tc>
        <w:tc>
          <w:tcPr>
            <w:tcW w:w="5612" w:type="dxa"/>
          </w:tcPr>
          <w:p w:rsidR="0042390A" w:rsidRPr="00021B9C" w:rsidRDefault="00EE47F9" w:rsidP="00EE47F9">
            <w:r>
              <w:t>Ikke relevant ved tilsynet</w:t>
            </w:r>
          </w:p>
        </w:tc>
      </w:tr>
      <w:tr w:rsidR="0042390A" w:rsidRPr="00021B9C" w:rsidTr="00EC463E">
        <w:tc>
          <w:tcPr>
            <w:tcW w:w="8926" w:type="dxa"/>
          </w:tcPr>
          <w:p w:rsidR="0042390A" w:rsidRPr="00021B9C" w:rsidRDefault="0042390A" w:rsidP="00183DD3">
            <w:pPr>
              <w:pStyle w:val="Listeafsnit"/>
              <w:numPr>
                <w:ilvl w:val="0"/>
                <w:numId w:val="3"/>
              </w:numPr>
            </w:pPr>
            <w:r w:rsidRPr="00021B9C">
              <w:rPr>
                <w:szCs w:val="24"/>
              </w:rPr>
              <w:t>Virksomheden skal senest 3 måneder efter modtagelsen af denne miljøgodkendelse redegøre for, at oplag, farligt affald og kloaksystemer er passende sikret mod sandsynlige skader som følge af orkan eller andre voldsomme meteorologiske fænomener, herunder at store regnvandsmængder kan bortledes, inden de forårsager omfattende skader.</w:t>
            </w:r>
          </w:p>
        </w:tc>
        <w:tc>
          <w:tcPr>
            <w:tcW w:w="850" w:type="dxa"/>
          </w:tcPr>
          <w:p w:rsidR="0042390A" w:rsidRPr="00021B9C" w:rsidRDefault="00EE47F9" w:rsidP="00EE47F9">
            <w:pPr>
              <w:ind w:left="-36"/>
              <w:jc w:val="center"/>
              <w:rPr>
                <w:szCs w:val="24"/>
              </w:rPr>
            </w:pPr>
            <w:r>
              <w:rPr>
                <w:szCs w:val="24"/>
              </w:rPr>
              <w:t>OK</w:t>
            </w:r>
          </w:p>
        </w:tc>
        <w:tc>
          <w:tcPr>
            <w:tcW w:w="5612" w:type="dxa"/>
          </w:tcPr>
          <w:p w:rsidR="00EE47F9" w:rsidRDefault="00EE47F9" w:rsidP="00EE47F9">
            <w:pPr>
              <w:rPr>
                <w:szCs w:val="24"/>
              </w:rPr>
            </w:pPr>
            <w:r>
              <w:rPr>
                <w:szCs w:val="24"/>
              </w:rPr>
              <w:t xml:space="preserve">Fremsendt 9. oktober 2018 pr. mail. </w:t>
            </w:r>
          </w:p>
          <w:p w:rsidR="0042390A" w:rsidRPr="00021B9C" w:rsidRDefault="00EE47F9" w:rsidP="00EE47F9">
            <w:pPr>
              <w:rPr>
                <w:szCs w:val="24"/>
              </w:rPr>
            </w:pPr>
            <w:r>
              <w:rPr>
                <w:szCs w:val="24"/>
              </w:rPr>
              <w:t>Der er udarbejdet en i</w:t>
            </w:r>
            <w:r w:rsidRPr="00EE47F9">
              <w:rPr>
                <w:szCs w:val="24"/>
              </w:rPr>
              <w:t>nstruks til forebyggelse af miljøuheld på pladsen i tilfælde af storm og stormflod.</w:t>
            </w:r>
          </w:p>
        </w:tc>
      </w:tr>
      <w:tr w:rsidR="0042390A" w:rsidRPr="00021B9C" w:rsidTr="00EC463E">
        <w:tc>
          <w:tcPr>
            <w:tcW w:w="8926" w:type="dxa"/>
          </w:tcPr>
          <w:p w:rsidR="0042390A" w:rsidRPr="00021B9C" w:rsidRDefault="0042390A" w:rsidP="00183DD3">
            <w:pPr>
              <w:spacing w:before="240" w:after="120"/>
              <w:rPr>
                <w:b/>
              </w:rPr>
            </w:pPr>
            <w:r w:rsidRPr="00021B9C">
              <w:rPr>
                <w:b/>
              </w:rPr>
              <w:t>2. Indretning og drift</w:t>
            </w:r>
          </w:p>
        </w:tc>
        <w:tc>
          <w:tcPr>
            <w:tcW w:w="850" w:type="dxa"/>
          </w:tcPr>
          <w:p w:rsidR="0042390A" w:rsidRPr="00021B9C" w:rsidRDefault="0042390A" w:rsidP="00EE47F9">
            <w:pPr>
              <w:spacing w:before="240" w:after="120"/>
              <w:ind w:left="-36"/>
              <w:jc w:val="center"/>
              <w:rPr>
                <w:b/>
              </w:rPr>
            </w:pPr>
          </w:p>
        </w:tc>
        <w:tc>
          <w:tcPr>
            <w:tcW w:w="5612" w:type="dxa"/>
          </w:tcPr>
          <w:p w:rsidR="0042390A" w:rsidRPr="00021B9C" w:rsidRDefault="0042390A" w:rsidP="00EE47F9">
            <w:pPr>
              <w:spacing w:before="240" w:after="120"/>
              <w:rPr>
                <w:b/>
              </w:rPr>
            </w:pPr>
          </w:p>
        </w:tc>
      </w:tr>
      <w:tr w:rsidR="0042390A" w:rsidRPr="00021B9C" w:rsidTr="00EC463E">
        <w:tc>
          <w:tcPr>
            <w:tcW w:w="8926" w:type="dxa"/>
          </w:tcPr>
          <w:p w:rsidR="0042390A" w:rsidRPr="00021B9C" w:rsidRDefault="0042390A" w:rsidP="00183DD3">
            <w:pPr>
              <w:pStyle w:val="Listeafsnit"/>
              <w:numPr>
                <w:ilvl w:val="0"/>
                <w:numId w:val="3"/>
              </w:numPr>
            </w:pPr>
            <w:r w:rsidRPr="00021B9C">
              <w:t>Virksomheden skal altid være bemandet, når den er åben for aflevering af farligt affald.</w:t>
            </w:r>
          </w:p>
        </w:tc>
        <w:tc>
          <w:tcPr>
            <w:tcW w:w="850" w:type="dxa"/>
          </w:tcPr>
          <w:p w:rsidR="0042390A" w:rsidRPr="00021B9C" w:rsidRDefault="00595903" w:rsidP="00EE47F9">
            <w:pPr>
              <w:ind w:left="-36"/>
              <w:jc w:val="center"/>
            </w:pPr>
            <w:r>
              <w:t>OK</w:t>
            </w:r>
          </w:p>
        </w:tc>
        <w:tc>
          <w:tcPr>
            <w:tcW w:w="5612" w:type="dxa"/>
          </w:tcPr>
          <w:p w:rsidR="0042390A" w:rsidRPr="00021B9C" w:rsidRDefault="0042390A" w:rsidP="00EE47F9"/>
        </w:tc>
      </w:tr>
      <w:tr w:rsidR="0042390A" w:rsidRPr="00021B9C" w:rsidTr="00EC463E">
        <w:tc>
          <w:tcPr>
            <w:tcW w:w="8926" w:type="dxa"/>
          </w:tcPr>
          <w:p w:rsidR="0042390A" w:rsidRPr="00021B9C" w:rsidRDefault="0042390A" w:rsidP="00183DD3">
            <w:pPr>
              <w:pStyle w:val="Listeafsnit"/>
              <w:numPr>
                <w:ilvl w:val="0"/>
                <w:numId w:val="3"/>
              </w:numPr>
            </w:pPr>
            <w:r w:rsidRPr="00021B9C">
              <w:t>Uden for arbejdstid skal alle oplag af farligt affald være utilgængelige for uvedkommende ved indhegning af aktiviteterne med et minimum 1,8 meter højt hegn med aflåste porte eller ved aflåsning af relevante bygninger og containere.</w:t>
            </w:r>
          </w:p>
        </w:tc>
        <w:tc>
          <w:tcPr>
            <w:tcW w:w="850" w:type="dxa"/>
          </w:tcPr>
          <w:p w:rsidR="0042390A" w:rsidRPr="00021B9C" w:rsidRDefault="00595903" w:rsidP="00EE47F9">
            <w:pPr>
              <w:ind w:left="-36"/>
              <w:jc w:val="center"/>
            </w:pPr>
            <w:r>
              <w:t>OK</w:t>
            </w:r>
          </w:p>
        </w:tc>
        <w:tc>
          <w:tcPr>
            <w:tcW w:w="5612" w:type="dxa"/>
          </w:tcPr>
          <w:p w:rsidR="0042390A" w:rsidRPr="00021B9C" w:rsidRDefault="0042390A" w:rsidP="00EE47F9"/>
        </w:tc>
      </w:tr>
      <w:tr w:rsidR="0042390A" w:rsidRPr="00021B9C" w:rsidTr="00EC463E">
        <w:trPr>
          <w:trHeight w:val="2840"/>
        </w:trPr>
        <w:tc>
          <w:tcPr>
            <w:tcW w:w="8926" w:type="dxa"/>
          </w:tcPr>
          <w:p w:rsidR="0042390A" w:rsidRPr="00021B9C" w:rsidRDefault="0042390A" w:rsidP="00183DD3">
            <w:pPr>
              <w:pStyle w:val="Listeafsnit"/>
              <w:numPr>
                <w:ilvl w:val="0"/>
                <w:numId w:val="3"/>
              </w:numPr>
            </w:pPr>
            <w:r w:rsidRPr="00021B9C">
              <w:lastRenderedPageBreak/>
              <w:t>Virksomheden skal have nedskrevne driftsinstrukser og -procedurer vedrørende:</w:t>
            </w:r>
          </w:p>
          <w:p w:rsidR="0042390A" w:rsidRPr="00021B9C" w:rsidRDefault="0042390A" w:rsidP="00183DD3">
            <w:pPr>
              <w:pStyle w:val="Listeafsnit"/>
              <w:numPr>
                <w:ilvl w:val="1"/>
                <w:numId w:val="3"/>
              </w:numPr>
            </w:pPr>
            <w:r w:rsidRPr="00021B9C">
              <w:t>Modtagelse, oplagring, omlastning, omemballering og/eller sortering af farligt affald, herunder sikkerhedsforanstaltninger i forbindelse hermed.</w:t>
            </w:r>
          </w:p>
          <w:p w:rsidR="0042390A" w:rsidRPr="00021B9C" w:rsidRDefault="0042390A" w:rsidP="00183DD3">
            <w:pPr>
              <w:pStyle w:val="Listeafsnit"/>
              <w:numPr>
                <w:ilvl w:val="1"/>
                <w:numId w:val="3"/>
              </w:numPr>
            </w:pPr>
            <w:r w:rsidRPr="00021B9C">
              <w:t>Betjening af de enkelte anlæg, pumper mv.</w:t>
            </w:r>
          </w:p>
          <w:p w:rsidR="0042390A" w:rsidRPr="00021B9C" w:rsidRDefault="0042390A" w:rsidP="00183DD3">
            <w:pPr>
              <w:pStyle w:val="Listeafsnit"/>
              <w:numPr>
                <w:ilvl w:val="1"/>
                <w:numId w:val="3"/>
              </w:numPr>
            </w:pPr>
            <w:r w:rsidRPr="00021B9C">
              <w:t>Procedurer for rengøring af emballage, køretøjer, tanke, andet udstyr, befæstede arealer samt tankgårde, sumpe, brønde og evt. andre opsamlingssteder.</w:t>
            </w:r>
          </w:p>
          <w:p w:rsidR="0042390A" w:rsidRPr="00021B9C" w:rsidRDefault="0042390A" w:rsidP="00183DD3">
            <w:pPr>
              <w:pStyle w:val="Listeafsnit"/>
              <w:numPr>
                <w:ilvl w:val="1"/>
                <w:numId w:val="3"/>
              </w:numPr>
            </w:pPr>
            <w:r w:rsidRPr="00021B9C">
              <w:t>Virksomhedens egenkontrol.</w:t>
            </w:r>
          </w:p>
          <w:p w:rsidR="0042390A" w:rsidRPr="00021B9C" w:rsidRDefault="0042390A" w:rsidP="00183DD3">
            <w:pPr>
              <w:pStyle w:val="Listeafsnit"/>
              <w:numPr>
                <w:ilvl w:val="1"/>
                <w:numId w:val="3"/>
              </w:numPr>
            </w:pPr>
            <w:r w:rsidRPr="00021B9C">
              <w:t>Procedurer i forbindelse med driftsforstyrrelser og uheld.</w:t>
            </w:r>
          </w:p>
          <w:p w:rsidR="0042390A" w:rsidRPr="00021B9C" w:rsidRDefault="0042390A" w:rsidP="00183DD3">
            <w:pPr>
              <w:pStyle w:val="Listeafsnit"/>
              <w:numPr>
                <w:ilvl w:val="1"/>
                <w:numId w:val="3"/>
              </w:numPr>
            </w:pPr>
            <w:r w:rsidRPr="00021B9C">
              <w:t>Instrukser og procedurer skal fremsendes til tilsynsmyndighedens efter anmodning.</w:t>
            </w:r>
          </w:p>
          <w:p w:rsidR="0042390A" w:rsidRPr="00021B9C" w:rsidRDefault="0042390A" w:rsidP="00183DD3">
            <w:pPr>
              <w:pStyle w:val="Listeafsnit"/>
              <w:numPr>
                <w:ilvl w:val="1"/>
                <w:numId w:val="3"/>
              </w:numPr>
            </w:pPr>
            <w:r w:rsidRPr="00021B9C">
              <w:t>Instrukser og procedurer skal være tilgængelige for personalet.</w:t>
            </w:r>
          </w:p>
        </w:tc>
        <w:tc>
          <w:tcPr>
            <w:tcW w:w="850" w:type="dxa"/>
          </w:tcPr>
          <w:p w:rsidR="0042390A" w:rsidRPr="00021B9C" w:rsidRDefault="00595903" w:rsidP="00EE47F9">
            <w:pPr>
              <w:ind w:left="-36"/>
              <w:jc w:val="center"/>
            </w:pPr>
            <w:r>
              <w:t>OK</w:t>
            </w:r>
          </w:p>
        </w:tc>
        <w:tc>
          <w:tcPr>
            <w:tcW w:w="5612" w:type="dxa"/>
          </w:tcPr>
          <w:p w:rsidR="0042390A" w:rsidRDefault="00595903" w:rsidP="00EE47F9">
            <w:r>
              <w:t>Driftsinstrukser og procedurer blev fremvist ved tilsynet.</w:t>
            </w:r>
          </w:p>
          <w:p w:rsidR="00595903" w:rsidRDefault="00595903" w:rsidP="00EE47F9"/>
          <w:p w:rsidR="00595903" w:rsidRPr="00021B9C" w:rsidRDefault="00595903" w:rsidP="00EE47F9">
            <w:r>
              <w:t xml:space="preserve">Nogle driftsinstrukser og procedurer er udformet som flowdiagrammer med et meget anvendeligt layout, der gør det let at </w:t>
            </w:r>
            <w:r w:rsidR="00D93FB9">
              <w:t xml:space="preserve">huske </w:t>
            </w:r>
            <w:r>
              <w:t xml:space="preserve">driftsinstrukser og procedurer. </w:t>
            </w:r>
          </w:p>
        </w:tc>
      </w:tr>
      <w:tr w:rsidR="0042390A" w:rsidRPr="00021B9C" w:rsidTr="00EC463E">
        <w:tc>
          <w:tcPr>
            <w:tcW w:w="8926" w:type="dxa"/>
          </w:tcPr>
          <w:p w:rsidR="0042390A" w:rsidRPr="00021B9C" w:rsidRDefault="0042390A" w:rsidP="00183DD3">
            <w:pPr>
              <w:rPr>
                <w:i/>
              </w:rPr>
            </w:pPr>
            <w:r w:rsidRPr="00021B9C">
              <w:rPr>
                <w:i/>
              </w:rPr>
              <w:t>Modtagelse og oplagring af farligt affald</w:t>
            </w:r>
          </w:p>
        </w:tc>
        <w:tc>
          <w:tcPr>
            <w:tcW w:w="850" w:type="dxa"/>
          </w:tcPr>
          <w:p w:rsidR="0042390A" w:rsidRPr="00021B9C" w:rsidRDefault="0042390A" w:rsidP="00EE47F9">
            <w:pPr>
              <w:ind w:left="-36"/>
              <w:jc w:val="center"/>
              <w:rPr>
                <w:i/>
              </w:rPr>
            </w:pPr>
          </w:p>
        </w:tc>
        <w:tc>
          <w:tcPr>
            <w:tcW w:w="5612" w:type="dxa"/>
          </w:tcPr>
          <w:p w:rsidR="0042390A" w:rsidRPr="00021B9C" w:rsidRDefault="0042390A" w:rsidP="00EE47F9">
            <w:pPr>
              <w:rPr>
                <w:i/>
              </w:rPr>
            </w:pPr>
          </w:p>
        </w:tc>
      </w:tr>
      <w:tr w:rsidR="0042390A" w:rsidRPr="00021B9C" w:rsidTr="00EC463E">
        <w:tc>
          <w:tcPr>
            <w:tcW w:w="8926" w:type="dxa"/>
          </w:tcPr>
          <w:p w:rsidR="0042390A" w:rsidRPr="00021B9C" w:rsidRDefault="0042390A" w:rsidP="00183DD3">
            <w:pPr>
              <w:pStyle w:val="Listeafsnit"/>
              <w:numPr>
                <w:ilvl w:val="0"/>
                <w:numId w:val="3"/>
              </w:numPr>
            </w:pPr>
            <w:r w:rsidRPr="00021B9C">
              <w:t>Ved modtagelsen af farligt affald skal virksomheden straks kontrollere og vurdere emballeringen, oplysninger om affaldets klassificering og art samt eventuel deklarering og mærkning af affaldet. Hvis virksomheden vurderer, at oplysningerne er utilstrækkelige, skal den umiddelbart, indhente de nødvendige oplysninger.</w:t>
            </w:r>
          </w:p>
        </w:tc>
        <w:tc>
          <w:tcPr>
            <w:tcW w:w="850" w:type="dxa"/>
          </w:tcPr>
          <w:p w:rsidR="0042390A" w:rsidRPr="00021B9C" w:rsidRDefault="00595903" w:rsidP="00EE47F9">
            <w:pPr>
              <w:ind w:left="-36"/>
              <w:jc w:val="center"/>
            </w:pPr>
            <w:r>
              <w:t>OK</w:t>
            </w:r>
          </w:p>
        </w:tc>
        <w:tc>
          <w:tcPr>
            <w:tcW w:w="5612" w:type="dxa"/>
          </w:tcPr>
          <w:p w:rsidR="0042390A" w:rsidRPr="00021B9C" w:rsidRDefault="00595903" w:rsidP="00EE47F9">
            <w:r>
              <w:t>Indgår som en det af proceduren for ordremodtagelse / fragtbrevskontrol.</w:t>
            </w:r>
          </w:p>
        </w:tc>
      </w:tr>
      <w:tr w:rsidR="0042390A" w:rsidRPr="00021B9C" w:rsidTr="00EC463E">
        <w:tc>
          <w:tcPr>
            <w:tcW w:w="8926" w:type="dxa"/>
          </w:tcPr>
          <w:p w:rsidR="0042390A" w:rsidRPr="00021B9C" w:rsidRDefault="0042390A" w:rsidP="00183DD3">
            <w:pPr>
              <w:pStyle w:val="Listeafsnit"/>
              <w:numPr>
                <w:ilvl w:val="0"/>
                <w:numId w:val="3"/>
              </w:numPr>
            </w:pPr>
            <w:r w:rsidRPr="00021B9C">
              <w:t xml:space="preserve">Hvis virksomheden modtager farligt affald, der ikke er omfattet af virksomhedens miljøgodkendelse, jf. vilkår </w:t>
            </w:r>
            <w:r>
              <w:fldChar w:fldCharType="begin"/>
            </w:r>
            <w:r>
              <w:instrText xml:space="preserve"> REF _Ref494284071 \r \h  \* MERGEFORMAT </w:instrText>
            </w:r>
            <w:r>
              <w:fldChar w:fldCharType="separate"/>
            </w:r>
            <w:r w:rsidR="00870F56">
              <w:t>11</w:t>
            </w:r>
            <w:r>
              <w:fldChar w:fldCharType="end"/>
            </w:r>
            <w:r w:rsidRPr="00021B9C">
              <w:t xml:space="preserve">, og som det ikke umiddelbart er muligt at henvise til en anden modtagevirksomhed, skal affaldet placeres i et særskilt oplagsområde, der er adskilt fra de øvrige oplag. Virksomheden skal herefter hurtigst muligt kontakte tilsynsmyndigheden om affaldet. </w:t>
            </w:r>
          </w:p>
        </w:tc>
        <w:tc>
          <w:tcPr>
            <w:tcW w:w="850" w:type="dxa"/>
          </w:tcPr>
          <w:p w:rsidR="0042390A" w:rsidRPr="00021B9C" w:rsidRDefault="00595903" w:rsidP="00EE47F9">
            <w:pPr>
              <w:ind w:left="-36"/>
              <w:jc w:val="center"/>
            </w:pPr>
            <w:r>
              <w:t>OK</w:t>
            </w:r>
          </w:p>
        </w:tc>
        <w:tc>
          <w:tcPr>
            <w:tcW w:w="5612" w:type="dxa"/>
          </w:tcPr>
          <w:p w:rsidR="0042390A" w:rsidRPr="00021B9C" w:rsidRDefault="00595903" w:rsidP="00EE47F9">
            <w:r>
              <w:t xml:space="preserve">Der modtages ikke farligt affald, der ikke er miljøgodkendelse til. Hvis der skulle dukke noget op, opdages det i modtagekontrollen og det er altid muligt at henvise til en godkendt modtagevirksomhed. </w:t>
            </w:r>
          </w:p>
        </w:tc>
      </w:tr>
      <w:tr w:rsidR="0042390A" w:rsidRPr="00021B9C" w:rsidTr="00EC463E">
        <w:tc>
          <w:tcPr>
            <w:tcW w:w="8926" w:type="dxa"/>
          </w:tcPr>
          <w:p w:rsidR="0042390A" w:rsidRPr="00021B9C" w:rsidRDefault="0042390A" w:rsidP="00183DD3">
            <w:pPr>
              <w:pStyle w:val="Listeafsnit"/>
              <w:numPr>
                <w:ilvl w:val="0"/>
                <w:numId w:val="3"/>
              </w:numPr>
            </w:pPr>
            <w:r w:rsidRPr="00021B9C">
              <w:t xml:space="preserve">Når virksomheden modtager affald fra genbrugspladserne betegnet som ”ukendt affald” (type Z, jf. Tabel 1), skal det pakkes efter </w:t>
            </w:r>
            <w:proofErr w:type="spellStart"/>
            <w:r w:rsidRPr="00021B9C">
              <w:t>SMOKAs</w:t>
            </w:r>
            <w:proofErr w:type="spellEnd"/>
            <w:r w:rsidRPr="00021B9C">
              <w:t xml:space="preserve"> vejledning for den type affald.</w:t>
            </w:r>
          </w:p>
        </w:tc>
        <w:tc>
          <w:tcPr>
            <w:tcW w:w="850" w:type="dxa"/>
          </w:tcPr>
          <w:p w:rsidR="0042390A" w:rsidRPr="00021B9C" w:rsidRDefault="00595903" w:rsidP="00EE47F9">
            <w:pPr>
              <w:ind w:left="-36"/>
              <w:jc w:val="center"/>
            </w:pPr>
            <w:r>
              <w:t>OK</w:t>
            </w:r>
          </w:p>
        </w:tc>
        <w:tc>
          <w:tcPr>
            <w:tcW w:w="5612" w:type="dxa"/>
          </w:tcPr>
          <w:p w:rsidR="0042390A" w:rsidRPr="00021B9C" w:rsidRDefault="0042390A" w:rsidP="00EE47F9"/>
        </w:tc>
      </w:tr>
      <w:tr w:rsidR="0042390A" w:rsidRPr="00021B9C" w:rsidTr="00EC463E">
        <w:trPr>
          <w:trHeight w:val="1389"/>
        </w:trPr>
        <w:tc>
          <w:tcPr>
            <w:tcW w:w="8926" w:type="dxa"/>
          </w:tcPr>
          <w:p w:rsidR="0042390A" w:rsidRPr="00021B9C" w:rsidRDefault="0042390A" w:rsidP="00183DD3">
            <w:pPr>
              <w:pStyle w:val="Listeafsnit"/>
              <w:numPr>
                <w:ilvl w:val="0"/>
                <w:numId w:val="3"/>
              </w:numPr>
            </w:pPr>
            <w:bookmarkStart w:id="5" w:name="_Ref494284071"/>
            <w:r w:rsidRPr="00021B9C">
              <w:t>Virksomheden må modtage og opbevare alle arter og fraktioner af farligt affald jf. affaldsklassifikation af farligt affald i Tabel 1, bortset fra ADR-klasse 1 (Eksplosivt affald – gælder ikke druknet fyrværkeri), klasse 6.2 (Smittefarligt vævsaffald) og klasse 7 (Radioaktivt affald - gælder ikke røgalarmer). Opbevaring skal ske i henhold til Tabel 1.</w:t>
            </w:r>
            <w:bookmarkEnd w:id="5"/>
            <w:r w:rsidRPr="00021B9C">
              <w:t xml:space="preserve"> </w:t>
            </w:r>
          </w:p>
          <w:p w:rsidR="0042390A" w:rsidRPr="00021B9C" w:rsidRDefault="0042390A" w:rsidP="00183DD3">
            <w:pPr>
              <w:ind w:left="284"/>
            </w:pPr>
          </w:p>
          <w:p w:rsidR="0042390A" w:rsidRPr="00021B9C" w:rsidRDefault="0042390A" w:rsidP="00183DD3">
            <w:pPr>
              <w:rPr>
                <w:sz w:val="20"/>
              </w:rPr>
            </w:pPr>
            <w:r w:rsidRPr="00021B9C">
              <w:rPr>
                <w:sz w:val="20"/>
              </w:rPr>
              <w:t xml:space="preserve">Tabel 1: Affaldsfraktioner der modtages på virksomheden samt beskrivelse af opbevaringsform. Klassifikation i </w:t>
            </w:r>
            <w:proofErr w:type="spellStart"/>
            <w:r w:rsidRPr="00021B9C">
              <w:rPr>
                <w:sz w:val="20"/>
              </w:rPr>
              <w:t>hht</w:t>
            </w:r>
            <w:proofErr w:type="spellEnd"/>
            <w:r w:rsidRPr="00021B9C">
              <w:rPr>
                <w:sz w:val="20"/>
              </w:rPr>
              <w:t>. Fortums sorteringsvejledning:</w:t>
            </w:r>
          </w:p>
          <w:p w:rsidR="0042390A" w:rsidRPr="00021B9C" w:rsidRDefault="0042390A" w:rsidP="00183DD3">
            <w:r w:rsidRPr="00021B9C">
              <w:rPr>
                <w:sz w:val="20"/>
              </w:rPr>
              <w:t>http://Fortum.studio.crasman.fi/file/dl/i/0VWiMQ/abO6DRQDCEaqpHmXe2NtcQ/Sorteringsvejledning.pdf</w:t>
            </w:r>
          </w:p>
          <w:tbl>
            <w:tblPr>
              <w:tblW w:w="5000" w:type="pct"/>
              <w:tblCellMar>
                <w:top w:w="15" w:type="dxa"/>
                <w:left w:w="15" w:type="dxa"/>
                <w:bottom w:w="15" w:type="dxa"/>
                <w:right w:w="15" w:type="dxa"/>
              </w:tblCellMar>
              <w:tblLook w:val="04A0" w:firstRow="1" w:lastRow="0" w:firstColumn="1" w:lastColumn="0" w:noHBand="0" w:noVBand="1"/>
            </w:tblPr>
            <w:tblGrid>
              <w:gridCol w:w="3413"/>
              <w:gridCol w:w="5277"/>
            </w:tblGrid>
            <w:tr w:rsidR="0042390A" w:rsidRPr="00021B9C" w:rsidTr="00A948E8">
              <w:trPr>
                <w:trHeight w:val="324"/>
              </w:trPr>
              <w:tc>
                <w:tcPr>
                  <w:tcW w:w="196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42390A" w:rsidRPr="00021B9C" w:rsidRDefault="0042390A" w:rsidP="00183DD3">
                  <w:pPr>
                    <w:rPr>
                      <w:color w:val="000000"/>
                      <w:szCs w:val="24"/>
                    </w:rPr>
                  </w:pPr>
                  <w:r w:rsidRPr="00021B9C">
                    <w:rPr>
                      <w:b/>
                      <w:bCs/>
                      <w:color w:val="000000"/>
                      <w:szCs w:val="24"/>
                    </w:rPr>
                    <w:t>Farlig(e) affaldsfraktion(er).</w:t>
                  </w:r>
                  <w:r w:rsidRPr="00021B9C">
                    <w:rPr>
                      <w:color w:val="000000"/>
                      <w:szCs w:val="24"/>
                    </w:rPr>
                    <w:t xml:space="preserve"> </w:t>
                  </w:r>
                </w:p>
              </w:tc>
              <w:tc>
                <w:tcPr>
                  <w:tcW w:w="3036"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42390A" w:rsidRPr="00021B9C" w:rsidRDefault="0042390A" w:rsidP="00183DD3">
                  <w:pPr>
                    <w:rPr>
                      <w:color w:val="000000"/>
                      <w:szCs w:val="24"/>
                    </w:rPr>
                  </w:pPr>
                  <w:r w:rsidRPr="00021B9C">
                    <w:rPr>
                      <w:b/>
                      <w:bCs/>
                      <w:color w:val="000000"/>
                      <w:szCs w:val="24"/>
                    </w:rPr>
                    <w:t>Opbevaringsform</w:t>
                  </w:r>
                </w:p>
              </w:tc>
            </w:tr>
            <w:tr w:rsidR="0042390A" w:rsidRPr="00021B9C" w:rsidTr="00A948E8">
              <w:tc>
                <w:tcPr>
                  <w:tcW w:w="196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42390A" w:rsidRPr="00021B9C" w:rsidRDefault="0042390A" w:rsidP="00183DD3">
                  <w:pPr>
                    <w:rPr>
                      <w:color w:val="000000"/>
                      <w:szCs w:val="24"/>
                    </w:rPr>
                  </w:pPr>
                  <w:r w:rsidRPr="00021B9C">
                    <w:rPr>
                      <w:b/>
                      <w:color w:val="000000"/>
                      <w:szCs w:val="24"/>
                    </w:rPr>
                    <w:lastRenderedPageBreak/>
                    <w:t>A</w:t>
                  </w:r>
                  <w:r w:rsidRPr="00021B9C">
                    <w:rPr>
                      <w:color w:val="000000"/>
                      <w:szCs w:val="24"/>
                    </w:rPr>
                    <w:t xml:space="preserve"> Mineralolieaffald</w:t>
                  </w:r>
                </w:p>
              </w:tc>
              <w:tc>
                <w:tcPr>
                  <w:tcW w:w="3036"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42390A" w:rsidRPr="00021B9C" w:rsidRDefault="0042390A" w:rsidP="00183DD3">
                  <w:pPr>
                    <w:rPr>
                      <w:color w:val="000000"/>
                      <w:szCs w:val="24"/>
                    </w:rPr>
                  </w:pPr>
                  <w:r w:rsidRPr="00021B9C">
                    <w:rPr>
                      <w:color w:val="000000"/>
                      <w:szCs w:val="24"/>
                    </w:rPr>
                    <w:t>Lagertank i lukket tankgård</w:t>
                  </w:r>
                </w:p>
              </w:tc>
            </w:tr>
            <w:tr w:rsidR="0042390A" w:rsidRPr="00021B9C" w:rsidTr="00A948E8">
              <w:tc>
                <w:tcPr>
                  <w:tcW w:w="196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42390A" w:rsidRPr="00021B9C" w:rsidRDefault="0042390A" w:rsidP="00183DD3">
                  <w:pPr>
                    <w:rPr>
                      <w:color w:val="000000"/>
                      <w:szCs w:val="24"/>
                    </w:rPr>
                  </w:pPr>
                  <w:r w:rsidRPr="00021B9C">
                    <w:rPr>
                      <w:b/>
                      <w:color w:val="000000"/>
                      <w:szCs w:val="24"/>
                    </w:rPr>
                    <w:t>B</w:t>
                  </w:r>
                  <w:r w:rsidRPr="00021B9C">
                    <w:rPr>
                      <w:color w:val="000000"/>
                      <w:szCs w:val="24"/>
                    </w:rPr>
                    <w:t xml:space="preserve"> Organiske kemikalier</w:t>
                  </w:r>
                </w:p>
              </w:tc>
              <w:tc>
                <w:tcPr>
                  <w:tcW w:w="3036"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42390A" w:rsidRPr="00021B9C" w:rsidRDefault="0042390A" w:rsidP="00183DD3">
                  <w:pPr>
                    <w:rPr>
                      <w:color w:val="000000"/>
                      <w:szCs w:val="24"/>
                    </w:rPr>
                  </w:pPr>
                  <w:r w:rsidRPr="00021B9C">
                    <w:rPr>
                      <w:color w:val="000000"/>
                      <w:szCs w:val="24"/>
                    </w:rPr>
                    <w:t>Tætte lukkede beholdere på tæt belægning</w:t>
                  </w:r>
                  <w:r w:rsidRPr="00021B9C">
                    <w:rPr>
                      <w:rStyle w:val="Fodnotehenvisning"/>
                      <w:color w:val="000000"/>
                      <w:szCs w:val="24"/>
                    </w:rPr>
                    <w:footnoteReference w:id="4"/>
                  </w:r>
                </w:p>
              </w:tc>
            </w:tr>
            <w:tr w:rsidR="0042390A" w:rsidRPr="00021B9C" w:rsidTr="00A948E8">
              <w:tc>
                <w:tcPr>
                  <w:tcW w:w="196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42390A" w:rsidRPr="00021B9C" w:rsidRDefault="0042390A" w:rsidP="00183DD3">
                  <w:pPr>
                    <w:rPr>
                      <w:color w:val="000000"/>
                      <w:szCs w:val="24"/>
                    </w:rPr>
                  </w:pPr>
                  <w:r w:rsidRPr="00021B9C">
                    <w:rPr>
                      <w:b/>
                      <w:color w:val="000000"/>
                      <w:szCs w:val="24"/>
                    </w:rPr>
                    <w:t>C</w:t>
                  </w:r>
                  <w:r w:rsidRPr="00021B9C">
                    <w:rPr>
                      <w:color w:val="000000"/>
                      <w:szCs w:val="24"/>
                    </w:rPr>
                    <w:t xml:space="preserve"> Flydende energiholdig</w:t>
                  </w:r>
                </w:p>
                <w:p w:rsidR="0042390A" w:rsidRPr="00021B9C" w:rsidRDefault="0042390A" w:rsidP="00183DD3">
                  <w:pPr>
                    <w:rPr>
                      <w:color w:val="000000"/>
                      <w:szCs w:val="24"/>
                    </w:rPr>
                  </w:pPr>
                  <w:r w:rsidRPr="00021B9C">
                    <w:rPr>
                      <w:color w:val="000000"/>
                      <w:szCs w:val="24"/>
                    </w:rPr>
                    <w:t>Organiske kemikalier</w:t>
                  </w:r>
                </w:p>
              </w:tc>
              <w:tc>
                <w:tcPr>
                  <w:tcW w:w="3036"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42390A" w:rsidRPr="00021B9C" w:rsidRDefault="0042390A" w:rsidP="00183DD3">
                  <w:pPr>
                    <w:rPr>
                      <w:color w:val="000000"/>
                      <w:szCs w:val="24"/>
                    </w:rPr>
                  </w:pPr>
                  <w:r w:rsidRPr="00021B9C">
                    <w:rPr>
                      <w:color w:val="000000"/>
                      <w:szCs w:val="24"/>
                    </w:rPr>
                    <w:t>Container med låg placeret på tæt belægning</w:t>
                  </w:r>
                </w:p>
              </w:tc>
            </w:tr>
            <w:tr w:rsidR="0042390A" w:rsidRPr="00021B9C" w:rsidTr="00A948E8">
              <w:tc>
                <w:tcPr>
                  <w:tcW w:w="196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42390A" w:rsidRPr="00021B9C" w:rsidRDefault="0042390A" w:rsidP="00183DD3">
                  <w:pPr>
                    <w:rPr>
                      <w:color w:val="000000"/>
                      <w:szCs w:val="24"/>
                    </w:rPr>
                  </w:pPr>
                  <w:r w:rsidRPr="00021B9C">
                    <w:rPr>
                      <w:b/>
                      <w:color w:val="000000"/>
                      <w:szCs w:val="24"/>
                    </w:rPr>
                    <w:t>H</w:t>
                  </w:r>
                  <w:r w:rsidRPr="00021B9C">
                    <w:rPr>
                      <w:color w:val="000000"/>
                      <w:szCs w:val="24"/>
                    </w:rPr>
                    <w:t xml:space="preserve"> Øvrige organiske kemikalier</w:t>
                  </w:r>
                </w:p>
              </w:tc>
              <w:tc>
                <w:tcPr>
                  <w:tcW w:w="3036"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42390A" w:rsidRPr="00021B9C" w:rsidRDefault="0042390A" w:rsidP="00183DD3">
                  <w:pPr>
                    <w:rPr>
                      <w:color w:val="000000"/>
                      <w:szCs w:val="24"/>
                    </w:rPr>
                  </w:pPr>
                  <w:r w:rsidRPr="00021B9C">
                    <w:rPr>
                      <w:color w:val="000000"/>
                      <w:szCs w:val="24"/>
                    </w:rPr>
                    <w:t>Container med låg placeret på tæt belægning</w:t>
                  </w:r>
                </w:p>
              </w:tc>
            </w:tr>
            <w:tr w:rsidR="0042390A" w:rsidRPr="00021B9C" w:rsidTr="00A948E8">
              <w:tc>
                <w:tcPr>
                  <w:tcW w:w="196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42390A" w:rsidRPr="00021B9C" w:rsidRDefault="0042390A" w:rsidP="00183DD3">
                  <w:pPr>
                    <w:rPr>
                      <w:color w:val="000000"/>
                      <w:szCs w:val="24"/>
                    </w:rPr>
                  </w:pPr>
                  <w:r w:rsidRPr="00021B9C">
                    <w:rPr>
                      <w:b/>
                      <w:color w:val="000000"/>
                      <w:szCs w:val="24"/>
                    </w:rPr>
                    <w:t xml:space="preserve">H2 </w:t>
                  </w:r>
                  <w:r w:rsidRPr="00021B9C">
                    <w:rPr>
                      <w:color w:val="000000"/>
                      <w:szCs w:val="24"/>
                    </w:rPr>
                    <w:t>Malingsaffald</w:t>
                  </w:r>
                </w:p>
              </w:tc>
              <w:tc>
                <w:tcPr>
                  <w:tcW w:w="3036"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42390A" w:rsidRPr="00021B9C" w:rsidRDefault="0042390A" w:rsidP="00183DD3">
                  <w:pPr>
                    <w:rPr>
                      <w:color w:val="000000"/>
                      <w:szCs w:val="24"/>
                    </w:rPr>
                  </w:pPr>
                  <w:r w:rsidRPr="00021B9C">
                    <w:rPr>
                      <w:color w:val="000000"/>
                      <w:szCs w:val="24"/>
                    </w:rPr>
                    <w:t>Container med låg placeret på tæt belægning</w:t>
                  </w:r>
                </w:p>
              </w:tc>
            </w:tr>
            <w:tr w:rsidR="0042390A" w:rsidRPr="00021B9C" w:rsidTr="00A948E8">
              <w:tc>
                <w:tcPr>
                  <w:tcW w:w="196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42390A" w:rsidRPr="00021B9C" w:rsidRDefault="0042390A" w:rsidP="00183DD3">
                  <w:pPr>
                    <w:rPr>
                      <w:color w:val="000000"/>
                      <w:szCs w:val="24"/>
                    </w:rPr>
                  </w:pPr>
                  <w:r w:rsidRPr="00021B9C">
                    <w:rPr>
                      <w:b/>
                      <w:color w:val="000000"/>
                      <w:szCs w:val="24"/>
                    </w:rPr>
                    <w:t xml:space="preserve">K </w:t>
                  </w:r>
                  <w:r w:rsidRPr="00021B9C">
                    <w:rPr>
                      <w:color w:val="000000"/>
                      <w:szCs w:val="24"/>
                    </w:rPr>
                    <w:t>Kviksølvholdigt affald</w:t>
                  </w:r>
                </w:p>
              </w:tc>
              <w:tc>
                <w:tcPr>
                  <w:tcW w:w="3036"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42390A" w:rsidRPr="00021B9C" w:rsidRDefault="0042390A" w:rsidP="00183DD3">
                  <w:pPr>
                    <w:rPr>
                      <w:color w:val="000000"/>
                      <w:szCs w:val="24"/>
                    </w:rPr>
                  </w:pPr>
                  <w:r w:rsidRPr="00021B9C">
                    <w:rPr>
                      <w:color w:val="000000"/>
                      <w:szCs w:val="24"/>
                    </w:rPr>
                    <w:t>Tætte lukkede beholdere på tæt belægning</w:t>
                  </w:r>
                </w:p>
              </w:tc>
            </w:tr>
            <w:tr w:rsidR="0042390A" w:rsidRPr="00021B9C" w:rsidTr="00A948E8">
              <w:tc>
                <w:tcPr>
                  <w:tcW w:w="196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42390A" w:rsidRPr="00021B9C" w:rsidRDefault="0042390A" w:rsidP="00183DD3">
                  <w:pPr>
                    <w:rPr>
                      <w:color w:val="000000"/>
                      <w:szCs w:val="24"/>
                    </w:rPr>
                  </w:pPr>
                  <w:r w:rsidRPr="00021B9C">
                    <w:rPr>
                      <w:b/>
                      <w:color w:val="000000"/>
                      <w:szCs w:val="24"/>
                    </w:rPr>
                    <w:t xml:space="preserve">O </w:t>
                  </w:r>
                  <w:r w:rsidRPr="00021B9C">
                    <w:rPr>
                      <w:color w:val="000000"/>
                      <w:szCs w:val="24"/>
                    </w:rPr>
                    <w:t>Oxiderende eller reaktive stoffer</w:t>
                  </w:r>
                </w:p>
              </w:tc>
              <w:tc>
                <w:tcPr>
                  <w:tcW w:w="3036"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42390A" w:rsidRPr="00021B9C" w:rsidRDefault="0042390A" w:rsidP="00183DD3">
                  <w:pPr>
                    <w:rPr>
                      <w:color w:val="000000"/>
                      <w:szCs w:val="24"/>
                    </w:rPr>
                  </w:pPr>
                  <w:r w:rsidRPr="00021B9C">
                    <w:rPr>
                      <w:color w:val="000000"/>
                      <w:szCs w:val="24"/>
                    </w:rPr>
                    <w:t>Tætte lukkede beholdere på tæt belægning</w:t>
                  </w:r>
                </w:p>
              </w:tc>
            </w:tr>
            <w:tr w:rsidR="0042390A" w:rsidRPr="00021B9C" w:rsidTr="00A948E8">
              <w:tc>
                <w:tcPr>
                  <w:tcW w:w="196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42390A" w:rsidRPr="00021B9C" w:rsidRDefault="0042390A" w:rsidP="00183DD3">
                  <w:pPr>
                    <w:rPr>
                      <w:color w:val="000000"/>
                      <w:szCs w:val="24"/>
                    </w:rPr>
                  </w:pPr>
                  <w:r w:rsidRPr="00021B9C">
                    <w:rPr>
                      <w:b/>
                      <w:color w:val="000000"/>
                      <w:szCs w:val="24"/>
                    </w:rPr>
                    <w:t xml:space="preserve">T </w:t>
                  </w:r>
                  <w:r w:rsidRPr="00021B9C">
                    <w:rPr>
                      <w:color w:val="000000"/>
                      <w:szCs w:val="24"/>
                    </w:rPr>
                    <w:t>Pesticid affald</w:t>
                  </w:r>
                </w:p>
              </w:tc>
              <w:tc>
                <w:tcPr>
                  <w:tcW w:w="3036"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42390A" w:rsidRPr="00021B9C" w:rsidRDefault="0042390A" w:rsidP="00183DD3">
                  <w:pPr>
                    <w:rPr>
                      <w:color w:val="000000"/>
                      <w:szCs w:val="24"/>
                    </w:rPr>
                  </w:pPr>
                  <w:r w:rsidRPr="00021B9C">
                    <w:rPr>
                      <w:color w:val="000000"/>
                      <w:szCs w:val="24"/>
                    </w:rPr>
                    <w:t>Tætte lukkede beholdere på tæt belægning</w:t>
                  </w:r>
                </w:p>
              </w:tc>
            </w:tr>
            <w:tr w:rsidR="0042390A" w:rsidRPr="00021B9C" w:rsidTr="00A948E8">
              <w:tc>
                <w:tcPr>
                  <w:tcW w:w="196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42390A" w:rsidRPr="00021B9C" w:rsidRDefault="0042390A" w:rsidP="00183DD3">
                  <w:pPr>
                    <w:rPr>
                      <w:color w:val="000000"/>
                      <w:szCs w:val="24"/>
                    </w:rPr>
                  </w:pPr>
                  <w:r w:rsidRPr="00021B9C">
                    <w:rPr>
                      <w:b/>
                      <w:color w:val="000000"/>
                      <w:szCs w:val="24"/>
                    </w:rPr>
                    <w:t xml:space="preserve">X </w:t>
                  </w:r>
                  <w:r w:rsidRPr="00021B9C">
                    <w:rPr>
                      <w:color w:val="000000"/>
                      <w:szCs w:val="24"/>
                    </w:rPr>
                    <w:t>Uorganiske stoffer</w:t>
                  </w:r>
                </w:p>
              </w:tc>
              <w:tc>
                <w:tcPr>
                  <w:tcW w:w="3036"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42390A" w:rsidRPr="00021B9C" w:rsidRDefault="0042390A" w:rsidP="00183DD3">
                  <w:pPr>
                    <w:rPr>
                      <w:color w:val="000000"/>
                      <w:szCs w:val="24"/>
                    </w:rPr>
                  </w:pPr>
                  <w:r w:rsidRPr="00021B9C">
                    <w:rPr>
                      <w:color w:val="000000"/>
                      <w:szCs w:val="24"/>
                    </w:rPr>
                    <w:t>Tætte lukkede beholdere på tæt belægning</w:t>
                  </w:r>
                </w:p>
              </w:tc>
            </w:tr>
            <w:tr w:rsidR="0042390A" w:rsidRPr="00021B9C" w:rsidTr="00A948E8">
              <w:tc>
                <w:tcPr>
                  <w:tcW w:w="196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42390A" w:rsidRPr="00021B9C" w:rsidRDefault="0042390A" w:rsidP="00183DD3">
                  <w:pPr>
                    <w:rPr>
                      <w:color w:val="000000"/>
                      <w:szCs w:val="24"/>
                    </w:rPr>
                  </w:pPr>
                  <w:r w:rsidRPr="00021B9C">
                    <w:rPr>
                      <w:b/>
                      <w:color w:val="000000"/>
                      <w:szCs w:val="24"/>
                    </w:rPr>
                    <w:t>Z</w:t>
                  </w:r>
                  <w:r w:rsidRPr="00021B9C">
                    <w:rPr>
                      <w:color w:val="000000"/>
                      <w:szCs w:val="24"/>
                    </w:rPr>
                    <w:t xml:space="preserve"> Andet farligt affald</w:t>
                  </w:r>
                </w:p>
                <w:p w:rsidR="0042390A" w:rsidRPr="00021B9C" w:rsidRDefault="0042390A" w:rsidP="00183DD3">
                  <w:pPr>
                    <w:rPr>
                      <w:color w:val="000000"/>
                      <w:szCs w:val="24"/>
                    </w:rPr>
                  </w:pPr>
                  <w:r w:rsidRPr="00021B9C">
                    <w:rPr>
                      <w:color w:val="000000"/>
                      <w:szCs w:val="24"/>
                    </w:rPr>
                    <w:t>(bl.a. ukendt affald)</w:t>
                  </w:r>
                </w:p>
              </w:tc>
              <w:tc>
                <w:tcPr>
                  <w:tcW w:w="3036"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42390A" w:rsidRPr="00021B9C" w:rsidRDefault="0042390A" w:rsidP="00183DD3">
                  <w:pPr>
                    <w:rPr>
                      <w:color w:val="000000"/>
                      <w:szCs w:val="24"/>
                    </w:rPr>
                  </w:pPr>
                  <w:r w:rsidRPr="00021B9C">
                    <w:rPr>
                      <w:color w:val="000000"/>
                      <w:szCs w:val="24"/>
                    </w:rPr>
                    <w:t>Tætte lukkede beholdere på tæt belægning</w:t>
                  </w:r>
                </w:p>
              </w:tc>
            </w:tr>
            <w:tr w:rsidR="0042390A" w:rsidRPr="00021B9C" w:rsidTr="00A948E8">
              <w:tc>
                <w:tcPr>
                  <w:tcW w:w="196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42390A" w:rsidRPr="00021B9C" w:rsidRDefault="0042390A" w:rsidP="00183DD3">
                  <w:pPr>
                    <w:rPr>
                      <w:color w:val="000000"/>
                      <w:szCs w:val="24"/>
                    </w:rPr>
                  </w:pPr>
                  <w:r w:rsidRPr="00021B9C">
                    <w:rPr>
                      <w:color w:val="000000"/>
                      <w:szCs w:val="24"/>
                    </w:rPr>
                    <w:t>Affald af elektrisk og elektronisk udstyr</w:t>
                  </w:r>
                </w:p>
              </w:tc>
              <w:tc>
                <w:tcPr>
                  <w:tcW w:w="3036"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42390A" w:rsidRPr="00021B9C" w:rsidRDefault="0042390A" w:rsidP="00183DD3">
                  <w:pPr>
                    <w:rPr>
                      <w:color w:val="000000"/>
                      <w:szCs w:val="24"/>
                    </w:rPr>
                  </w:pPr>
                  <w:r w:rsidRPr="00021B9C">
                    <w:rPr>
                      <w:color w:val="000000"/>
                      <w:szCs w:val="24"/>
                    </w:rPr>
                    <w:t>Under tag</w:t>
                  </w:r>
                </w:p>
              </w:tc>
            </w:tr>
            <w:tr w:rsidR="0042390A" w:rsidRPr="00021B9C" w:rsidTr="00A948E8">
              <w:tc>
                <w:tcPr>
                  <w:tcW w:w="196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42390A" w:rsidRPr="00021B9C" w:rsidRDefault="0042390A" w:rsidP="00183DD3">
                  <w:pPr>
                    <w:rPr>
                      <w:color w:val="000000"/>
                      <w:szCs w:val="24"/>
                    </w:rPr>
                  </w:pPr>
                  <w:r w:rsidRPr="00021B9C">
                    <w:rPr>
                      <w:color w:val="000000"/>
                      <w:szCs w:val="24"/>
                    </w:rPr>
                    <w:t>Trykflasker</w:t>
                  </w:r>
                </w:p>
              </w:tc>
              <w:tc>
                <w:tcPr>
                  <w:tcW w:w="3036"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42390A" w:rsidRPr="00021B9C" w:rsidRDefault="0042390A" w:rsidP="00183DD3">
                  <w:pPr>
                    <w:rPr>
                      <w:color w:val="000000"/>
                      <w:szCs w:val="24"/>
                    </w:rPr>
                  </w:pPr>
                  <w:r w:rsidRPr="00021B9C">
                    <w:rPr>
                      <w:color w:val="000000"/>
                      <w:szCs w:val="24"/>
                    </w:rPr>
                    <w:t>Påkørselssikret</w:t>
                  </w:r>
                </w:p>
              </w:tc>
            </w:tr>
            <w:tr w:rsidR="0042390A" w:rsidRPr="00021B9C" w:rsidTr="00A948E8">
              <w:tc>
                <w:tcPr>
                  <w:tcW w:w="196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42390A" w:rsidRPr="00021B9C" w:rsidRDefault="0042390A" w:rsidP="00183DD3">
                  <w:pPr>
                    <w:rPr>
                      <w:color w:val="000000"/>
                      <w:szCs w:val="24"/>
                    </w:rPr>
                  </w:pPr>
                  <w:r w:rsidRPr="00021B9C">
                    <w:rPr>
                      <w:color w:val="000000"/>
                      <w:szCs w:val="24"/>
                    </w:rPr>
                    <w:t>Byggeaffald</w:t>
                  </w:r>
                </w:p>
              </w:tc>
              <w:tc>
                <w:tcPr>
                  <w:tcW w:w="3036"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42390A" w:rsidRPr="00021B9C" w:rsidRDefault="0042390A" w:rsidP="00183DD3">
                  <w:pPr>
                    <w:rPr>
                      <w:color w:val="000000"/>
                      <w:szCs w:val="24"/>
                    </w:rPr>
                  </w:pPr>
                  <w:r w:rsidRPr="00021B9C">
                    <w:rPr>
                      <w:color w:val="000000"/>
                      <w:szCs w:val="24"/>
                    </w:rPr>
                    <w:t>Container på tæt belægning</w:t>
                  </w:r>
                </w:p>
              </w:tc>
            </w:tr>
            <w:tr w:rsidR="0042390A" w:rsidRPr="00021B9C" w:rsidTr="00A948E8">
              <w:tc>
                <w:tcPr>
                  <w:tcW w:w="196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42390A" w:rsidRPr="00021B9C" w:rsidRDefault="0042390A" w:rsidP="00183DD3">
                  <w:pPr>
                    <w:rPr>
                      <w:color w:val="000000"/>
                      <w:szCs w:val="24"/>
                    </w:rPr>
                  </w:pPr>
                  <w:r w:rsidRPr="00021B9C">
                    <w:rPr>
                      <w:color w:val="000000"/>
                      <w:szCs w:val="24"/>
                    </w:rPr>
                    <w:t>Klinisk risikoaffald og medicinrester</w:t>
                  </w:r>
                </w:p>
              </w:tc>
              <w:tc>
                <w:tcPr>
                  <w:tcW w:w="3036"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42390A" w:rsidRPr="00021B9C" w:rsidRDefault="0042390A" w:rsidP="00183DD3">
                  <w:pPr>
                    <w:rPr>
                      <w:color w:val="000000"/>
                      <w:szCs w:val="24"/>
                    </w:rPr>
                  </w:pPr>
                  <w:r w:rsidRPr="00021B9C">
                    <w:rPr>
                      <w:color w:val="000000"/>
                      <w:szCs w:val="24"/>
                    </w:rPr>
                    <w:t>Særskilt under lås, så det er utilgængeligt for uvedkommende</w:t>
                  </w:r>
                </w:p>
              </w:tc>
            </w:tr>
            <w:tr w:rsidR="0042390A" w:rsidRPr="00021B9C" w:rsidTr="00A948E8">
              <w:tc>
                <w:tcPr>
                  <w:tcW w:w="196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42390A" w:rsidRPr="00021B9C" w:rsidRDefault="0042390A" w:rsidP="00183DD3">
                  <w:pPr>
                    <w:rPr>
                      <w:color w:val="000000"/>
                      <w:szCs w:val="24"/>
                    </w:rPr>
                  </w:pPr>
                  <w:r w:rsidRPr="00021B9C">
                    <w:rPr>
                      <w:color w:val="000000"/>
                      <w:szCs w:val="24"/>
                    </w:rPr>
                    <w:t>Akkumulatorer og batterier</w:t>
                  </w:r>
                </w:p>
              </w:tc>
              <w:tc>
                <w:tcPr>
                  <w:tcW w:w="3036"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42390A" w:rsidRPr="00021B9C" w:rsidRDefault="0042390A" w:rsidP="00183DD3">
                  <w:pPr>
                    <w:rPr>
                      <w:color w:val="000000"/>
                      <w:szCs w:val="24"/>
                    </w:rPr>
                  </w:pPr>
                  <w:r w:rsidRPr="00021B9C">
                    <w:rPr>
                      <w:color w:val="000000"/>
                      <w:szCs w:val="24"/>
                    </w:rPr>
                    <w:t>Lukkede syrefaste beholdere under tag</w:t>
                  </w:r>
                </w:p>
              </w:tc>
            </w:tr>
          </w:tbl>
          <w:p w:rsidR="0042390A" w:rsidRPr="00021B9C" w:rsidRDefault="0042390A" w:rsidP="00183DD3"/>
        </w:tc>
        <w:tc>
          <w:tcPr>
            <w:tcW w:w="850" w:type="dxa"/>
          </w:tcPr>
          <w:p w:rsidR="0042390A" w:rsidRPr="00021B9C" w:rsidRDefault="00595903" w:rsidP="00EE47F9">
            <w:pPr>
              <w:ind w:left="-36"/>
              <w:jc w:val="center"/>
            </w:pPr>
            <w:r>
              <w:lastRenderedPageBreak/>
              <w:t>OK</w:t>
            </w:r>
          </w:p>
        </w:tc>
        <w:tc>
          <w:tcPr>
            <w:tcW w:w="5612" w:type="dxa"/>
          </w:tcPr>
          <w:p w:rsidR="0042390A" w:rsidRPr="00021B9C" w:rsidRDefault="0042390A" w:rsidP="00EE47F9"/>
        </w:tc>
      </w:tr>
      <w:tr w:rsidR="0042390A" w:rsidRPr="00021B9C" w:rsidTr="00EC463E">
        <w:tc>
          <w:tcPr>
            <w:tcW w:w="8926" w:type="dxa"/>
          </w:tcPr>
          <w:p w:rsidR="0042390A" w:rsidRPr="00021B9C" w:rsidRDefault="0042390A" w:rsidP="00183DD3">
            <w:pPr>
              <w:pStyle w:val="Listeafsnit"/>
              <w:numPr>
                <w:ilvl w:val="0"/>
                <w:numId w:val="3"/>
              </w:numPr>
            </w:pPr>
            <w:r w:rsidRPr="00021B9C">
              <w:t>Oplagsområder til farligt affald skal være indrettet og afmærket, således at det enkelte område er tydeligt afgrænset, og så det klart fremgår, hvor de forskellige affalds</w:t>
            </w:r>
            <w:r>
              <w:t>arter og -</w:t>
            </w:r>
            <w:r w:rsidRPr="00021B9C">
              <w:t>fraktioner skal opbevares.</w:t>
            </w:r>
          </w:p>
        </w:tc>
        <w:tc>
          <w:tcPr>
            <w:tcW w:w="850" w:type="dxa"/>
          </w:tcPr>
          <w:p w:rsidR="0042390A" w:rsidRPr="00021B9C" w:rsidRDefault="00595903" w:rsidP="00EE47F9">
            <w:pPr>
              <w:ind w:left="-36"/>
              <w:jc w:val="center"/>
            </w:pPr>
            <w:r>
              <w:t>OK</w:t>
            </w:r>
          </w:p>
        </w:tc>
        <w:tc>
          <w:tcPr>
            <w:tcW w:w="5612" w:type="dxa"/>
          </w:tcPr>
          <w:p w:rsidR="0042390A" w:rsidRPr="00021B9C" w:rsidRDefault="00595903" w:rsidP="00EE47F9">
            <w:r w:rsidRPr="00757F8D">
              <w:t>Der er blevet opsat ny skiltning for, hvor modtaget affald skal placeres.</w:t>
            </w:r>
          </w:p>
        </w:tc>
      </w:tr>
      <w:tr w:rsidR="0042390A" w:rsidRPr="00021B9C" w:rsidTr="00757F8D">
        <w:trPr>
          <w:trHeight w:val="963"/>
        </w:trPr>
        <w:tc>
          <w:tcPr>
            <w:tcW w:w="8926" w:type="dxa"/>
          </w:tcPr>
          <w:p w:rsidR="0042390A" w:rsidRPr="00021B9C" w:rsidRDefault="0042390A" w:rsidP="00183DD3">
            <w:pPr>
              <w:pStyle w:val="Listeafsnit"/>
              <w:numPr>
                <w:ilvl w:val="0"/>
                <w:numId w:val="3"/>
              </w:numPr>
            </w:pPr>
            <w:r w:rsidRPr="00021B9C">
              <w:t>Oplag af farlige affalds</w:t>
            </w:r>
            <w:r>
              <w:t>arter og -</w:t>
            </w:r>
            <w:r w:rsidRPr="00021B9C">
              <w:t>fraktioner, der ved sammenblanding kan medføre en fysisk/kemisk reaktion, som kan udgøre en miljø- eller sundhedsmæssig risiko, skal ske således, at sammenblanding ikke er mulig. Spild fra stoffer, der kan reagere med andre f.eks. oxiderende stoffer skal opsamles i separat spildbakke/sump.</w:t>
            </w:r>
          </w:p>
          <w:p w:rsidR="0042390A" w:rsidRPr="00021B9C" w:rsidRDefault="0042390A" w:rsidP="00183DD3">
            <w:pPr>
              <w:pStyle w:val="Listeafsnit"/>
              <w:ind w:left="0"/>
            </w:pPr>
          </w:p>
          <w:p w:rsidR="0042390A" w:rsidRPr="00021B9C" w:rsidRDefault="0042390A" w:rsidP="00183DD3">
            <w:pPr>
              <w:pStyle w:val="Listeafsnit"/>
              <w:ind w:left="709"/>
            </w:pPr>
            <w:r w:rsidRPr="00021B9C">
              <w:lastRenderedPageBreak/>
              <w:t>Emballeret farligt affald skal placeres, således at den enkelte emballage kan inspiceres, og således, at der ikke er risiko for, at emballagerne vælter. Ved stabling af emballager må der ikke være risiko for, at de nederste emballager lider overlast.</w:t>
            </w:r>
          </w:p>
        </w:tc>
        <w:tc>
          <w:tcPr>
            <w:tcW w:w="850" w:type="dxa"/>
          </w:tcPr>
          <w:p w:rsidR="0042390A" w:rsidRPr="00021B9C" w:rsidRDefault="00757F8D" w:rsidP="00EE47F9">
            <w:pPr>
              <w:ind w:left="-36"/>
              <w:jc w:val="center"/>
            </w:pPr>
            <w:r>
              <w:lastRenderedPageBreak/>
              <w:t>OK</w:t>
            </w:r>
          </w:p>
        </w:tc>
        <w:tc>
          <w:tcPr>
            <w:tcW w:w="5612" w:type="dxa"/>
          </w:tcPr>
          <w:p w:rsidR="0042390A" w:rsidRPr="00021B9C" w:rsidRDefault="00D26480" w:rsidP="00EE47F9">
            <w:r>
              <w:t xml:space="preserve">Oplag af H2-affald, malingsrester, hvori der har været opstået brand, er blevet placeret på virksomhedens areal mod syd, for at mindske muligheden for brandudbredelse i tilfælde af brand. </w:t>
            </w:r>
          </w:p>
        </w:tc>
      </w:tr>
      <w:tr w:rsidR="0042390A" w:rsidRPr="00021B9C" w:rsidTr="00EC463E">
        <w:tc>
          <w:tcPr>
            <w:tcW w:w="8926" w:type="dxa"/>
          </w:tcPr>
          <w:p w:rsidR="0042390A" w:rsidRPr="00021B9C" w:rsidRDefault="0042390A" w:rsidP="00183DD3">
            <w:pPr>
              <w:pStyle w:val="Listeafsnit"/>
              <w:numPr>
                <w:ilvl w:val="0"/>
                <w:numId w:val="3"/>
              </w:numPr>
            </w:pPr>
            <w:r w:rsidRPr="00021B9C">
              <w:t>Alle emballager til farligt affald skal være egnede til opbevaring af den pågældende affaldsart eller -fraktion og forsynede med tydelig mærkning.</w:t>
            </w:r>
          </w:p>
        </w:tc>
        <w:tc>
          <w:tcPr>
            <w:tcW w:w="850" w:type="dxa"/>
          </w:tcPr>
          <w:p w:rsidR="0042390A" w:rsidRPr="00021B9C" w:rsidRDefault="00D26480" w:rsidP="00EE47F9">
            <w:pPr>
              <w:ind w:left="-36"/>
              <w:jc w:val="center"/>
            </w:pPr>
            <w:r>
              <w:t>OK</w:t>
            </w:r>
          </w:p>
        </w:tc>
        <w:tc>
          <w:tcPr>
            <w:tcW w:w="5612" w:type="dxa"/>
          </w:tcPr>
          <w:p w:rsidR="0042390A" w:rsidRPr="00021B9C" w:rsidRDefault="0042390A" w:rsidP="00EE47F9"/>
        </w:tc>
      </w:tr>
      <w:tr w:rsidR="0042390A" w:rsidRPr="00021B9C" w:rsidTr="00EC463E">
        <w:tc>
          <w:tcPr>
            <w:tcW w:w="8926" w:type="dxa"/>
          </w:tcPr>
          <w:p w:rsidR="0042390A" w:rsidRPr="00021B9C" w:rsidRDefault="0042390A" w:rsidP="00183DD3">
            <w:pPr>
              <w:pStyle w:val="Listeafsnit"/>
              <w:numPr>
                <w:ilvl w:val="0"/>
                <w:numId w:val="3"/>
              </w:numPr>
            </w:pPr>
            <w:r w:rsidRPr="00021B9C">
              <w:t>Flydende og støvende farligt affald skal opbevares i tætte, lukkede emballager, der er modstandsdygtige over for det affald, der opbevares i emballagen.</w:t>
            </w:r>
          </w:p>
        </w:tc>
        <w:tc>
          <w:tcPr>
            <w:tcW w:w="850" w:type="dxa"/>
          </w:tcPr>
          <w:p w:rsidR="0042390A" w:rsidRPr="00021B9C" w:rsidRDefault="00D26480" w:rsidP="00EE47F9">
            <w:pPr>
              <w:ind w:left="-36"/>
              <w:jc w:val="center"/>
            </w:pPr>
            <w:r>
              <w:t>OK</w:t>
            </w:r>
          </w:p>
        </w:tc>
        <w:tc>
          <w:tcPr>
            <w:tcW w:w="5612" w:type="dxa"/>
          </w:tcPr>
          <w:p w:rsidR="0042390A" w:rsidRPr="00021B9C" w:rsidRDefault="0042390A" w:rsidP="00EE47F9"/>
        </w:tc>
      </w:tr>
      <w:tr w:rsidR="0042390A" w:rsidRPr="00021B9C" w:rsidTr="00EC463E">
        <w:tc>
          <w:tcPr>
            <w:tcW w:w="8926" w:type="dxa"/>
          </w:tcPr>
          <w:p w:rsidR="0042390A" w:rsidRPr="00021B9C" w:rsidRDefault="0042390A" w:rsidP="00183DD3">
            <w:pPr>
              <w:rPr>
                <w:i/>
              </w:rPr>
            </w:pPr>
            <w:r w:rsidRPr="00021B9C">
              <w:rPr>
                <w:i/>
              </w:rPr>
              <w:t>Oplag af specifikke affaldsarter eller -fraktioner</w:t>
            </w:r>
          </w:p>
        </w:tc>
        <w:tc>
          <w:tcPr>
            <w:tcW w:w="850" w:type="dxa"/>
          </w:tcPr>
          <w:p w:rsidR="0042390A" w:rsidRPr="00021B9C" w:rsidRDefault="0042390A" w:rsidP="00EE47F9">
            <w:pPr>
              <w:ind w:left="-36"/>
              <w:jc w:val="center"/>
              <w:rPr>
                <w:i/>
              </w:rPr>
            </w:pPr>
          </w:p>
        </w:tc>
        <w:tc>
          <w:tcPr>
            <w:tcW w:w="5612" w:type="dxa"/>
          </w:tcPr>
          <w:p w:rsidR="0042390A" w:rsidRPr="00021B9C" w:rsidRDefault="0042390A" w:rsidP="00EE47F9">
            <w:pPr>
              <w:rPr>
                <w:i/>
              </w:rPr>
            </w:pPr>
          </w:p>
        </w:tc>
      </w:tr>
      <w:tr w:rsidR="0042390A" w:rsidRPr="00021B9C" w:rsidTr="00EC463E">
        <w:tc>
          <w:tcPr>
            <w:tcW w:w="8926" w:type="dxa"/>
          </w:tcPr>
          <w:p w:rsidR="0042390A" w:rsidRPr="00021B9C" w:rsidRDefault="0042390A" w:rsidP="00183DD3">
            <w:pPr>
              <w:pStyle w:val="Listeafsnit"/>
              <w:numPr>
                <w:ilvl w:val="0"/>
                <w:numId w:val="3"/>
              </w:numPr>
            </w:pPr>
            <w:bookmarkStart w:id="6" w:name="_Ref494292592"/>
            <w:r w:rsidRPr="00021B9C">
              <w:t>Giftigt og meget (akut) giftigt affald samt medicinrester skal opbevares forsvarligt i særskilt og aflåst skab, container eller rum forsynet med advarselsskilt.</w:t>
            </w:r>
            <w:bookmarkEnd w:id="6"/>
          </w:p>
        </w:tc>
        <w:tc>
          <w:tcPr>
            <w:tcW w:w="850" w:type="dxa"/>
          </w:tcPr>
          <w:p w:rsidR="0042390A" w:rsidRPr="00021B9C" w:rsidRDefault="00D26480" w:rsidP="00EE47F9">
            <w:pPr>
              <w:ind w:left="-36"/>
              <w:jc w:val="center"/>
            </w:pPr>
            <w:r>
              <w:t>OK</w:t>
            </w:r>
          </w:p>
        </w:tc>
        <w:tc>
          <w:tcPr>
            <w:tcW w:w="5612" w:type="dxa"/>
          </w:tcPr>
          <w:p w:rsidR="0042390A" w:rsidRPr="00021B9C" w:rsidRDefault="0042390A" w:rsidP="00EE47F9"/>
        </w:tc>
      </w:tr>
      <w:tr w:rsidR="0042390A" w:rsidRPr="00021B9C" w:rsidTr="00EC463E">
        <w:tc>
          <w:tcPr>
            <w:tcW w:w="8926" w:type="dxa"/>
          </w:tcPr>
          <w:p w:rsidR="0042390A" w:rsidRPr="00021B9C" w:rsidRDefault="0042390A" w:rsidP="00183DD3">
            <w:pPr>
              <w:pStyle w:val="Listeafsnit"/>
              <w:numPr>
                <w:ilvl w:val="0"/>
                <w:numId w:val="3"/>
              </w:numPr>
            </w:pPr>
            <w:bookmarkStart w:id="7" w:name="_Ref494292601"/>
            <w:r w:rsidRPr="00021B9C">
              <w:t>Klinisk risikoaffald skal opbevares særskilt under lås.</w:t>
            </w:r>
            <w:bookmarkEnd w:id="7"/>
            <w:r w:rsidRPr="00021B9C">
              <w:t xml:space="preserve"> </w:t>
            </w:r>
          </w:p>
        </w:tc>
        <w:tc>
          <w:tcPr>
            <w:tcW w:w="850" w:type="dxa"/>
          </w:tcPr>
          <w:p w:rsidR="0042390A" w:rsidRPr="00021B9C" w:rsidRDefault="00D26480" w:rsidP="00EE47F9">
            <w:pPr>
              <w:ind w:left="-36"/>
              <w:jc w:val="center"/>
            </w:pPr>
            <w:r>
              <w:t>OK</w:t>
            </w:r>
          </w:p>
        </w:tc>
        <w:tc>
          <w:tcPr>
            <w:tcW w:w="5612" w:type="dxa"/>
          </w:tcPr>
          <w:p w:rsidR="0042390A" w:rsidRPr="00021B9C" w:rsidRDefault="00D26480" w:rsidP="00EE47F9">
            <w:r>
              <w:t xml:space="preserve">Klinisk risikoaffald opbevares særskilt i egnede de beholdere, som affaldet modtages i. </w:t>
            </w:r>
          </w:p>
        </w:tc>
      </w:tr>
      <w:tr w:rsidR="0042390A" w:rsidRPr="00021B9C" w:rsidTr="00EC463E">
        <w:tc>
          <w:tcPr>
            <w:tcW w:w="8926" w:type="dxa"/>
          </w:tcPr>
          <w:p w:rsidR="0042390A" w:rsidRPr="00021B9C" w:rsidRDefault="0042390A" w:rsidP="00183DD3">
            <w:pPr>
              <w:pStyle w:val="Listeafsnit"/>
              <w:numPr>
                <w:ilvl w:val="0"/>
                <w:numId w:val="3"/>
              </w:numPr>
            </w:pPr>
            <w:r w:rsidRPr="00021B9C">
              <w:t>Akkumulatorer og batterier skal opbevares i tætte syrefaste beholdere. Beholderne skal være lukkede eller opbevares overdækket.</w:t>
            </w:r>
          </w:p>
        </w:tc>
        <w:tc>
          <w:tcPr>
            <w:tcW w:w="850" w:type="dxa"/>
          </w:tcPr>
          <w:p w:rsidR="0042390A" w:rsidRPr="00021B9C" w:rsidRDefault="00D26480" w:rsidP="00EE47F9">
            <w:pPr>
              <w:ind w:left="-36"/>
              <w:jc w:val="center"/>
            </w:pPr>
            <w:r>
              <w:t>OK</w:t>
            </w:r>
          </w:p>
        </w:tc>
        <w:tc>
          <w:tcPr>
            <w:tcW w:w="5612" w:type="dxa"/>
          </w:tcPr>
          <w:p w:rsidR="0042390A" w:rsidRPr="00021B9C" w:rsidRDefault="0042390A" w:rsidP="00EE47F9"/>
        </w:tc>
      </w:tr>
      <w:tr w:rsidR="0042390A" w:rsidRPr="00021B9C" w:rsidTr="00EC463E">
        <w:tc>
          <w:tcPr>
            <w:tcW w:w="8926" w:type="dxa"/>
          </w:tcPr>
          <w:p w:rsidR="0042390A" w:rsidRPr="00021B9C" w:rsidRDefault="0042390A" w:rsidP="00183DD3">
            <w:pPr>
              <w:pStyle w:val="Listeafsnit"/>
              <w:numPr>
                <w:ilvl w:val="0"/>
                <w:numId w:val="3"/>
              </w:numPr>
            </w:pPr>
            <w:r w:rsidRPr="00021B9C">
              <w:t>Helt eller delvist knuste kviksølvholdige lyskilder samt kviksølvholdigt glas eller pulver skal opbevares i tætte lukkede emballager.</w:t>
            </w:r>
          </w:p>
        </w:tc>
        <w:tc>
          <w:tcPr>
            <w:tcW w:w="850" w:type="dxa"/>
          </w:tcPr>
          <w:p w:rsidR="0042390A" w:rsidRPr="00021B9C" w:rsidRDefault="00D26480" w:rsidP="00EE47F9">
            <w:pPr>
              <w:ind w:left="-36"/>
              <w:jc w:val="center"/>
            </w:pPr>
            <w:r>
              <w:t>OK</w:t>
            </w:r>
          </w:p>
        </w:tc>
        <w:tc>
          <w:tcPr>
            <w:tcW w:w="5612" w:type="dxa"/>
          </w:tcPr>
          <w:p w:rsidR="0042390A" w:rsidRPr="00021B9C" w:rsidRDefault="0042390A" w:rsidP="00EE47F9"/>
        </w:tc>
      </w:tr>
      <w:tr w:rsidR="0042390A" w:rsidRPr="00021B9C" w:rsidTr="00EC463E">
        <w:tc>
          <w:tcPr>
            <w:tcW w:w="8926" w:type="dxa"/>
          </w:tcPr>
          <w:p w:rsidR="0042390A" w:rsidRPr="00021B9C" w:rsidRDefault="0042390A" w:rsidP="00183DD3">
            <w:pPr>
              <w:pStyle w:val="Listeafsnit"/>
              <w:numPr>
                <w:ilvl w:val="0"/>
                <w:numId w:val="3"/>
              </w:numPr>
            </w:pPr>
            <w:r w:rsidRPr="00021B9C">
              <w:t xml:space="preserve">Asbeststøv, støvende asbestholdigt affald, filtre og lignende samt asbestholdigt affald, der kan støve, som f.eks. bløde lofts- og </w:t>
            </w:r>
            <w:proofErr w:type="spellStart"/>
            <w:r w:rsidRPr="00021B9C">
              <w:t>vægplader</w:t>
            </w:r>
            <w:proofErr w:type="spellEnd"/>
            <w:r w:rsidRPr="00021B9C">
              <w:t xml:space="preserve"> og ødelagte plader med cementbundne asbestfibre, skal i befugtet tilstand opbevares i egnet, lukket, tæt emballage, der er mærket med oplysning om, at den indeholder asbest.</w:t>
            </w:r>
          </w:p>
        </w:tc>
        <w:tc>
          <w:tcPr>
            <w:tcW w:w="850" w:type="dxa"/>
          </w:tcPr>
          <w:p w:rsidR="0042390A" w:rsidRPr="00021B9C" w:rsidRDefault="00D26480" w:rsidP="00EE47F9">
            <w:pPr>
              <w:ind w:left="-36"/>
              <w:jc w:val="center"/>
            </w:pPr>
            <w:r>
              <w:t>OK</w:t>
            </w:r>
          </w:p>
        </w:tc>
        <w:tc>
          <w:tcPr>
            <w:tcW w:w="5612" w:type="dxa"/>
          </w:tcPr>
          <w:p w:rsidR="0042390A" w:rsidRPr="00021B9C" w:rsidRDefault="00316256" w:rsidP="00316256">
            <w:r>
              <w:t xml:space="preserve">Virksomheden modtager ikke længere </w:t>
            </w:r>
            <w:proofErr w:type="spellStart"/>
            <w:r>
              <w:t>letstøvende</w:t>
            </w:r>
            <w:proofErr w:type="spellEnd"/>
            <w:r>
              <w:t xml:space="preserve"> asbestaffald. SMOKA henviser i stedet transportører direkte til AV Miljø.</w:t>
            </w:r>
          </w:p>
        </w:tc>
      </w:tr>
      <w:tr w:rsidR="0042390A" w:rsidRPr="00021B9C" w:rsidTr="00EC463E">
        <w:tc>
          <w:tcPr>
            <w:tcW w:w="8926" w:type="dxa"/>
          </w:tcPr>
          <w:p w:rsidR="0042390A" w:rsidRPr="00021B9C" w:rsidRDefault="0042390A" w:rsidP="00183DD3">
            <w:pPr>
              <w:rPr>
                <w:i/>
              </w:rPr>
            </w:pPr>
            <w:r w:rsidRPr="00021B9C">
              <w:rPr>
                <w:i/>
              </w:rPr>
              <w:t>Stationære tankanlæg samt øvrige faste rør og slanger</w:t>
            </w:r>
          </w:p>
        </w:tc>
        <w:tc>
          <w:tcPr>
            <w:tcW w:w="850" w:type="dxa"/>
          </w:tcPr>
          <w:p w:rsidR="0042390A" w:rsidRPr="00021B9C" w:rsidRDefault="0042390A" w:rsidP="00EE47F9">
            <w:pPr>
              <w:ind w:left="-36"/>
              <w:jc w:val="center"/>
              <w:rPr>
                <w:i/>
              </w:rPr>
            </w:pPr>
          </w:p>
        </w:tc>
        <w:tc>
          <w:tcPr>
            <w:tcW w:w="5612" w:type="dxa"/>
          </w:tcPr>
          <w:p w:rsidR="0042390A" w:rsidRPr="00021B9C" w:rsidRDefault="0042390A" w:rsidP="00EE47F9">
            <w:pPr>
              <w:rPr>
                <w:i/>
              </w:rPr>
            </w:pPr>
          </w:p>
        </w:tc>
      </w:tr>
      <w:tr w:rsidR="0042390A" w:rsidRPr="00021B9C" w:rsidTr="00EC463E">
        <w:trPr>
          <w:trHeight w:val="1416"/>
        </w:trPr>
        <w:tc>
          <w:tcPr>
            <w:tcW w:w="8926" w:type="dxa"/>
          </w:tcPr>
          <w:p w:rsidR="0042390A" w:rsidRPr="00021B9C" w:rsidRDefault="0042390A" w:rsidP="00183DD3">
            <w:pPr>
              <w:pStyle w:val="Listeafsnit"/>
              <w:numPr>
                <w:ilvl w:val="0"/>
                <w:numId w:val="3"/>
              </w:numPr>
            </w:pPr>
            <w:bookmarkStart w:id="8" w:name="_Ref494293573"/>
            <w:r w:rsidRPr="00021B9C">
              <w:t>Stationære tankanlæg</w:t>
            </w:r>
            <w:r w:rsidRPr="00021B9C">
              <w:rPr>
                <w:rStyle w:val="Fodnotehenvisning"/>
              </w:rPr>
              <w:footnoteReference w:id="5"/>
            </w:r>
            <w:r w:rsidRPr="00021B9C">
              <w:t xml:space="preserve"> til opbevaring af farligt affald skal:</w:t>
            </w:r>
          </w:p>
          <w:bookmarkEnd w:id="8"/>
          <w:p w:rsidR="0042390A" w:rsidRPr="00021B9C" w:rsidRDefault="0042390A" w:rsidP="00183DD3">
            <w:pPr>
              <w:pStyle w:val="Listeafsnit"/>
              <w:numPr>
                <w:ilvl w:val="0"/>
                <w:numId w:val="5"/>
              </w:numPr>
              <w:ind w:left="1134"/>
            </w:pPr>
            <w:r w:rsidRPr="00021B9C">
              <w:t>være tætte og i god vedligeholdelsesstand.</w:t>
            </w:r>
          </w:p>
          <w:p w:rsidR="0042390A" w:rsidRPr="00021B9C" w:rsidRDefault="0042390A" w:rsidP="00183DD3">
            <w:pPr>
              <w:pStyle w:val="Listeafsnit"/>
              <w:numPr>
                <w:ilvl w:val="0"/>
                <w:numId w:val="5"/>
              </w:numPr>
              <w:ind w:left="1134"/>
            </w:pPr>
            <w:r w:rsidRPr="00021B9C">
              <w:t>være forsynet med overfyldningsalarm, der som minimum markerer, når tanken er 90 % fuld. Alarmen skal kunne registreres fra påfyldningsstedet.</w:t>
            </w:r>
          </w:p>
          <w:p w:rsidR="0042390A" w:rsidRPr="00021B9C" w:rsidRDefault="0042390A" w:rsidP="00183DD3">
            <w:pPr>
              <w:pStyle w:val="Listeafsnit"/>
              <w:numPr>
                <w:ilvl w:val="0"/>
                <w:numId w:val="5"/>
              </w:numPr>
              <w:ind w:left="1134"/>
            </w:pPr>
            <w:r w:rsidRPr="00021B9C">
              <w:t>være korrosionsbeskyttet indvendigt eller opbygget af materialer, der er resistente over for den type affald, de anvendes til, og over for eventuelt kondensvand.</w:t>
            </w:r>
          </w:p>
          <w:p w:rsidR="0042390A" w:rsidRPr="00021B9C" w:rsidRDefault="0042390A" w:rsidP="00183DD3">
            <w:pPr>
              <w:pStyle w:val="Listeafsnit"/>
              <w:numPr>
                <w:ilvl w:val="0"/>
                <w:numId w:val="5"/>
              </w:numPr>
              <w:ind w:left="1134"/>
            </w:pPr>
            <w:r w:rsidRPr="00021B9C">
              <w:t>sikres mod påkørsel.</w:t>
            </w:r>
          </w:p>
          <w:p w:rsidR="0042390A" w:rsidRPr="00021B9C" w:rsidRDefault="0042390A" w:rsidP="00183DD3">
            <w:pPr>
              <w:pStyle w:val="Listeafsnit"/>
              <w:numPr>
                <w:ilvl w:val="0"/>
                <w:numId w:val="5"/>
              </w:numPr>
              <w:ind w:left="1134"/>
            </w:pPr>
            <w:r w:rsidRPr="00021B9C">
              <w:t>Eventuelle utætheder skal udbedres straks efter, at de er konstateret.</w:t>
            </w:r>
          </w:p>
          <w:p w:rsidR="0042390A" w:rsidRPr="00021B9C" w:rsidRDefault="0042390A" w:rsidP="00183DD3">
            <w:pPr>
              <w:pStyle w:val="Listeafsnit"/>
              <w:numPr>
                <w:ilvl w:val="0"/>
                <w:numId w:val="4"/>
              </w:numPr>
              <w:ind w:left="1134"/>
            </w:pPr>
            <w:r w:rsidRPr="00021B9C">
              <w:lastRenderedPageBreak/>
              <w:t>Tankene skal være udformet som lukkede beholdere med fast tag, og de skal være hævet over underlaget, så inspektion af bunden er muligt.</w:t>
            </w:r>
          </w:p>
          <w:p w:rsidR="0042390A" w:rsidRPr="00021B9C" w:rsidRDefault="0042390A" w:rsidP="00183DD3">
            <w:pPr>
              <w:pStyle w:val="Listeafsnit"/>
              <w:numPr>
                <w:ilvl w:val="0"/>
                <w:numId w:val="4"/>
              </w:numPr>
              <w:ind w:left="1134"/>
            </w:pPr>
            <w:r w:rsidRPr="00021B9C">
              <w:t>Dobbeltvæggede tanke skal være tilsluttet et trykovervågningssystem for lækager.</w:t>
            </w:r>
          </w:p>
          <w:p w:rsidR="0042390A" w:rsidRPr="00021B9C" w:rsidRDefault="0042390A" w:rsidP="00183DD3">
            <w:pPr>
              <w:pStyle w:val="Listeafsnit"/>
              <w:numPr>
                <w:ilvl w:val="0"/>
                <w:numId w:val="4"/>
              </w:numPr>
              <w:ind w:left="1134"/>
            </w:pPr>
            <w:r w:rsidRPr="00021B9C">
              <w:t>Påfyldningsrør på tankene skal være afsluttet med hætte eller dæksel. Rør og slanger til påfyldning og aftapning skal være placeret og udformet således, at de er tomme, når der ikke transporteres farligt affald i dem.</w:t>
            </w:r>
          </w:p>
          <w:p w:rsidR="0042390A" w:rsidRPr="00021B9C" w:rsidRDefault="0042390A" w:rsidP="00183DD3">
            <w:pPr>
              <w:pStyle w:val="Listeafsnit"/>
              <w:numPr>
                <w:ilvl w:val="0"/>
                <w:numId w:val="4"/>
              </w:numPr>
              <w:ind w:left="1134"/>
            </w:pPr>
            <w:r w:rsidRPr="00021B9C">
              <w:t>Tanke, der anvendes til farligt affald, skal være udstyret med tryk/</w:t>
            </w:r>
            <w:proofErr w:type="spellStart"/>
            <w:r w:rsidRPr="00021B9C">
              <w:t>vacuum</w:t>
            </w:r>
            <w:proofErr w:type="spellEnd"/>
            <w:r w:rsidRPr="00021B9C">
              <w:t xml:space="preserve"> ventil. Hvis tankanlægget er placeret i en bygning, skal åndingsluft fra tanken føres via et udluftningsrør til det fri og mindst 1 meter over tagryg på det tag, hvor afkastet er placeret.</w:t>
            </w:r>
          </w:p>
          <w:p w:rsidR="0042390A" w:rsidRPr="00021B9C" w:rsidRDefault="0042390A" w:rsidP="00183DD3">
            <w:pPr>
              <w:pStyle w:val="Listeafsnit"/>
              <w:numPr>
                <w:ilvl w:val="0"/>
                <w:numId w:val="4"/>
              </w:numPr>
              <w:ind w:left="1134"/>
            </w:pPr>
            <w:r w:rsidRPr="00021B9C">
              <w:t>Udendørs tanke skal enten males, således at tankoverfladen har en samlet strålevarmerefleksionskoefficient på mindst 70 %, eller isoleres, således at samme effekt opnås med hensyn til reduktion af temperaturafhængige emissioner fra tanken.</w:t>
            </w:r>
          </w:p>
          <w:p w:rsidR="0042390A" w:rsidRPr="00021B9C" w:rsidRDefault="0042390A" w:rsidP="00183DD3">
            <w:pPr>
              <w:pStyle w:val="Listeafsnit"/>
              <w:numPr>
                <w:ilvl w:val="0"/>
                <w:numId w:val="4"/>
              </w:numPr>
              <w:ind w:left="1134"/>
            </w:pPr>
            <w:r w:rsidRPr="00021B9C">
              <w:t>Tankanlæg skal være placeret i tætte tankgårde uden afløb eller med afspærringsventil, hvor volumenet af den største tank maksimalt udgør 90 % af tankgårdens opsamlingskapacitet.</w:t>
            </w:r>
          </w:p>
        </w:tc>
        <w:tc>
          <w:tcPr>
            <w:tcW w:w="850" w:type="dxa"/>
          </w:tcPr>
          <w:p w:rsidR="0042390A" w:rsidRPr="00021B9C" w:rsidRDefault="00D26480" w:rsidP="00EE47F9">
            <w:pPr>
              <w:ind w:left="-36"/>
              <w:jc w:val="center"/>
            </w:pPr>
            <w:r>
              <w:lastRenderedPageBreak/>
              <w:t>OK</w:t>
            </w:r>
          </w:p>
        </w:tc>
        <w:tc>
          <w:tcPr>
            <w:tcW w:w="5612" w:type="dxa"/>
          </w:tcPr>
          <w:p w:rsidR="0042390A" w:rsidRDefault="00D26480" w:rsidP="00EE47F9">
            <w:r>
              <w:t>Trykprøvning af rør sker årligt, senest oktober 2018.</w:t>
            </w:r>
          </w:p>
          <w:p w:rsidR="00D26480" w:rsidRDefault="00D26480" w:rsidP="00EE47F9">
            <w:r>
              <w:t>Virksomheden har ingen dobbeltvæggede tanke p.t.</w:t>
            </w:r>
          </w:p>
          <w:p w:rsidR="004D72A9" w:rsidRDefault="004D72A9" w:rsidP="00EE47F9">
            <w:r>
              <w:t>Tankanlæggene er omgivet af tankgårde og er sikret mod påkørsel.</w:t>
            </w:r>
          </w:p>
          <w:p w:rsidR="00D26480" w:rsidRDefault="00D26480" w:rsidP="00EE47F9"/>
          <w:p w:rsidR="00D26480" w:rsidRPr="00021B9C" w:rsidRDefault="00D26480" w:rsidP="00EE47F9">
            <w:r>
              <w:t>Frekvenser for eftersyn mm. Er indskrevet digitalt i en vedligeholdelsesplan, der giver kalendernotifikationer.</w:t>
            </w:r>
          </w:p>
        </w:tc>
      </w:tr>
      <w:tr w:rsidR="0042390A" w:rsidRPr="00021B9C" w:rsidTr="00EC463E">
        <w:tc>
          <w:tcPr>
            <w:tcW w:w="8926" w:type="dxa"/>
          </w:tcPr>
          <w:p w:rsidR="0042390A" w:rsidRPr="00021B9C" w:rsidRDefault="0042390A" w:rsidP="00183DD3">
            <w:pPr>
              <w:pStyle w:val="Listeafsnit"/>
              <w:numPr>
                <w:ilvl w:val="0"/>
                <w:numId w:val="3"/>
              </w:numPr>
              <w:rPr>
                <w:b/>
              </w:rPr>
            </w:pPr>
            <w:r w:rsidRPr="00021B9C">
              <w:t xml:space="preserve">Godkendelsesmyndigheden kan på baggrund af en konkret vurdering af det farlige affalds egenskaber (eksempelvis sammensætning, damptryk og lugt) kræve, at der etableres kulfilter på bestemte tanke. </w:t>
            </w:r>
            <w:r w:rsidRPr="00021B9C">
              <w:rPr>
                <w:b/>
                <w:color w:val="FF0000"/>
              </w:rPr>
              <w:t xml:space="preserve"> </w:t>
            </w:r>
          </w:p>
        </w:tc>
        <w:tc>
          <w:tcPr>
            <w:tcW w:w="850" w:type="dxa"/>
          </w:tcPr>
          <w:p w:rsidR="0042390A" w:rsidRPr="00021B9C" w:rsidRDefault="004D72A9" w:rsidP="00EE47F9">
            <w:pPr>
              <w:ind w:left="-36"/>
              <w:jc w:val="center"/>
            </w:pPr>
            <w:r>
              <w:t>-</w:t>
            </w:r>
          </w:p>
        </w:tc>
        <w:tc>
          <w:tcPr>
            <w:tcW w:w="5612" w:type="dxa"/>
          </w:tcPr>
          <w:p w:rsidR="0042390A" w:rsidRPr="00021B9C" w:rsidRDefault="004D72A9" w:rsidP="00EE47F9">
            <w:r>
              <w:t>Ikke relevant ved tilsynet.</w:t>
            </w:r>
          </w:p>
        </w:tc>
      </w:tr>
      <w:tr w:rsidR="0042390A" w:rsidRPr="00021B9C" w:rsidTr="00EC463E">
        <w:tc>
          <w:tcPr>
            <w:tcW w:w="8926" w:type="dxa"/>
          </w:tcPr>
          <w:p w:rsidR="0042390A" w:rsidRPr="00021B9C" w:rsidRDefault="0042390A" w:rsidP="00183DD3">
            <w:pPr>
              <w:pStyle w:val="Listeafsnit"/>
              <w:numPr>
                <w:ilvl w:val="0"/>
                <w:numId w:val="3"/>
              </w:numPr>
              <w:rPr>
                <w:b/>
              </w:rPr>
            </w:pPr>
            <w:bookmarkStart w:id="9" w:name="_Ref494293658"/>
            <w:r w:rsidRPr="00021B9C">
              <w:t>Øvrige faste rørsystemer og slanger, som anvendes til farligt affald, skal være tætte, i god vedligeholdelsestilstand og korrosionsbeskyttet indvendigt eller opbygget af materialer, der er resistente over for den type affald, de anvendes til, og over for eventuelt kondensvand.</w:t>
            </w:r>
            <w:bookmarkEnd w:id="9"/>
          </w:p>
        </w:tc>
        <w:tc>
          <w:tcPr>
            <w:tcW w:w="850" w:type="dxa"/>
          </w:tcPr>
          <w:p w:rsidR="0042390A" w:rsidRPr="00021B9C" w:rsidRDefault="004D72A9" w:rsidP="00EE47F9">
            <w:pPr>
              <w:ind w:left="-36"/>
              <w:jc w:val="center"/>
            </w:pPr>
            <w:r>
              <w:t>OK</w:t>
            </w:r>
          </w:p>
        </w:tc>
        <w:tc>
          <w:tcPr>
            <w:tcW w:w="5612" w:type="dxa"/>
          </w:tcPr>
          <w:p w:rsidR="0042390A" w:rsidRPr="00021B9C" w:rsidRDefault="004D72A9" w:rsidP="00EE47F9">
            <w:r>
              <w:t>Vedligeholdelsesplan følges.</w:t>
            </w:r>
          </w:p>
        </w:tc>
      </w:tr>
      <w:tr w:rsidR="0042390A" w:rsidRPr="00021B9C" w:rsidTr="00EC463E">
        <w:tc>
          <w:tcPr>
            <w:tcW w:w="8926" w:type="dxa"/>
          </w:tcPr>
          <w:p w:rsidR="0042390A" w:rsidRPr="00021B9C" w:rsidRDefault="0042390A" w:rsidP="00183DD3">
            <w:pPr>
              <w:pStyle w:val="Listeafsnit"/>
              <w:numPr>
                <w:ilvl w:val="0"/>
                <w:numId w:val="3"/>
              </w:numPr>
              <w:rPr>
                <w:b/>
              </w:rPr>
            </w:pPr>
            <w:r w:rsidRPr="00021B9C">
              <w:t>Inden ibrugtagning af stationære tankanlæg og øvrige faste rørsystemer og slanger til farligt affald skal dokumentation for anlæggenes, rørenes og slangernes tæthed fremsendes til tilsynsmyndigheden.</w:t>
            </w:r>
          </w:p>
        </w:tc>
        <w:tc>
          <w:tcPr>
            <w:tcW w:w="850" w:type="dxa"/>
          </w:tcPr>
          <w:p w:rsidR="0042390A" w:rsidRPr="00021B9C" w:rsidRDefault="004D72A9" w:rsidP="00EE47F9">
            <w:pPr>
              <w:ind w:left="-36"/>
              <w:jc w:val="center"/>
            </w:pPr>
            <w:r>
              <w:t>-</w:t>
            </w:r>
          </w:p>
        </w:tc>
        <w:tc>
          <w:tcPr>
            <w:tcW w:w="5612" w:type="dxa"/>
          </w:tcPr>
          <w:p w:rsidR="0042390A" w:rsidRPr="00021B9C" w:rsidRDefault="004D72A9" w:rsidP="00EE47F9">
            <w:r>
              <w:t>Ikke relevant ved tilsynet.</w:t>
            </w:r>
          </w:p>
        </w:tc>
      </w:tr>
      <w:tr w:rsidR="0042390A" w:rsidRPr="00021B9C" w:rsidTr="00EC463E">
        <w:tc>
          <w:tcPr>
            <w:tcW w:w="8926" w:type="dxa"/>
          </w:tcPr>
          <w:p w:rsidR="0042390A" w:rsidRPr="00021B9C" w:rsidRDefault="0042390A" w:rsidP="00183DD3">
            <w:pPr>
              <w:pStyle w:val="Listeafsnit"/>
              <w:numPr>
                <w:ilvl w:val="0"/>
                <w:numId w:val="3"/>
              </w:numPr>
            </w:pPr>
            <w:r w:rsidRPr="00021B9C">
              <w:t>Godkendelsesmyndigheden kan på baggrund af en vurdering af det enkelte tankanlægs tilstand fastsætte individuelle sløjfningsterminer for specifikke tankanlæg eller dele heraf.</w:t>
            </w:r>
          </w:p>
        </w:tc>
        <w:tc>
          <w:tcPr>
            <w:tcW w:w="850" w:type="dxa"/>
          </w:tcPr>
          <w:p w:rsidR="0042390A" w:rsidRPr="00021B9C" w:rsidRDefault="004D72A9" w:rsidP="00EE47F9">
            <w:pPr>
              <w:ind w:left="-36"/>
              <w:jc w:val="center"/>
            </w:pPr>
            <w:r>
              <w:t>-</w:t>
            </w:r>
          </w:p>
        </w:tc>
        <w:tc>
          <w:tcPr>
            <w:tcW w:w="5612" w:type="dxa"/>
          </w:tcPr>
          <w:p w:rsidR="0042390A" w:rsidRPr="00021B9C" w:rsidRDefault="004D72A9" w:rsidP="00EE47F9">
            <w:r>
              <w:t>Ikke relevant ved tilsynet.</w:t>
            </w:r>
          </w:p>
        </w:tc>
      </w:tr>
      <w:tr w:rsidR="0042390A" w:rsidRPr="00021B9C" w:rsidTr="00EC463E">
        <w:tc>
          <w:tcPr>
            <w:tcW w:w="8926" w:type="dxa"/>
          </w:tcPr>
          <w:p w:rsidR="0042390A" w:rsidRPr="00021B9C" w:rsidRDefault="0042390A" w:rsidP="00183DD3">
            <w:pPr>
              <w:pStyle w:val="Listeafsnit"/>
              <w:numPr>
                <w:ilvl w:val="0"/>
                <w:numId w:val="3"/>
              </w:numPr>
              <w:rPr>
                <w:b/>
              </w:rPr>
            </w:pPr>
            <w:r w:rsidRPr="00021B9C">
              <w:t>Alle rør til farligt affald, som er under plads- eller gulvniveau, skal være ført i en rørgrav, der giver mulighed for inspektion af rørene.</w:t>
            </w:r>
          </w:p>
        </w:tc>
        <w:tc>
          <w:tcPr>
            <w:tcW w:w="850" w:type="dxa"/>
          </w:tcPr>
          <w:p w:rsidR="0042390A" w:rsidRPr="00021B9C" w:rsidRDefault="004D72A9" w:rsidP="00EE47F9">
            <w:pPr>
              <w:ind w:left="-36"/>
              <w:jc w:val="center"/>
            </w:pPr>
            <w:r>
              <w:t>-</w:t>
            </w:r>
          </w:p>
        </w:tc>
        <w:tc>
          <w:tcPr>
            <w:tcW w:w="5612" w:type="dxa"/>
          </w:tcPr>
          <w:p w:rsidR="0042390A" w:rsidRPr="00021B9C" w:rsidRDefault="004D72A9" w:rsidP="00EE47F9">
            <w:r>
              <w:t>Alle rørføringer til farligt affald er etableret overjordisk.</w:t>
            </w:r>
          </w:p>
        </w:tc>
      </w:tr>
      <w:tr w:rsidR="0042390A" w:rsidRPr="00021B9C" w:rsidTr="00EC463E">
        <w:tc>
          <w:tcPr>
            <w:tcW w:w="8926" w:type="dxa"/>
          </w:tcPr>
          <w:p w:rsidR="0042390A" w:rsidRPr="00021B9C" w:rsidRDefault="0042390A" w:rsidP="00183DD3">
            <w:pPr>
              <w:rPr>
                <w:i/>
              </w:rPr>
            </w:pPr>
            <w:r w:rsidRPr="00021B9C">
              <w:rPr>
                <w:i/>
              </w:rPr>
              <w:t>Omlastning, omemballering og sortering af farligt affald</w:t>
            </w:r>
          </w:p>
        </w:tc>
        <w:tc>
          <w:tcPr>
            <w:tcW w:w="850" w:type="dxa"/>
          </w:tcPr>
          <w:p w:rsidR="0042390A" w:rsidRPr="00021B9C" w:rsidRDefault="0042390A" w:rsidP="00EE47F9">
            <w:pPr>
              <w:ind w:left="-36"/>
              <w:jc w:val="center"/>
              <w:rPr>
                <w:i/>
              </w:rPr>
            </w:pPr>
          </w:p>
        </w:tc>
        <w:tc>
          <w:tcPr>
            <w:tcW w:w="5612" w:type="dxa"/>
          </w:tcPr>
          <w:p w:rsidR="0042390A" w:rsidRPr="00021B9C" w:rsidRDefault="0042390A" w:rsidP="00EE47F9">
            <w:pPr>
              <w:rPr>
                <w:i/>
              </w:rPr>
            </w:pPr>
          </w:p>
        </w:tc>
      </w:tr>
      <w:tr w:rsidR="0042390A" w:rsidRPr="00021B9C" w:rsidTr="00EC463E">
        <w:tc>
          <w:tcPr>
            <w:tcW w:w="8926" w:type="dxa"/>
          </w:tcPr>
          <w:p w:rsidR="0042390A" w:rsidRPr="00021B9C" w:rsidRDefault="0042390A" w:rsidP="00183DD3">
            <w:pPr>
              <w:pStyle w:val="Listeafsnit"/>
              <w:numPr>
                <w:ilvl w:val="0"/>
                <w:numId w:val="3"/>
              </w:numPr>
              <w:ind w:left="641" w:hanging="357"/>
              <w:rPr>
                <w:b/>
              </w:rPr>
            </w:pPr>
            <w:r w:rsidRPr="00021B9C">
              <w:lastRenderedPageBreak/>
              <w:t xml:space="preserve">Omlastning, omemballering og sortering af farligt affald må kun foregå på en tæt belægning, der er uigennemtrængeligt for de forurenende stoffer, som findes i det farlige affald. </w:t>
            </w:r>
          </w:p>
        </w:tc>
        <w:tc>
          <w:tcPr>
            <w:tcW w:w="850" w:type="dxa"/>
          </w:tcPr>
          <w:p w:rsidR="0042390A" w:rsidRPr="00021B9C" w:rsidRDefault="004D72A9" w:rsidP="00EE47F9">
            <w:pPr>
              <w:ind w:left="-36"/>
              <w:jc w:val="center"/>
            </w:pPr>
            <w:r>
              <w:t>OK</w:t>
            </w:r>
          </w:p>
        </w:tc>
        <w:tc>
          <w:tcPr>
            <w:tcW w:w="5612" w:type="dxa"/>
          </w:tcPr>
          <w:p w:rsidR="0042390A" w:rsidRPr="00021B9C" w:rsidRDefault="004D72A9" w:rsidP="00EE47F9">
            <w:r>
              <w:t xml:space="preserve">Flydende affald </w:t>
            </w:r>
            <w:proofErr w:type="spellStart"/>
            <w:r>
              <w:t>omlastes</w:t>
            </w:r>
            <w:proofErr w:type="spellEnd"/>
            <w:r>
              <w:t xml:space="preserve"> i bygninger med tæt belægning og hvor der er afløb til opsamlingsgruber.</w:t>
            </w:r>
          </w:p>
        </w:tc>
      </w:tr>
      <w:tr w:rsidR="0042390A" w:rsidRPr="00021B9C" w:rsidTr="00EC463E">
        <w:tc>
          <w:tcPr>
            <w:tcW w:w="8926" w:type="dxa"/>
          </w:tcPr>
          <w:p w:rsidR="0042390A" w:rsidRPr="00021B9C" w:rsidRDefault="0042390A" w:rsidP="00183DD3">
            <w:pPr>
              <w:pStyle w:val="Listeafsnit"/>
              <w:numPr>
                <w:ilvl w:val="0"/>
                <w:numId w:val="3"/>
              </w:numPr>
              <w:ind w:left="641" w:hanging="357"/>
              <w:rPr>
                <w:b/>
              </w:rPr>
            </w:pPr>
            <w:r w:rsidRPr="00021B9C">
              <w:t>Påfyldning af og aftapning fra tankanlæg med farligt affald skal foregå under overvågning. Pumpning af farligt affald fra virksomhedens tankanlæg til nabovirksomhedens lagertank skal foregå under overvågning af en medarbejder eller person, der er instrueret hertil.</w:t>
            </w:r>
          </w:p>
        </w:tc>
        <w:tc>
          <w:tcPr>
            <w:tcW w:w="850" w:type="dxa"/>
          </w:tcPr>
          <w:p w:rsidR="0042390A" w:rsidRPr="00021B9C" w:rsidRDefault="004D72A9" w:rsidP="00EE47F9">
            <w:pPr>
              <w:ind w:left="-36"/>
              <w:jc w:val="center"/>
            </w:pPr>
            <w:r>
              <w:t>OK</w:t>
            </w:r>
          </w:p>
        </w:tc>
        <w:tc>
          <w:tcPr>
            <w:tcW w:w="5612" w:type="dxa"/>
          </w:tcPr>
          <w:p w:rsidR="0042390A" w:rsidRPr="00021B9C" w:rsidRDefault="004D72A9" w:rsidP="00EE47F9">
            <w:r>
              <w:t xml:space="preserve">Kunne ikke kontrolleres ved tilsynet, da der ikke forgik pumpning af affald. </w:t>
            </w:r>
          </w:p>
        </w:tc>
      </w:tr>
      <w:tr w:rsidR="0042390A" w:rsidRPr="00021B9C" w:rsidTr="00EC463E">
        <w:tc>
          <w:tcPr>
            <w:tcW w:w="8926" w:type="dxa"/>
          </w:tcPr>
          <w:p w:rsidR="0042390A" w:rsidRPr="00021B9C" w:rsidRDefault="0042390A" w:rsidP="00183DD3">
            <w:pPr>
              <w:pStyle w:val="Listeafsnit"/>
              <w:numPr>
                <w:ilvl w:val="0"/>
                <w:numId w:val="3"/>
              </w:numPr>
              <w:rPr>
                <w:b/>
              </w:rPr>
            </w:pPr>
            <w:r w:rsidRPr="00021B9C">
              <w:t>PCB-holdig olie må ikke blandes med andet affald.</w:t>
            </w:r>
          </w:p>
        </w:tc>
        <w:tc>
          <w:tcPr>
            <w:tcW w:w="850" w:type="dxa"/>
          </w:tcPr>
          <w:p w:rsidR="0042390A" w:rsidRPr="00021B9C" w:rsidRDefault="004D72A9" w:rsidP="00EE47F9">
            <w:pPr>
              <w:ind w:left="-36"/>
              <w:jc w:val="center"/>
            </w:pPr>
            <w:r>
              <w:t>OK</w:t>
            </w:r>
          </w:p>
        </w:tc>
        <w:tc>
          <w:tcPr>
            <w:tcW w:w="5612" w:type="dxa"/>
          </w:tcPr>
          <w:p w:rsidR="0042390A" w:rsidRPr="00021B9C" w:rsidRDefault="0042390A" w:rsidP="00EE47F9"/>
        </w:tc>
      </w:tr>
      <w:tr w:rsidR="0042390A" w:rsidRPr="00021B9C" w:rsidTr="00EC463E">
        <w:tc>
          <w:tcPr>
            <w:tcW w:w="8926" w:type="dxa"/>
          </w:tcPr>
          <w:p w:rsidR="0042390A" w:rsidRPr="00021B9C" w:rsidRDefault="0042390A" w:rsidP="00183DD3">
            <w:pPr>
              <w:pStyle w:val="Listeafsnit"/>
              <w:numPr>
                <w:ilvl w:val="0"/>
                <w:numId w:val="3"/>
              </w:numPr>
              <w:rPr>
                <w:b/>
              </w:rPr>
            </w:pPr>
            <w:r w:rsidRPr="00021B9C">
              <w:t xml:space="preserve">Forskellige farlige affaldsarter og –fraktioner må ikke sammenblandes på virksomheden. </w:t>
            </w:r>
          </w:p>
        </w:tc>
        <w:tc>
          <w:tcPr>
            <w:tcW w:w="850" w:type="dxa"/>
          </w:tcPr>
          <w:p w:rsidR="0042390A" w:rsidRPr="00021B9C" w:rsidRDefault="004D72A9" w:rsidP="00EE47F9">
            <w:pPr>
              <w:ind w:left="-36"/>
              <w:jc w:val="center"/>
            </w:pPr>
            <w:r>
              <w:t>OK</w:t>
            </w:r>
          </w:p>
        </w:tc>
        <w:tc>
          <w:tcPr>
            <w:tcW w:w="5612" w:type="dxa"/>
          </w:tcPr>
          <w:p w:rsidR="0042390A" w:rsidRPr="00021B9C" w:rsidRDefault="004D72A9" w:rsidP="00EE47F9">
            <w:r>
              <w:t>Se dog vilkår 31 og 32</w:t>
            </w:r>
          </w:p>
        </w:tc>
      </w:tr>
      <w:tr w:rsidR="0042390A" w:rsidRPr="00021B9C" w:rsidTr="00EC463E">
        <w:tc>
          <w:tcPr>
            <w:tcW w:w="8926" w:type="dxa"/>
          </w:tcPr>
          <w:p w:rsidR="0042390A" w:rsidRPr="00021B9C" w:rsidRDefault="0042390A" w:rsidP="00183DD3">
            <w:pPr>
              <w:pStyle w:val="Listeafsnit"/>
              <w:numPr>
                <w:ilvl w:val="0"/>
                <w:numId w:val="3"/>
              </w:numPr>
              <w:rPr>
                <w:b/>
              </w:rPr>
            </w:pPr>
            <w:bookmarkStart w:id="10" w:name="_Ref501375376"/>
            <w:r w:rsidRPr="00021B9C">
              <w:t>Visse typer flydende mineralolieholdige affaldsfraktioner og visse typer flydende kemikalieholdige affaldsfraktioner må dog gerne sammenblandes i hhv. lagertank 34 og 54, samt fra faststofcontainere i bygning 31 og 58 med rester fra rensepladsen, i de tilfælde, hvor virksomheden har entydigt kendskab til affaldets type og sammensætning.  Sammenblandingen af faststof skal ske efter aftale med modtagevirksomheden.</w:t>
            </w:r>
            <w:bookmarkEnd w:id="10"/>
            <w:r w:rsidRPr="00021B9C">
              <w:t xml:space="preserve"> Endvidere må ensartet affald bulkes, som beskrevet i ansøgningsmaterialet.</w:t>
            </w:r>
          </w:p>
        </w:tc>
        <w:tc>
          <w:tcPr>
            <w:tcW w:w="850" w:type="dxa"/>
          </w:tcPr>
          <w:p w:rsidR="0042390A" w:rsidRPr="00021B9C" w:rsidRDefault="004D72A9" w:rsidP="00EE47F9">
            <w:pPr>
              <w:ind w:left="-36"/>
              <w:jc w:val="center"/>
            </w:pPr>
            <w:r>
              <w:t>OK</w:t>
            </w:r>
          </w:p>
        </w:tc>
        <w:tc>
          <w:tcPr>
            <w:tcW w:w="5612" w:type="dxa"/>
          </w:tcPr>
          <w:p w:rsidR="0042390A" w:rsidRPr="00021B9C" w:rsidRDefault="0042390A" w:rsidP="00EE47F9"/>
        </w:tc>
      </w:tr>
      <w:tr w:rsidR="0042390A" w:rsidRPr="00021B9C" w:rsidTr="00EC463E">
        <w:tc>
          <w:tcPr>
            <w:tcW w:w="8926" w:type="dxa"/>
          </w:tcPr>
          <w:p w:rsidR="0042390A" w:rsidRPr="00021B9C" w:rsidRDefault="0042390A" w:rsidP="00183DD3">
            <w:pPr>
              <w:pStyle w:val="Listeafsnit"/>
              <w:numPr>
                <w:ilvl w:val="0"/>
                <w:numId w:val="3"/>
              </w:numPr>
            </w:pPr>
            <w:r w:rsidRPr="00021B9C">
              <w:t xml:space="preserve">Det skal sikres at der ved sammenblandingen af affald, jf. vilkår </w:t>
            </w:r>
            <w:r>
              <w:fldChar w:fldCharType="begin"/>
            </w:r>
            <w:r>
              <w:instrText xml:space="preserve"> REF _Ref501375376 \r \h  \* MERGEFORMAT </w:instrText>
            </w:r>
            <w:r>
              <w:fldChar w:fldCharType="separate"/>
            </w:r>
            <w:r w:rsidR="00870F56">
              <w:t>31</w:t>
            </w:r>
            <w:r>
              <w:fldChar w:fldCharType="end"/>
            </w:r>
            <w:r w:rsidRPr="00021B9C">
              <w:t>, ikke kan ske en reaktion, der er sundhedsskadelig eller kan forårsage brand- og eksplosionsfare.</w:t>
            </w:r>
          </w:p>
        </w:tc>
        <w:tc>
          <w:tcPr>
            <w:tcW w:w="850" w:type="dxa"/>
          </w:tcPr>
          <w:p w:rsidR="0042390A" w:rsidRPr="00021B9C" w:rsidRDefault="004D72A9" w:rsidP="00EE47F9">
            <w:pPr>
              <w:ind w:left="-36"/>
              <w:jc w:val="center"/>
            </w:pPr>
            <w:r>
              <w:t>OK</w:t>
            </w:r>
          </w:p>
        </w:tc>
        <w:tc>
          <w:tcPr>
            <w:tcW w:w="5612" w:type="dxa"/>
          </w:tcPr>
          <w:p w:rsidR="0042390A" w:rsidRPr="00021B9C" w:rsidRDefault="004D72A9" w:rsidP="00316256">
            <w:r>
              <w:t>Sikres ved procedure for modtagelse og indvejning. Modtaget affa</w:t>
            </w:r>
            <w:r w:rsidR="00316256">
              <w:t xml:space="preserve">ld sammenlignes med fragtbrev. </w:t>
            </w:r>
            <w:r w:rsidR="00316256" w:rsidRPr="00316256">
              <w:t>Ukendt affald kontrolle</w:t>
            </w:r>
            <w:r w:rsidR="00316256">
              <w:t>re</w:t>
            </w:r>
            <w:r w:rsidR="00316256" w:rsidRPr="00316256">
              <w:t>s fx ved pH-test.</w:t>
            </w:r>
          </w:p>
        </w:tc>
      </w:tr>
      <w:tr w:rsidR="0042390A" w:rsidRPr="00021B9C" w:rsidTr="00EC463E">
        <w:tc>
          <w:tcPr>
            <w:tcW w:w="8926" w:type="dxa"/>
          </w:tcPr>
          <w:p w:rsidR="0042390A" w:rsidRPr="00021B9C" w:rsidRDefault="0042390A" w:rsidP="00183DD3">
            <w:pPr>
              <w:pStyle w:val="Listeafsnit"/>
              <w:numPr>
                <w:ilvl w:val="0"/>
                <w:numId w:val="3"/>
              </w:numPr>
              <w:rPr>
                <w:b/>
              </w:rPr>
            </w:pPr>
            <w:r w:rsidRPr="00021B9C">
              <w:t>Emballager med farligt affald samt kasserede produkter, der er kategoriseret som farligt affald, skal håndteres, så risikoen for, at der sker udslip og spredning af farlige stoffer, er reduceret mest muligt.</w:t>
            </w:r>
            <w:bookmarkStart w:id="11" w:name="_Ref150156731"/>
          </w:p>
        </w:tc>
        <w:tc>
          <w:tcPr>
            <w:tcW w:w="850" w:type="dxa"/>
          </w:tcPr>
          <w:p w:rsidR="0042390A" w:rsidRPr="00021B9C" w:rsidRDefault="006C5EFF" w:rsidP="00EE47F9">
            <w:pPr>
              <w:ind w:left="-36"/>
              <w:jc w:val="center"/>
            </w:pPr>
            <w:r>
              <w:t>OK</w:t>
            </w:r>
          </w:p>
        </w:tc>
        <w:tc>
          <w:tcPr>
            <w:tcW w:w="5612" w:type="dxa"/>
          </w:tcPr>
          <w:p w:rsidR="0042390A" w:rsidRPr="00021B9C" w:rsidRDefault="0042390A" w:rsidP="00EE47F9"/>
        </w:tc>
      </w:tr>
      <w:tr w:rsidR="0042390A" w:rsidRPr="00021B9C" w:rsidTr="00EC463E">
        <w:tc>
          <w:tcPr>
            <w:tcW w:w="8926" w:type="dxa"/>
          </w:tcPr>
          <w:p w:rsidR="0042390A" w:rsidRPr="00021B9C" w:rsidRDefault="0042390A" w:rsidP="00183DD3">
            <w:pPr>
              <w:spacing w:before="240" w:after="120"/>
              <w:rPr>
                <w:b/>
              </w:rPr>
            </w:pPr>
            <w:r w:rsidRPr="00021B9C">
              <w:rPr>
                <w:b/>
              </w:rPr>
              <w:t>3. Støj</w:t>
            </w:r>
          </w:p>
        </w:tc>
        <w:tc>
          <w:tcPr>
            <w:tcW w:w="850" w:type="dxa"/>
          </w:tcPr>
          <w:p w:rsidR="0042390A" w:rsidRPr="00021B9C" w:rsidRDefault="0042390A" w:rsidP="00EE47F9">
            <w:pPr>
              <w:spacing w:before="240" w:after="120"/>
              <w:ind w:left="-36"/>
              <w:jc w:val="center"/>
              <w:rPr>
                <w:b/>
              </w:rPr>
            </w:pPr>
          </w:p>
        </w:tc>
        <w:tc>
          <w:tcPr>
            <w:tcW w:w="5612" w:type="dxa"/>
          </w:tcPr>
          <w:p w:rsidR="0042390A" w:rsidRPr="00021B9C" w:rsidRDefault="0042390A" w:rsidP="00EE47F9">
            <w:pPr>
              <w:spacing w:before="240" w:after="120"/>
              <w:rPr>
                <w:b/>
              </w:rPr>
            </w:pPr>
          </w:p>
        </w:tc>
      </w:tr>
      <w:tr w:rsidR="0042390A" w:rsidRPr="00021B9C" w:rsidTr="00EC463E">
        <w:tc>
          <w:tcPr>
            <w:tcW w:w="8926" w:type="dxa"/>
          </w:tcPr>
          <w:p w:rsidR="0042390A" w:rsidRPr="00021B9C" w:rsidRDefault="0042390A" w:rsidP="00183DD3">
            <w:pPr>
              <w:pStyle w:val="Listeafsnit"/>
              <w:numPr>
                <w:ilvl w:val="0"/>
                <w:numId w:val="3"/>
              </w:numPr>
              <w:rPr>
                <w:b/>
              </w:rPr>
            </w:pPr>
            <w:bookmarkStart w:id="12" w:name="_Ref487527151"/>
            <w:r w:rsidRPr="00021B9C">
              <w:t>Det korrigerede energiækvivalente A-vægtede lydtryksniveau, Lr, fra de godkendte aktiviteter, må på intet tidspunkt overstige 70 dB (A) i noget punkt uden for virksomhedens egen grund.</w:t>
            </w:r>
            <w:bookmarkEnd w:id="12"/>
          </w:p>
        </w:tc>
        <w:tc>
          <w:tcPr>
            <w:tcW w:w="850" w:type="dxa"/>
          </w:tcPr>
          <w:p w:rsidR="0042390A" w:rsidRPr="00021B9C" w:rsidRDefault="006C5EFF" w:rsidP="00EE47F9">
            <w:pPr>
              <w:ind w:left="-36"/>
              <w:jc w:val="center"/>
            </w:pPr>
            <w:r>
              <w:t>OK</w:t>
            </w:r>
          </w:p>
        </w:tc>
        <w:tc>
          <w:tcPr>
            <w:tcW w:w="5612" w:type="dxa"/>
          </w:tcPr>
          <w:p w:rsidR="0042390A" w:rsidRPr="00021B9C" w:rsidRDefault="006C5EFF" w:rsidP="00EE47F9">
            <w:r>
              <w:t>Center for Miljøbeskyttelse har ikke modtaget klager over forholdet.</w:t>
            </w:r>
          </w:p>
        </w:tc>
      </w:tr>
      <w:tr w:rsidR="0042390A" w:rsidRPr="00021B9C" w:rsidTr="00EC463E">
        <w:trPr>
          <w:trHeight w:val="3033"/>
        </w:trPr>
        <w:tc>
          <w:tcPr>
            <w:tcW w:w="8926" w:type="dxa"/>
          </w:tcPr>
          <w:p w:rsidR="0042390A" w:rsidRPr="00021B9C" w:rsidRDefault="0042390A" w:rsidP="00183DD3">
            <w:pPr>
              <w:pStyle w:val="Listeafsnit"/>
              <w:numPr>
                <w:ilvl w:val="0"/>
                <w:numId w:val="3"/>
              </w:numPr>
              <w:rPr>
                <w:b/>
              </w:rPr>
            </w:pPr>
            <w:bookmarkStart w:id="13" w:name="_Ref487527169"/>
            <w:r w:rsidRPr="00021B9C">
              <w:lastRenderedPageBreak/>
              <w:t>Det korrigerede energiækvivalente A-vægtede lydtryksniveau, Lr, fra de godkendte aktiviteter må ved omkringliggende haveforeninger og ved etageboliger, ikke overstige:</w:t>
            </w:r>
          </w:p>
          <w:bookmarkEnd w:id="13"/>
          <w:p w:rsidR="0042390A" w:rsidRPr="00021B9C" w:rsidRDefault="0042390A" w:rsidP="00183DD3">
            <w:pPr>
              <w:ind w:left="1418"/>
            </w:pPr>
            <w:r w:rsidRPr="00021B9C">
              <w:t>Mandag – fredag</w:t>
            </w:r>
            <w:r w:rsidRPr="00021B9C">
              <w:tab/>
              <w:t>kl.7-18</w:t>
            </w:r>
            <w:r w:rsidRPr="00021B9C">
              <w:tab/>
              <w:t>50 dB(A)</w:t>
            </w:r>
          </w:p>
          <w:p w:rsidR="0042390A" w:rsidRPr="00021B9C" w:rsidRDefault="0042390A" w:rsidP="00183DD3">
            <w:pPr>
              <w:ind w:left="1418"/>
            </w:pPr>
            <w:r w:rsidRPr="00021B9C">
              <w:t>Mandag – fredag</w:t>
            </w:r>
            <w:r w:rsidRPr="00021B9C">
              <w:tab/>
              <w:t>kl.18-22</w:t>
            </w:r>
            <w:r w:rsidRPr="00021B9C">
              <w:tab/>
              <w:t>45 dB(A)</w:t>
            </w:r>
          </w:p>
          <w:p w:rsidR="0042390A" w:rsidRPr="00021B9C" w:rsidRDefault="0042390A" w:rsidP="00183DD3">
            <w:pPr>
              <w:ind w:left="1418"/>
            </w:pPr>
            <w:r w:rsidRPr="00021B9C">
              <w:t>Lørdag</w:t>
            </w:r>
            <w:r w:rsidRPr="00021B9C">
              <w:tab/>
            </w:r>
            <w:r w:rsidRPr="00021B9C">
              <w:tab/>
              <w:t>kl.7-14</w:t>
            </w:r>
            <w:r w:rsidRPr="00021B9C">
              <w:tab/>
              <w:t>50 dB(A)</w:t>
            </w:r>
          </w:p>
          <w:p w:rsidR="0042390A" w:rsidRPr="00021B9C" w:rsidRDefault="0042390A" w:rsidP="00183DD3">
            <w:pPr>
              <w:ind w:left="1418"/>
            </w:pPr>
            <w:r w:rsidRPr="00021B9C">
              <w:t>Lørdag</w:t>
            </w:r>
            <w:r w:rsidRPr="00021B9C">
              <w:tab/>
            </w:r>
            <w:r w:rsidRPr="00021B9C">
              <w:tab/>
              <w:t>kl.14-22</w:t>
            </w:r>
            <w:r w:rsidRPr="00021B9C">
              <w:tab/>
              <w:t>45 dB(A)</w:t>
            </w:r>
          </w:p>
          <w:p w:rsidR="0042390A" w:rsidRPr="00021B9C" w:rsidRDefault="0042390A" w:rsidP="00183DD3">
            <w:pPr>
              <w:ind w:left="1418"/>
            </w:pPr>
            <w:r w:rsidRPr="00021B9C">
              <w:t>Søn – og helligdage</w:t>
            </w:r>
            <w:r w:rsidRPr="00021B9C">
              <w:tab/>
              <w:t>kl.7-22</w:t>
            </w:r>
            <w:r w:rsidRPr="00021B9C">
              <w:tab/>
              <w:t>45 dB(A)</w:t>
            </w:r>
          </w:p>
          <w:p w:rsidR="0042390A" w:rsidRPr="00021B9C" w:rsidRDefault="0042390A" w:rsidP="00183DD3">
            <w:pPr>
              <w:ind w:left="1418"/>
            </w:pPr>
            <w:r w:rsidRPr="00021B9C">
              <w:t>Søn – og helligdage</w:t>
            </w:r>
            <w:r w:rsidRPr="00021B9C">
              <w:tab/>
              <w:t>kl.22-07</w:t>
            </w:r>
            <w:r w:rsidRPr="00021B9C">
              <w:tab/>
              <w:t>40 dB(A)</w:t>
            </w:r>
          </w:p>
          <w:p w:rsidR="0042390A" w:rsidRPr="00021B9C" w:rsidRDefault="0042390A" w:rsidP="00183DD3">
            <w:r w:rsidRPr="00021B9C">
              <w:tab/>
            </w:r>
          </w:p>
          <w:p w:rsidR="0042390A" w:rsidRPr="00021B9C" w:rsidRDefault="0042390A" w:rsidP="00183DD3">
            <w:r w:rsidRPr="00021B9C">
              <w:tab/>
              <w:t>Maksimalværdien for støjbidraget må om natten ikke overstige 55 dB(A).</w:t>
            </w:r>
          </w:p>
        </w:tc>
        <w:tc>
          <w:tcPr>
            <w:tcW w:w="850" w:type="dxa"/>
          </w:tcPr>
          <w:p w:rsidR="0042390A" w:rsidRPr="00021B9C" w:rsidRDefault="006C5EFF" w:rsidP="00EE47F9">
            <w:pPr>
              <w:ind w:left="-36"/>
              <w:jc w:val="center"/>
            </w:pPr>
            <w:r>
              <w:t>OK</w:t>
            </w:r>
          </w:p>
        </w:tc>
        <w:tc>
          <w:tcPr>
            <w:tcW w:w="5612" w:type="dxa"/>
          </w:tcPr>
          <w:p w:rsidR="0042390A" w:rsidRPr="00021B9C" w:rsidRDefault="0042390A" w:rsidP="00EE47F9"/>
        </w:tc>
      </w:tr>
      <w:tr w:rsidR="0042390A" w:rsidRPr="00021B9C" w:rsidTr="00EC463E">
        <w:tc>
          <w:tcPr>
            <w:tcW w:w="8926" w:type="dxa"/>
          </w:tcPr>
          <w:p w:rsidR="0042390A" w:rsidRPr="00021B9C" w:rsidRDefault="0042390A" w:rsidP="00183DD3">
            <w:pPr>
              <w:pStyle w:val="Listeafsnit"/>
              <w:numPr>
                <w:ilvl w:val="0"/>
                <w:numId w:val="3"/>
              </w:numPr>
              <w:rPr>
                <w:color w:val="000000"/>
              </w:rPr>
            </w:pPr>
            <w:bookmarkStart w:id="14" w:name="_Ref500829932"/>
            <w:r w:rsidRPr="00021B9C">
              <w:t xml:space="preserve">Godkendelsesmyndigheden kan kræve, dog højst en gang årligt, at virksomheden lader et akkrediteret firma udføre ”Miljømålinger – ekstern støj” for at dokumentere, at vilkår </w:t>
            </w:r>
            <w:r>
              <w:fldChar w:fldCharType="begin"/>
            </w:r>
            <w:r>
              <w:instrText xml:space="preserve"> REF _Ref487527151 \r \h  \* MERGEFORMAT </w:instrText>
            </w:r>
            <w:r>
              <w:fldChar w:fldCharType="separate"/>
            </w:r>
            <w:r w:rsidR="00870F56">
              <w:t>34</w:t>
            </w:r>
            <w:r>
              <w:fldChar w:fldCharType="end"/>
            </w:r>
            <w:r w:rsidRPr="00021B9C">
              <w:t xml:space="preserve"> og </w:t>
            </w:r>
            <w:r>
              <w:fldChar w:fldCharType="begin"/>
            </w:r>
            <w:r>
              <w:instrText xml:space="preserve"> REF _Ref487527169 \r \h  \* MERGEFORMAT </w:instrText>
            </w:r>
            <w:r>
              <w:fldChar w:fldCharType="separate"/>
            </w:r>
            <w:r w:rsidR="00870F56">
              <w:t>35</w:t>
            </w:r>
            <w:r>
              <w:fldChar w:fldCharType="end"/>
            </w:r>
            <w:r w:rsidRPr="00021B9C">
              <w:t xml:space="preserve"> er overholdt. Den udarbejdede støjmålerapport indsendes til godkendelsesmyndigheden senest 2 måneder efter kontrolmålingen er udført.</w:t>
            </w:r>
            <w:bookmarkEnd w:id="14"/>
            <w:r w:rsidRPr="00021B9C">
              <w:t xml:space="preserve"> </w:t>
            </w:r>
            <w:bookmarkEnd w:id="11"/>
          </w:p>
        </w:tc>
        <w:tc>
          <w:tcPr>
            <w:tcW w:w="850" w:type="dxa"/>
          </w:tcPr>
          <w:p w:rsidR="0042390A" w:rsidRPr="00021B9C" w:rsidRDefault="006C5EFF" w:rsidP="00EE47F9">
            <w:pPr>
              <w:ind w:left="-36"/>
              <w:jc w:val="center"/>
            </w:pPr>
            <w:r>
              <w:t>-</w:t>
            </w:r>
          </w:p>
        </w:tc>
        <w:tc>
          <w:tcPr>
            <w:tcW w:w="5612" w:type="dxa"/>
          </w:tcPr>
          <w:p w:rsidR="0042390A" w:rsidRPr="00021B9C" w:rsidRDefault="006C5EFF" w:rsidP="00EE47F9">
            <w:r>
              <w:t>Ikke relevant ved tilsynet.</w:t>
            </w:r>
          </w:p>
        </w:tc>
      </w:tr>
      <w:tr w:rsidR="0042390A" w:rsidRPr="00021B9C" w:rsidTr="00EC463E">
        <w:tc>
          <w:tcPr>
            <w:tcW w:w="8926" w:type="dxa"/>
          </w:tcPr>
          <w:p w:rsidR="0042390A" w:rsidRPr="00021B9C" w:rsidRDefault="0042390A" w:rsidP="00183DD3">
            <w:pPr>
              <w:pStyle w:val="Vilkr-autonummerering"/>
              <w:numPr>
                <w:ilvl w:val="0"/>
                <w:numId w:val="0"/>
              </w:numPr>
              <w:spacing w:after="120"/>
              <w:jc w:val="left"/>
              <w:rPr>
                <w:b/>
                <w:szCs w:val="24"/>
              </w:rPr>
            </w:pPr>
            <w:r w:rsidRPr="00021B9C">
              <w:rPr>
                <w:b/>
                <w:szCs w:val="24"/>
              </w:rPr>
              <w:t>4. Luft</w:t>
            </w:r>
          </w:p>
        </w:tc>
        <w:tc>
          <w:tcPr>
            <w:tcW w:w="850" w:type="dxa"/>
          </w:tcPr>
          <w:p w:rsidR="0042390A" w:rsidRPr="00021B9C" w:rsidRDefault="0042390A" w:rsidP="00EE47F9">
            <w:pPr>
              <w:pStyle w:val="Vilkr-autonummerering"/>
              <w:numPr>
                <w:ilvl w:val="0"/>
                <w:numId w:val="0"/>
              </w:numPr>
              <w:spacing w:after="120"/>
              <w:ind w:left="-36"/>
              <w:jc w:val="center"/>
              <w:rPr>
                <w:b/>
                <w:szCs w:val="24"/>
              </w:rPr>
            </w:pPr>
          </w:p>
        </w:tc>
        <w:tc>
          <w:tcPr>
            <w:tcW w:w="5612" w:type="dxa"/>
          </w:tcPr>
          <w:p w:rsidR="0042390A" w:rsidRPr="00021B9C" w:rsidRDefault="0042390A" w:rsidP="00EE47F9">
            <w:pPr>
              <w:pStyle w:val="Vilkr-autonummerering"/>
              <w:numPr>
                <w:ilvl w:val="0"/>
                <w:numId w:val="0"/>
              </w:numPr>
              <w:spacing w:after="120"/>
              <w:jc w:val="left"/>
              <w:rPr>
                <w:b/>
                <w:szCs w:val="24"/>
              </w:rPr>
            </w:pPr>
          </w:p>
        </w:tc>
      </w:tr>
      <w:tr w:rsidR="0042390A" w:rsidRPr="00021B9C" w:rsidTr="00EC463E">
        <w:tc>
          <w:tcPr>
            <w:tcW w:w="8926" w:type="dxa"/>
          </w:tcPr>
          <w:p w:rsidR="0042390A" w:rsidRPr="00021B9C" w:rsidRDefault="0042390A" w:rsidP="00183DD3">
            <w:pPr>
              <w:pStyle w:val="Listeafsnit"/>
              <w:numPr>
                <w:ilvl w:val="0"/>
                <w:numId w:val="3"/>
              </w:numPr>
              <w:rPr>
                <w:color w:val="000000"/>
              </w:rPr>
            </w:pPr>
            <w:r w:rsidRPr="00021B9C">
              <w:t xml:space="preserve">Virksomheden må ikke give anledning til lugt- eller støvgener uden for virksomhedens område, som efter tilsynsmyndighedens vurdering er væsentlige for omgivelserne. </w:t>
            </w:r>
          </w:p>
        </w:tc>
        <w:tc>
          <w:tcPr>
            <w:tcW w:w="850" w:type="dxa"/>
          </w:tcPr>
          <w:p w:rsidR="0042390A" w:rsidRPr="00021B9C" w:rsidRDefault="006C5EFF" w:rsidP="00EE47F9">
            <w:pPr>
              <w:ind w:left="-36"/>
              <w:jc w:val="center"/>
            </w:pPr>
            <w:r>
              <w:t>OK</w:t>
            </w:r>
          </w:p>
        </w:tc>
        <w:tc>
          <w:tcPr>
            <w:tcW w:w="5612" w:type="dxa"/>
          </w:tcPr>
          <w:p w:rsidR="0042390A" w:rsidRPr="00021B9C" w:rsidRDefault="006C5EFF" w:rsidP="00EE47F9">
            <w:r>
              <w:t>Center for Miljøbeskyttelse har ikke modtaget klager over forholdet.</w:t>
            </w:r>
          </w:p>
        </w:tc>
      </w:tr>
      <w:tr w:rsidR="0042390A" w:rsidRPr="00021B9C" w:rsidTr="00EC463E">
        <w:tc>
          <w:tcPr>
            <w:tcW w:w="8926" w:type="dxa"/>
          </w:tcPr>
          <w:p w:rsidR="0042390A" w:rsidRPr="00021B9C" w:rsidRDefault="0042390A" w:rsidP="00183DD3">
            <w:pPr>
              <w:pStyle w:val="Brdtekstindrykning"/>
              <w:numPr>
                <w:ilvl w:val="0"/>
                <w:numId w:val="3"/>
              </w:numPr>
              <w:spacing w:before="120"/>
              <w:jc w:val="left"/>
              <w:rPr>
                <w:color w:val="000000"/>
              </w:rPr>
            </w:pPr>
            <w:r w:rsidRPr="00021B9C">
              <w:rPr>
                <w:color w:val="000000"/>
                <w:szCs w:val="24"/>
              </w:rPr>
              <w:t>Eventuelt afkast fra mekanisk ventilation fra bygning eller specialcontainer, hvor der opbevares farligt affald, skal være opadrettet og føres mindst 1 meter over tagryg på det tag, hvor afkastet er placeret.</w:t>
            </w:r>
          </w:p>
        </w:tc>
        <w:tc>
          <w:tcPr>
            <w:tcW w:w="850" w:type="dxa"/>
          </w:tcPr>
          <w:p w:rsidR="0042390A" w:rsidRPr="00021B9C" w:rsidRDefault="006C5EFF" w:rsidP="00EE47F9">
            <w:pPr>
              <w:pStyle w:val="Brdtekstindrykning"/>
              <w:spacing w:before="120"/>
              <w:ind w:left="-36"/>
              <w:jc w:val="center"/>
              <w:rPr>
                <w:color w:val="000000"/>
                <w:szCs w:val="24"/>
              </w:rPr>
            </w:pPr>
            <w:r>
              <w:rPr>
                <w:color w:val="000000"/>
                <w:szCs w:val="24"/>
              </w:rPr>
              <w:t>OK</w:t>
            </w:r>
          </w:p>
        </w:tc>
        <w:tc>
          <w:tcPr>
            <w:tcW w:w="5612" w:type="dxa"/>
          </w:tcPr>
          <w:p w:rsidR="0042390A" w:rsidRPr="00021B9C" w:rsidRDefault="00316256" w:rsidP="00EE47F9">
            <w:pPr>
              <w:pStyle w:val="Brdtekstindrykning"/>
              <w:spacing w:before="120"/>
              <w:ind w:left="0"/>
              <w:jc w:val="left"/>
              <w:rPr>
                <w:color w:val="000000"/>
                <w:szCs w:val="24"/>
              </w:rPr>
            </w:pPr>
            <w:r w:rsidRPr="00316256">
              <w:rPr>
                <w:color w:val="000000"/>
                <w:szCs w:val="24"/>
              </w:rPr>
              <w:t>Virksomheden påtænker at etablere procesudsugning i forbindelse med tømning af "Røde bokse" (hustandsindsamlet affald) af arbejdsmiljømæssige årsager</w:t>
            </w:r>
            <w:r>
              <w:rPr>
                <w:color w:val="000000"/>
                <w:szCs w:val="24"/>
              </w:rPr>
              <w:t>.</w:t>
            </w:r>
          </w:p>
        </w:tc>
      </w:tr>
      <w:tr w:rsidR="0042390A" w:rsidRPr="00021B9C" w:rsidTr="00EC463E">
        <w:tc>
          <w:tcPr>
            <w:tcW w:w="8926" w:type="dxa"/>
          </w:tcPr>
          <w:p w:rsidR="0042390A" w:rsidRPr="00021B9C" w:rsidRDefault="0042390A" w:rsidP="00183DD3">
            <w:pPr>
              <w:pStyle w:val="Vilkr-autonummerering"/>
              <w:numPr>
                <w:ilvl w:val="0"/>
                <w:numId w:val="0"/>
              </w:numPr>
              <w:spacing w:after="120"/>
              <w:jc w:val="left"/>
              <w:rPr>
                <w:b/>
                <w:szCs w:val="24"/>
              </w:rPr>
            </w:pPr>
            <w:r w:rsidRPr="00021B9C">
              <w:rPr>
                <w:b/>
                <w:szCs w:val="24"/>
              </w:rPr>
              <w:t xml:space="preserve">5. </w:t>
            </w:r>
            <w:r w:rsidRPr="00021B9C">
              <w:rPr>
                <w:b/>
              </w:rPr>
              <w:t>Spildevand</w:t>
            </w:r>
          </w:p>
        </w:tc>
        <w:tc>
          <w:tcPr>
            <w:tcW w:w="850" w:type="dxa"/>
          </w:tcPr>
          <w:p w:rsidR="0042390A" w:rsidRPr="00021B9C" w:rsidRDefault="0042390A" w:rsidP="00EE47F9">
            <w:pPr>
              <w:pStyle w:val="Vilkr-autonummerering"/>
              <w:numPr>
                <w:ilvl w:val="0"/>
                <w:numId w:val="0"/>
              </w:numPr>
              <w:spacing w:after="120"/>
              <w:ind w:left="-36"/>
              <w:jc w:val="center"/>
              <w:rPr>
                <w:b/>
                <w:szCs w:val="24"/>
              </w:rPr>
            </w:pPr>
          </w:p>
        </w:tc>
        <w:tc>
          <w:tcPr>
            <w:tcW w:w="5612" w:type="dxa"/>
          </w:tcPr>
          <w:p w:rsidR="0042390A" w:rsidRPr="00021B9C" w:rsidRDefault="0042390A" w:rsidP="00EE47F9">
            <w:pPr>
              <w:pStyle w:val="Vilkr-autonummerering"/>
              <w:numPr>
                <w:ilvl w:val="0"/>
                <w:numId w:val="0"/>
              </w:numPr>
              <w:spacing w:after="120"/>
              <w:jc w:val="left"/>
              <w:rPr>
                <w:b/>
                <w:szCs w:val="24"/>
              </w:rPr>
            </w:pPr>
          </w:p>
        </w:tc>
      </w:tr>
      <w:tr w:rsidR="0042390A" w:rsidRPr="00021B9C" w:rsidTr="00EC463E">
        <w:tc>
          <w:tcPr>
            <w:tcW w:w="8926" w:type="dxa"/>
          </w:tcPr>
          <w:p w:rsidR="0042390A" w:rsidRPr="00021B9C" w:rsidRDefault="0042390A" w:rsidP="00183DD3">
            <w:pPr>
              <w:pStyle w:val="Listeafsnit"/>
              <w:numPr>
                <w:ilvl w:val="0"/>
                <w:numId w:val="3"/>
              </w:numPr>
              <w:rPr>
                <w:color w:val="000000"/>
              </w:rPr>
            </w:pPr>
            <w:bookmarkStart w:id="15" w:name="_Ref501626455"/>
            <w:r w:rsidRPr="00021B9C">
              <w:rPr>
                <w:color w:val="000000"/>
              </w:rPr>
              <w:t>Overfladevand fra tag- og vejarealer på virksomhedens sydlige og nordlige område skal passere gennem sandfang og olieudskiller inden spildevandet ledes til det etablerede ledningsnet i henholdsvis T-Vej og U-Vej.</w:t>
            </w:r>
            <w:bookmarkEnd w:id="15"/>
          </w:p>
        </w:tc>
        <w:tc>
          <w:tcPr>
            <w:tcW w:w="850" w:type="dxa"/>
          </w:tcPr>
          <w:p w:rsidR="0042390A" w:rsidRPr="00021B9C" w:rsidRDefault="006C5EFF" w:rsidP="00EE47F9">
            <w:pPr>
              <w:ind w:left="-36"/>
              <w:jc w:val="center"/>
              <w:rPr>
                <w:color w:val="000000"/>
              </w:rPr>
            </w:pPr>
            <w:r>
              <w:rPr>
                <w:color w:val="000000"/>
              </w:rPr>
              <w:t>OK</w:t>
            </w:r>
          </w:p>
        </w:tc>
        <w:tc>
          <w:tcPr>
            <w:tcW w:w="5612" w:type="dxa"/>
          </w:tcPr>
          <w:p w:rsidR="0042390A" w:rsidRPr="00021B9C" w:rsidRDefault="0042390A" w:rsidP="00EE47F9">
            <w:pPr>
              <w:rPr>
                <w:color w:val="000000"/>
              </w:rPr>
            </w:pPr>
          </w:p>
        </w:tc>
      </w:tr>
      <w:tr w:rsidR="0042390A" w:rsidRPr="00021B9C" w:rsidTr="006C5EFF">
        <w:trPr>
          <w:trHeight w:val="5074"/>
        </w:trPr>
        <w:tc>
          <w:tcPr>
            <w:tcW w:w="8926" w:type="dxa"/>
          </w:tcPr>
          <w:p w:rsidR="0042390A" w:rsidRPr="00021B9C" w:rsidRDefault="0042390A" w:rsidP="00183DD3">
            <w:pPr>
              <w:pStyle w:val="Listeafsnit"/>
              <w:numPr>
                <w:ilvl w:val="0"/>
                <w:numId w:val="3"/>
              </w:numPr>
              <w:rPr>
                <w:color w:val="000000"/>
              </w:rPr>
            </w:pPr>
            <w:bookmarkStart w:id="16" w:name="_Ref503520424"/>
            <w:bookmarkStart w:id="17" w:name="_Ref501628374"/>
            <w:r w:rsidRPr="00021B9C">
              <w:rPr>
                <w:color w:val="000000"/>
              </w:rPr>
              <w:lastRenderedPageBreak/>
              <w:t>Overfladevand fra tag- og vejarealer på virksomhedens nordlige og sydlige område skal ved afledning til offentlig kloak overholde følgende emissionsgrænser:</w:t>
            </w:r>
            <w:bookmarkEnd w:id="16"/>
          </w:p>
          <w:tbl>
            <w:tblPr>
              <w:tblStyle w:val="Tabel-Gitter"/>
              <w:tblW w:w="4586" w:type="pct"/>
              <w:tblInd w:w="817" w:type="dxa"/>
              <w:tblLook w:val="04A0" w:firstRow="1" w:lastRow="0" w:firstColumn="1" w:lastColumn="0" w:noHBand="0" w:noVBand="1"/>
            </w:tblPr>
            <w:tblGrid>
              <w:gridCol w:w="2329"/>
              <w:gridCol w:w="1977"/>
              <w:gridCol w:w="3674"/>
            </w:tblGrid>
            <w:tr w:rsidR="0042390A" w:rsidRPr="00021B9C" w:rsidTr="00183DD3">
              <w:trPr>
                <w:trHeight w:val="276"/>
              </w:trPr>
              <w:tc>
                <w:tcPr>
                  <w:tcW w:w="1490" w:type="pct"/>
                </w:tcPr>
                <w:bookmarkEnd w:id="17"/>
                <w:p w:rsidR="0042390A" w:rsidRPr="00021B9C" w:rsidRDefault="0042390A" w:rsidP="00183DD3">
                  <w:pPr>
                    <w:rPr>
                      <w:b/>
                      <w:color w:val="000000"/>
                      <w:szCs w:val="24"/>
                    </w:rPr>
                  </w:pPr>
                  <w:r w:rsidRPr="00021B9C">
                    <w:rPr>
                      <w:b/>
                      <w:color w:val="000000"/>
                      <w:szCs w:val="24"/>
                    </w:rPr>
                    <w:t>Parameter</w:t>
                  </w:r>
                </w:p>
              </w:tc>
              <w:tc>
                <w:tcPr>
                  <w:tcW w:w="1177" w:type="pct"/>
                </w:tcPr>
                <w:p w:rsidR="0042390A" w:rsidRPr="00021B9C" w:rsidRDefault="0042390A" w:rsidP="00183DD3">
                  <w:pPr>
                    <w:jc w:val="center"/>
                    <w:rPr>
                      <w:b/>
                      <w:color w:val="000000"/>
                      <w:szCs w:val="24"/>
                    </w:rPr>
                  </w:pPr>
                  <w:r w:rsidRPr="00021B9C">
                    <w:rPr>
                      <w:b/>
                      <w:color w:val="000000"/>
                      <w:szCs w:val="24"/>
                    </w:rPr>
                    <w:t>Emissionsgrænse</w:t>
                  </w:r>
                </w:p>
              </w:tc>
              <w:tc>
                <w:tcPr>
                  <w:tcW w:w="2333" w:type="pct"/>
                </w:tcPr>
                <w:p w:rsidR="0042390A" w:rsidRPr="00021B9C" w:rsidRDefault="0042390A" w:rsidP="00183DD3">
                  <w:pPr>
                    <w:rPr>
                      <w:b/>
                      <w:color w:val="000000"/>
                      <w:szCs w:val="24"/>
                    </w:rPr>
                  </w:pPr>
                  <w:r w:rsidRPr="00021B9C">
                    <w:rPr>
                      <w:b/>
                      <w:color w:val="000000"/>
                      <w:szCs w:val="24"/>
                    </w:rPr>
                    <w:t>Analysemetode</w:t>
                  </w:r>
                </w:p>
              </w:tc>
            </w:tr>
            <w:tr w:rsidR="0042390A" w:rsidRPr="00021B9C" w:rsidTr="00183DD3">
              <w:trPr>
                <w:trHeight w:val="276"/>
              </w:trPr>
              <w:tc>
                <w:tcPr>
                  <w:tcW w:w="1490" w:type="pct"/>
                </w:tcPr>
                <w:p w:rsidR="0042390A" w:rsidRPr="00021B9C" w:rsidRDefault="0042390A" w:rsidP="00183DD3">
                  <w:pPr>
                    <w:rPr>
                      <w:color w:val="000000"/>
                      <w:szCs w:val="24"/>
                    </w:rPr>
                  </w:pPr>
                  <w:r w:rsidRPr="00021B9C">
                    <w:rPr>
                      <w:color w:val="000000"/>
                      <w:szCs w:val="24"/>
                    </w:rPr>
                    <w:t>pH</w:t>
                  </w:r>
                </w:p>
              </w:tc>
              <w:tc>
                <w:tcPr>
                  <w:tcW w:w="1177" w:type="pct"/>
                </w:tcPr>
                <w:p w:rsidR="0042390A" w:rsidRPr="00021B9C" w:rsidRDefault="0042390A" w:rsidP="00183DD3">
                  <w:pPr>
                    <w:jc w:val="center"/>
                    <w:rPr>
                      <w:color w:val="000000"/>
                      <w:szCs w:val="24"/>
                    </w:rPr>
                  </w:pPr>
                  <w:r w:rsidRPr="00021B9C">
                    <w:rPr>
                      <w:color w:val="000000"/>
                      <w:szCs w:val="24"/>
                    </w:rPr>
                    <w:t>6,5-9</w:t>
                  </w:r>
                  <w:r w:rsidRPr="00021B9C">
                    <w:rPr>
                      <w:i/>
                      <w:szCs w:val="24"/>
                      <w:vertAlign w:val="superscript"/>
                    </w:rPr>
                    <w:t>(1)</w:t>
                  </w:r>
                </w:p>
              </w:tc>
              <w:tc>
                <w:tcPr>
                  <w:tcW w:w="2333" w:type="pct"/>
                </w:tcPr>
                <w:p w:rsidR="0042390A" w:rsidRPr="00021B9C" w:rsidRDefault="0042390A" w:rsidP="00183DD3">
                  <w:pPr>
                    <w:rPr>
                      <w:color w:val="000000"/>
                      <w:szCs w:val="24"/>
                    </w:rPr>
                  </w:pPr>
                  <w:r w:rsidRPr="00021B9C">
                    <w:rPr>
                      <w:bCs/>
                      <w:szCs w:val="24"/>
                    </w:rPr>
                    <w:t>Reflab</w:t>
                  </w:r>
                  <w:r w:rsidRPr="00021B9C">
                    <w:rPr>
                      <w:bCs/>
                      <w:sz w:val="22"/>
                      <w:szCs w:val="28"/>
                    </w:rPr>
                    <w:t xml:space="preserve"> M051</w:t>
                  </w:r>
                </w:p>
              </w:tc>
            </w:tr>
            <w:tr w:rsidR="0042390A" w:rsidRPr="00021B9C" w:rsidTr="00183DD3">
              <w:trPr>
                <w:trHeight w:val="276"/>
              </w:trPr>
              <w:tc>
                <w:tcPr>
                  <w:tcW w:w="1490" w:type="pct"/>
                </w:tcPr>
                <w:p w:rsidR="0042390A" w:rsidRPr="00021B9C" w:rsidRDefault="0042390A" w:rsidP="00183DD3">
                  <w:pPr>
                    <w:rPr>
                      <w:color w:val="000000"/>
                      <w:szCs w:val="24"/>
                    </w:rPr>
                  </w:pPr>
                  <w:r w:rsidRPr="00021B9C">
                    <w:rPr>
                      <w:color w:val="000000"/>
                      <w:szCs w:val="24"/>
                    </w:rPr>
                    <w:t>Suspenderet stof</w:t>
                  </w:r>
                </w:p>
              </w:tc>
              <w:tc>
                <w:tcPr>
                  <w:tcW w:w="1177" w:type="pct"/>
                </w:tcPr>
                <w:p w:rsidR="0042390A" w:rsidRPr="00021B9C" w:rsidRDefault="0042390A" w:rsidP="00183DD3">
                  <w:pPr>
                    <w:jc w:val="center"/>
                    <w:rPr>
                      <w:color w:val="000000"/>
                      <w:szCs w:val="24"/>
                    </w:rPr>
                  </w:pPr>
                  <w:r w:rsidRPr="00021B9C">
                    <w:rPr>
                      <w:color w:val="000000"/>
                      <w:szCs w:val="24"/>
                    </w:rPr>
                    <w:t>500 mg/</w:t>
                  </w:r>
                  <w:proofErr w:type="gramStart"/>
                  <w:r w:rsidRPr="00021B9C">
                    <w:rPr>
                      <w:color w:val="000000"/>
                      <w:szCs w:val="24"/>
                    </w:rPr>
                    <w:t>l</w:t>
                  </w:r>
                  <w:r w:rsidRPr="00021B9C">
                    <w:rPr>
                      <w:i/>
                      <w:szCs w:val="24"/>
                      <w:vertAlign w:val="superscript"/>
                    </w:rPr>
                    <w:t>(</w:t>
                  </w:r>
                  <w:proofErr w:type="gramEnd"/>
                  <w:r w:rsidRPr="00021B9C">
                    <w:rPr>
                      <w:i/>
                      <w:szCs w:val="24"/>
                      <w:vertAlign w:val="superscript"/>
                    </w:rPr>
                    <w:t>1)</w:t>
                  </w:r>
                </w:p>
              </w:tc>
              <w:tc>
                <w:tcPr>
                  <w:tcW w:w="2333" w:type="pct"/>
                </w:tcPr>
                <w:p w:rsidR="0042390A" w:rsidRPr="00021B9C" w:rsidRDefault="0042390A" w:rsidP="00183DD3">
                  <w:pPr>
                    <w:rPr>
                      <w:color w:val="000000"/>
                      <w:szCs w:val="24"/>
                    </w:rPr>
                  </w:pPr>
                  <w:r w:rsidRPr="00021B9C">
                    <w:rPr>
                      <w:bCs/>
                      <w:szCs w:val="24"/>
                    </w:rPr>
                    <w:t>Reflab</w:t>
                  </w:r>
                  <w:r w:rsidRPr="00021B9C">
                    <w:rPr>
                      <w:bCs/>
                      <w:sz w:val="22"/>
                      <w:szCs w:val="28"/>
                    </w:rPr>
                    <w:t xml:space="preserve"> M041</w:t>
                  </w:r>
                </w:p>
              </w:tc>
            </w:tr>
            <w:tr w:rsidR="0042390A" w:rsidRPr="00021B9C" w:rsidTr="00183DD3">
              <w:trPr>
                <w:trHeight w:val="276"/>
              </w:trPr>
              <w:tc>
                <w:tcPr>
                  <w:tcW w:w="1490" w:type="pct"/>
                </w:tcPr>
                <w:p w:rsidR="0042390A" w:rsidRPr="00021B9C" w:rsidRDefault="0042390A" w:rsidP="00183DD3">
                  <w:pPr>
                    <w:rPr>
                      <w:color w:val="000000"/>
                      <w:szCs w:val="24"/>
                    </w:rPr>
                  </w:pPr>
                  <w:r w:rsidRPr="00021B9C">
                    <w:rPr>
                      <w:color w:val="000000"/>
                      <w:szCs w:val="24"/>
                    </w:rPr>
                    <w:t>Mineralsk olie</w:t>
                  </w:r>
                </w:p>
              </w:tc>
              <w:tc>
                <w:tcPr>
                  <w:tcW w:w="1177" w:type="pct"/>
                </w:tcPr>
                <w:p w:rsidR="0042390A" w:rsidRPr="00021B9C" w:rsidRDefault="0042390A" w:rsidP="00183DD3">
                  <w:pPr>
                    <w:jc w:val="center"/>
                    <w:rPr>
                      <w:color w:val="000000"/>
                      <w:szCs w:val="24"/>
                    </w:rPr>
                  </w:pPr>
                  <w:r w:rsidRPr="00021B9C">
                    <w:rPr>
                      <w:color w:val="000000"/>
                      <w:szCs w:val="24"/>
                    </w:rPr>
                    <w:t>20 mg/</w:t>
                  </w:r>
                  <w:proofErr w:type="gramStart"/>
                  <w:r w:rsidRPr="00021B9C">
                    <w:rPr>
                      <w:color w:val="000000"/>
                      <w:szCs w:val="24"/>
                    </w:rPr>
                    <w:t>l</w:t>
                  </w:r>
                  <w:r w:rsidRPr="00021B9C">
                    <w:rPr>
                      <w:i/>
                      <w:szCs w:val="24"/>
                      <w:vertAlign w:val="superscript"/>
                    </w:rPr>
                    <w:t>(</w:t>
                  </w:r>
                  <w:proofErr w:type="gramEnd"/>
                  <w:r w:rsidRPr="00021B9C">
                    <w:rPr>
                      <w:i/>
                      <w:szCs w:val="24"/>
                      <w:vertAlign w:val="superscript"/>
                    </w:rPr>
                    <w:t>1)</w:t>
                  </w:r>
                </w:p>
              </w:tc>
              <w:tc>
                <w:tcPr>
                  <w:tcW w:w="2333" w:type="pct"/>
                </w:tcPr>
                <w:p w:rsidR="0042390A" w:rsidRPr="00021B9C" w:rsidRDefault="0042390A" w:rsidP="00183DD3">
                  <w:pPr>
                    <w:rPr>
                      <w:color w:val="000000"/>
                      <w:szCs w:val="24"/>
                    </w:rPr>
                  </w:pPr>
                  <w:r w:rsidRPr="00021B9C">
                    <w:rPr>
                      <w:bCs/>
                      <w:szCs w:val="24"/>
                    </w:rPr>
                    <w:t>ISO 9377-2 eller Reflab 5:2014</w:t>
                  </w:r>
                </w:p>
              </w:tc>
            </w:tr>
            <w:tr w:rsidR="0042390A" w:rsidRPr="00021B9C" w:rsidTr="00183DD3">
              <w:trPr>
                <w:trHeight w:val="276"/>
              </w:trPr>
              <w:tc>
                <w:tcPr>
                  <w:tcW w:w="1490" w:type="pct"/>
                  <w:vAlign w:val="center"/>
                </w:tcPr>
                <w:p w:rsidR="0042390A" w:rsidRPr="00021B9C" w:rsidRDefault="0042390A" w:rsidP="00183DD3">
                  <w:pPr>
                    <w:pStyle w:val="Brdtekst"/>
                    <w:ind w:right="-29"/>
                    <w:rPr>
                      <w:b w:val="0"/>
                      <w:bCs/>
                      <w:szCs w:val="24"/>
                    </w:rPr>
                  </w:pPr>
                  <w:r w:rsidRPr="00021B9C">
                    <w:rPr>
                      <w:b w:val="0"/>
                      <w:bCs/>
                      <w:szCs w:val="24"/>
                    </w:rPr>
                    <w:t>Bly</w:t>
                  </w:r>
                </w:p>
              </w:tc>
              <w:tc>
                <w:tcPr>
                  <w:tcW w:w="1177" w:type="pct"/>
                  <w:vAlign w:val="center"/>
                </w:tcPr>
                <w:p w:rsidR="0042390A" w:rsidRPr="00021B9C" w:rsidRDefault="0042390A" w:rsidP="00183DD3">
                  <w:pPr>
                    <w:pStyle w:val="Brdtekst"/>
                    <w:tabs>
                      <w:tab w:val="left" w:pos="1194"/>
                      <w:tab w:val="left" w:pos="1599"/>
                    </w:tabs>
                    <w:ind w:right="-29"/>
                    <w:jc w:val="center"/>
                    <w:rPr>
                      <w:b w:val="0"/>
                      <w:bCs/>
                      <w:szCs w:val="24"/>
                    </w:rPr>
                  </w:pPr>
                  <w:r w:rsidRPr="00021B9C">
                    <w:rPr>
                      <w:b w:val="0"/>
                      <w:bCs/>
                      <w:szCs w:val="24"/>
                    </w:rPr>
                    <w:t xml:space="preserve">100 µg/l </w:t>
                  </w:r>
                  <w:r w:rsidRPr="00021B9C">
                    <w:rPr>
                      <w:b w:val="0"/>
                      <w:i/>
                      <w:szCs w:val="24"/>
                      <w:vertAlign w:val="superscript"/>
                    </w:rPr>
                    <w:t>(1)</w:t>
                  </w:r>
                </w:p>
              </w:tc>
              <w:tc>
                <w:tcPr>
                  <w:tcW w:w="2333" w:type="pct"/>
                  <w:vAlign w:val="center"/>
                </w:tcPr>
                <w:p w:rsidR="0042390A" w:rsidRPr="00021B9C" w:rsidRDefault="0042390A" w:rsidP="00183DD3">
                  <w:pPr>
                    <w:pStyle w:val="Brdtekst"/>
                    <w:ind w:right="-29"/>
                    <w:jc w:val="left"/>
                    <w:rPr>
                      <w:b w:val="0"/>
                      <w:bCs/>
                      <w:szCs w:val="24"/>
                    </w:rPr>
                  </w:pPr>
                  <w:r w:rsidRPr="00021B9C">
                    <w:rPr>
                      <w:b w:val="0"/>
                      <w:bCs/>
                      <w:szCs w:val="24"/>
                    </w:rPr>
                    <w:t>Reflab M013 – opløst metal</w:t>
                  </w:r>
                </w:p>
              </w:tc>
            </w:tr>
            <w:tr w:rsidR="0042390A" w:rsidRPr="00021B9C" w:rsidTr="00183DD3">
              <w:trPr>
                <w:trHeight w:val="276"/>
              </w:trPr>
              <w:tc>
                <w:tcPr>
                  <w:tcW w:w="1490" w:type="pct"/>
                  <w:vAlign w:val="center"/>
                </w:tcPr>
                <w:p w:rsidR="0042390A" w:rsidRPr="00021B9C" w:rsidRDefault="0042390A" w:rsidP="00183DD3">
                  <w:pPr>
                    <w:pStyle w:val="Brdtekst"/>
                    <w:ind w:right="-29"/>
                    <w:rPr>
                      <w:b w:val="0"/>
                      <w:bCs/>
                      <w:szCs w:val="24"/>
                    </w:rPr>
                  </w:pPr>
                  <w:r w:rsidRPr="00021B9C">
                    <w:rPr>
                      <w:b w:val="0"/>
                      <w:bCs/>
                      <w:szCs w:val="24"/>
                    </w:rPr>
                    <w:t>Cadmium</w:t>
                  </w:r>
                </w:p>
              </w:tc>
              <w:tc>
                <w:tcPr>
                  <w:tcW w:w="1177" w:type="pct"/>
                  <w:vAlign w:val="center"/>
                </w:tcPr>
                <w:p w:rsidR="0042390A" w:rsidRPr="00021B9C" w:rsidRDefault="0042390A" w:rsidP="00183DD3">
                  <w:pPr>
                    <w:pStyle w:val="Brdtekst"/>
                    <w:tabs>
                      <w:tab w:val="left" w:pos="1194"/>
                      <w:tab w:val="left" w:pos="1599"/>
                    </w:tabs>
                    <w:ind w:right="-29"/>
                    <w:jc w:val="center"/>
                    <w:rPr>
                      <w:b w:val="0"/>
                      <w:bCs/>
                      <w:szCs w:val="24"/>
                    </w:rPr>
                  </w:pPr>
                  <w:r w:rsidRPr="00021B9C">
                    <w:rPr>
                      <w:b w:val="0"/>
                      <w:bCs/>
                      <w:szCs w:val="24"/>
                    </w:rPr>
                    <w:t xml:space="preserve">3 µg/l </w:t>
                  </w:r>
                  <w:r w:rsidRPr="00021B9C">
                    <w:rPr>
                      <w:b w:val="0"/>
                      <w:i/>
                      <w:szCs w:val="24"/>
                      <w:vertAlign w:val="superscript"/>
                    </w:rPr>
                    <w:t>(1)</w:t>
                  </w:r>
                </w:p>
              </w:tc>
              <w:tc>
                <w:tcPr>
                  <w:tcW w:w="2333" w:type="pct"/>
                  <w:vAlign w:val="center"/>
                </w:tcPr>
                <w:p w:rsidR="0042390A" w:rsidRPr="00021B9C" w:rsidRDefault="0042390A" w:rsidP="00183DD3">
                  <w:pPr>
                    <w:pStyle w:val="Brdtekst"/>
                    <w:ind w:right="-29"/>
                    <w:jc w:val="left"/>
                    <w:rPr>
                      <w:b w:val="0"/>
                      <w:bCs/>
                      <w:szCs w:val="24"/>
                    </w:rPr>
                  </w:pPr>
                  <w:r w:rsidRPr="00021B9C">
                    <w:rPr>
                      <w:b w:val="0"/>
                      <w:bCs/>
                      <w:szCs w:val="24"/>
                    </w:rPr>
                    <w:t>Reflab M013 – totalt metal</w:t>
                  </w:r>
                </w:p>
              </w:tc>
            </w:tr>
            <w:tr w:rsidR="0042390A" w:rsidRPr="00021B9C" w:rsidTr="00183DD3">
              <w:trPr>
                <w:trHeight w:val="276"/>
              </w:trPr>
              <w:tc>
                <w:tcPr>
                  <w:tcW w:w="1490" w:type="pct"/>
                  <w:vAlign w:val="center"/>
                </w:tcPr>
                <w:p w:rsidR="0042390A" w:rsidRPr="00021B9C" w:rsidRDefault="0042390A" w:rsidP="00183DD3">
                  <w:pPr>
                    <w:pStyle w:val="Brdtekst"/>
                    <w:ind w:right="-29"/>
                    <w:rPr>
                      <w:b w:val="0"/>
                      <w:bCs/>
                      <w:szCs w:val="24"/>
                    </w:rPr>
                  </w:pPr>
                  <w:r w:rsidRPr="00021B9C">
                    <w:rPr>
                      <w:b w:val="0"/>
                      <w:bCs/>
                      <w:szCs w:val="24"/>
                    </w:rPr>
                    <w:t>Chrom</w:t>
                  </w:r>
                </w:p>
              </w:tc>
              <w:tc>
                <w:tcPr>
                  <w:tcW w:w="1177" w:type="pct"/>
                  <w:vAlign w:val="center"/>
                </w:tcPr>
                <w:p w:rsidR="0042390A" w:rsidRPr="00021B9C" w:rsidRDefault="0042390A" w:rsidP="00183DD3">
                  <w:pPr>
                    <w:pStyle w:val="Brdtekst"/>
                    <w:tabs>
                      <w:tab w:val="left" w:pos="1194"/>
                      <w:tab w:val="left" w:pos="1599"/>
                    </w:tabs>
                    <w:ind w:right="-29"/>
                    <w:jc w:val="center"/>
                    <w:rPr>
                      <w:b w:val="0"/>
                      <w:bCs/>
                      <w:szCs w:val="24"/>
                    </w:rPr>
                  </w:pPr>
                  <w:r w:rsidRPr="00021B9C">
                    <w:rPr>
                      <w:b w:val="0"/>
                      <w:bCs/>
                      <w:szCs w:val="24"/>
                    </w:rPr>
                    <w:t xml:space="preserve">300 µg/l </w:t>
                  </w:r>
                  <w:r w:rsidRPr="00021B9C">
                    <w:rPr>
                      <w:b w:val="0"/>
                      <w:i/>
                      <w:szCs w:val="24"/>
                      <w:vertAlign w:val="superscript"/>
                    </w:rPr>
                    <w:t>(1)</w:t>
                  </w:r>
                </w:p>
              </w:tc>
              <w:tc>
                <w:tcPr>
                  <w:tcW w:w="2333" w:type="pct"/>
                  <w:vAlign w:val="center"/>
                </w:tcPr>
                <w:p w:rsidR="0042390A" w:rsidRPr="00021B9C" w:rsidRDefault="0042390A" w:rsidP="00183DD3">
                  <w:pPr>
                    <w:pStyle w:val="Brdtekst"/>
                    <w:ind w:right="-29"/>
                    <w:jc w:val="left"/>
                    <w:rPr>
                      <w:b w:val="0"/>
                      <w:bCs/>
                      <w:szCs w:val="24"/>
                    </w:rPr>
                  </w:pPr>
                  <w:r w:rsidRPr="00021B9C">
                    <w:rPr>
                      <w:b w:val="0"/>
                      <w:bCs/>
                      <w:szCs w:val="24"/>
                    </w:rPr>
                    <w:t>Reflab M013 – både opløst og totalt metal</w:t>
                  </w:r>
                </w:p>
              </w:tc>
            </w:tr>
            <w:tr w:rsidR="0042390A" w:rsidRPr="00021B9C" w:rsidTr="00183DD3">
              <w:trPr>
                <w:trHeight w:val="276"/>
              </w:trPr>
              <w:tc>
                <w:tcPr>
                  <w:tcW w:w="1490" w:type="pct"/>
                  <w:vAlign w:val="center"/>
                </w:tcPr>
                <w:p w:rsidR="0042390A" w:rsidRPr="00021B9C" w:rsidRDefault="0042390A" w:rsidP="00183DD3">
                  <w:pPr>
                    <w:pStyle w:val="Brdtekst"/>
                    <w:ind w:right="-29"/>
                    <w:rPr>
                      <w:b w:val="0"/>
                      <w:bCs/>
                      <w:szCs w:val="24"/>
                    </w:rPr>
                  </w:pPr>
                  <w:r w:rsidRPr="00021B9C">
                    <w:rPr>
                      <w:b w:val="0"/>
                      <w:bCs/>
                      <w:szCs w:val="24"/>
                    </w:rPr>
                    <w:t>Kobber</w:t>
                  </w:r>
                </w:p>
              </w:tc>
              <w:tc>
                <w:tcPr>
                  <w:tcW w:w="1177" w:type="pct"/>
                  <w:vAlign w:val="center"/>
                </w:tcPr>
                <w:p w:rsidR="0042390A" w:rsidRPr="00021B9C" w:rsidRDefault="0042390A" w:rsidP="00183DD3">
                  <w:pPr>
                    <w:pStyle w:val="Brdtekst"/>
                    <w:tabs>
                      <w:tab w:val="left" w:pos="1194"/>
                      <w:tab w:val="left" w:pos="1599"/>
                    </w:tabs>
                    <w:ind w:right="-29"/>
                    <w:jc w:val="center"/>
                    <w:rPr>
                      <w:b w:val="0"/>
                      <w:bCs/>
                      <w:szCs w:val="24"/>
                    </w:rPr>
                  </w:pPr>
                  <w:r w:rsidRPr="00021B9C">
                    <w:rPr>
                      <w:b w:val="0"/>
                      <w:bCs/>
                      <w:szCs w:val="24"/>
                    </w:rPr>
                    <w:t xml:space="preserve">100 µg/l </w:t>
                  </w:r>
                  <w:r w:rsidRPr="00021B9C">
                    <w:rPr>
                      <w:b w:val="0"/>
                      <w:i/>
                      <w:szCs w:val="24"/>
                      <w:vertAlign w:val="superscript"/>
                    </w:rPr>
                    <w:t>(1)</w:t>
                  </w:r>
                </w:p>
              </w:tc>
              <w:tc>
                <w:tcPr>
                  <w:tcW w:w="2333" w:type="pct"/>
                  <w:vAlign w:val="center"/>
                </w:tcPr>
                <w:p w:rsidR="0042390A" w:rsidRPr="00021B9C" w:rsidRDefault="0042390A" w:rsidP="00183DD3">
                  <w:pPr>
                    <w:pStyle w:val="Brdtekst"/>
                    <w:ind w:right="-29"/>
                    <w:jc w:val="left"/>
                    <w:rPr>
                      <w:b w:val="0"/>
                      <w:bCs/>
                      <w:szCs w:val="24"/>
                    </w:rPr>
                  </w:pPr>
                  <w:r w:rsidRPr="00021B9C">
                    <w:rPr>
                      <w:b w:val="0"/>
                      <w:bCs/>
                      <w:szCs w:val="24"/>
                    </w:rPr>
                    <w:t>Reflab M013 – opløst metal</w:t>
                  </w:r>
                </w:p>
              </w:tc>
            </w:tr>
            <w:tr w:rsidR="0042390A" w:rsidRPr="00021B9C" w:rsidTr="00183DD3">
              <w:trPr>
                <w:trHeight w:val="276"/>
              </w:trPr>
              <w:tc>
                <w:tcPr>
                  <w:tcW w:w="1490" w:type="pct"/>
                  <w:vAlign w:val="center"/>
                </w:tcPr>
                <w:p w:rsidR="0042390A" w:rsidRPr="00021B9C" w:rsidRDefault="0042390A" w:rsidP="00183DD3">
                  <w:pPr>
                    <w:pStyle w:val="Brdtekst"/>
                    <w:ind w:right="-29"/>
                    <w:rPr>
                      <w:b w:val="0"/>
                      <w:bCs/>
                      <w:szCs w:val="24"/>
                    </w:rPr>
                  </w:pPr>
                  <w:r w:rsidRPr="00021B9C">
                    <w:rPr>
                      <w:b w:val="0"/>
                      <w:bCs/>
                      <w:szCs w:val="24"/>
                    </w:rPr>
                    <w:t>Kobolt</w:t>
                  </w:r>
                </w:p>
              </w:tc>
              <w:tc>
                <w:tcPr>
                  <w:tcW w:w="1177" w:type="pct"/>
                  <w:vAlign w:val="center"/>
                </w:tcPr>
                <w:p w:rsidR="0042390A" w:rsidRPr="00021B9C" w:rsidRDefault="0042390A" w:rsidP="00183DD3">
                  <w:pPr>
                    <w:pStyle w:val="Brdtekst"/>
                    <w:tabs>
                      <w:tab w:val="left" w:pos="1194"/>
                      <w:tab w:val="left" w:pos="1599"/>
                    </w:tabs>
                    <w:ind w:right="-29"/>
                    <w:jc w:val="center"/>
                    <w:rPr>
                      <w:b w:val="0"/>
                      <w:bCs/>
                      <w:szCs w:val="24"/>
                    </w:rPr>
                  </w:pPr>
                  <w:r w:rsidRPr="00021B9C">
                    <w:rPr>
                      <w:b w:val="0"/>
                      <w:bCs/>
                      <w:szCs w:val="24"/>
                    </w:rPr>
                    <w:t xml:space="preserve">10 µg/l </w:t>
                  </w:r>
                  <w:r w:rsidRPr="00021B9C">
                    <w:rPr>
                      <w:b w:val="0"/>
                      <w:i/>
                      <w:szCs w:val="24"/>
                      <w:vertAlign w:val="superscript"/>
                    </w:rPr>
                    <w:t>(1)</w:t>
                  </w:r>
                </w:p>
              </w:tc>
              <w:tc>
                <w:tcPr>
                  <w:tcW w:w="2333" w:type="pct"/>
                  <w:vAlign w:val="center"/>
                </w:tcPr>
                <w:p w:rsidR="0042390A" w:rsidRPr="00021B9C" w:rsidRDefault="0042390A" w:rsidP="00183DD3">
                  <w:pPr>
                    <w:pStyle w:val="Brdtekst"/>
                    <w:ind w:right="-29"/>
                    <w:jc w:val="left"/>
                    <w:rPr>
                      <w:b w:val="0"/>
                      <w:bCs/>
                      <w:szCs w:val="24"/>
                    </w:rPr>
                  </w:pPr>
                  <w:r w:rsidRPr="00021B9C">
                    <w:rPr>
                      <w:b w:val="0"/>
                      <w:bCs/>
                      <w:szCs w:val="24"/>
                    </w:rPr>
                    <w:t>Reflab M013 – opløst metal</w:t>
                  </w:r>
                </w:p>
              </w:tc>
            </w:tr>
            <w:tr w:rsidR="0042390A" w:rsidRPr="00021B9C" w:rsidTr="00183DD3">
              <w:trPr>
                <w:trHeight w:val="276"/>
              </w:trPr>
              <w:tc>
                <w:tcPr>
                  <w:tcW w:w="1490" w:type="pct"/>
                  <w:vAlign w:val="center"/>
                </w:tcPr>
                <w:p w:rsidR="0042390A" w:rsidRPr="00021B9C" w:rsidRDefault="0042390A" w:rsidP="00183DD3">
                  <w:pPr>
                    <w:pStyle w:val="Brdtekst"/>
                    <w:ind w:right="-29"/>
                    <w:rPr>
                      <w:b w:val="0"/>
                      <w:bCs/>
                      <w:szCs w:val="24"/>
                    </w:rPr>
                  </w:pPr>
                  <w:r w:rsidRPr="00021B9C">
                    <w:rPr>
                      <w:b w:val="0"/>
                      <w:bCs/>
                      <w:szCs w:val="24"/>
                    </w:rPr>
                    <w:t>Kviksølv</w:t>
                  </w:r>
                </w:p>
              </w:tc>
              <w:tc>
                <w:tcPr>
                  <w:tcW w:w="1177" w:type="pct"/>
                  <w:vAlign w:val="center"/>
                </w:tcPr>
                <w:p w:rsidR="0042390A" w:rsidRPr="00021B9C" w:rsidRDefault="0042390A" w:rsidP="00183DD3">
                  <w:pPr>
                    <w:pStyle w:val="Brdtekst"/>
                    <w:tabs>
                      <w:tab w:val="left" w:pos="1194"/>
                      <w:tab w:val="left" w:pos="1599"/>
                    </w:tabs>
                    <w:ind w:right="-29"/>
                    <w:jc w:val="center"/>
                    <w:rPr>
                      <w:b w:val="0"/>
                      <w:bCs/>
                      <w:szCs w:val="24"/>
                    </w:rPr>
                  </w:pPr>
                  <w:r w:rsidRPr="00021B9C">
                    <w:rPr>
                      <w:b w:val="0"/>
                      <w:bCs/>
                      <w:szCs w:val="24"/>
                    </w:rPr>
                    <w:t xml:space="preserve">3 µg/l </w:t>
                  </w:r>
                  <w:r w:rsidRPr="00021B9C">
                    <w:rPr>
                      <w:b w:val="0"/>
                      <w:i/>
                      <w:szCs w:val="24"/>
                      <w:vertAlign w:val="superscript"/>
                    </w:rPr>
                    <w:t>(1)</w:t>
                  </w:r>
                </w:p>
              </w:tc>
              <w:tc>
                <w:tcPr>
                  <w:tcW w:w="2333" w:type="pct"/>
                  <w:vAlign w:val="center"/>
                </w:tcPr>
                <w:p w:rsidR="0042390A" w:rsidRPr="00021B9C" w:rsidRDefault="0042390A" w:rsidP="00183DD3">
                  <w:pPr>
                    <w:pStyle w:val="Brdtekst"/>
                    <w:ind w:right="-29"/>
                    <w:jc w:val="left"/>
                    <w:rPr>
                      <w:b w:val="0"/>
                      <w:bCs/>
                      <w:szCs w:val="24"/>
                    </w:rPr>
                  </w:pPr>
                  <w:r w:rsidRPr="00021B9C">
                    <w:rPr>
                      <w:b w:val="0"/>
                      <w:bCs/>
                      <w:szCs w:val="24"/>
                    </w:rPr>
                    <w:t>Reflab M020 - totalt metal</w:t>
                  </w:r>
                </w:p>
              </w:tc>
            </w:tr>
            <w:tr w:rsidR="0042390A" w:rsidRPr="00021B9C" w:rsidTr="00183DD3">
              <w:trPr>
                <w:trHeight w:val="276"/>
              </w:trPr>
              <w:tc>
                <w:tcPr>
                  <w:tcW w:w="1490" w:type="pct"/>
                  <w:vAlign w:val="center"/>
                </w:tcPr>
                <w:p w:rsidR="0042390A" w:rsidRPr="00021B9C" w:rsidRDefault="0042390A" w:rsidP="00183DD3">
                  <w:pPr>
                    <w:pStyle w:val="Brdtekst"/>
                    <w:ind w:right="-29"/>
                    <w:rPr>
                      <w:b w:val="0"/>
                      <w:bCs/>
                      <w:szCs w:val="24"/>
                    </w:rPr>
                  </w:pPr>
                  <w:r w:rsidRPr="00021B9C">
                    <w:rPr>
                      <w:b w:val="0"/>
                      <w:bCs/>
                      <w:szCs w:val="24"/>
                    </w:rPr>
                    <w:t>Arsen</w:t>
                  </w:r>
                </w:p>
              </w:tc>
              <w:tc>
                <w:tcPr>
                  <w:tcW w:w="1177" w:type="pct"/>
                  <w:vAlign w:val="center"/>
                </w:tcPr>
                <w:p w:rsidR="0042390A" w:rsidRPr="00021B9C" w:rsidRDefault="0042390A" w:rsidP="00183DD3">
                  <w:pPr>
                    <w:pStyle w:val="Brdtekst"/>
                    <w:tabs>
                      <w:tab w:val="left" w:pos="1194"/>
                      <w:tab w:val="left" w:pos="1599"/>
                    </w:tabs>
                    <w:ind w:right="-29"/>
                    <w:jc w:val="center"/>
                    <w:rPr>
                      <w:b w:val="0"/>
                      <w:bCs/>
                      <w:szCs w:val="24"/>
                    </w:rPr>
                  </w:pPr>
                  <w:r w:rsidRPr="00021B9C">
                    <w:rPr>
                      <w:b w:val="0"/>
                      <w:bCs/>
                      <w:szCs w:val="24"/>
                    </w:rPr>
                    <w:t xml:space="preserve">13 µg/l </w:t>
                  </w:r>
                  <w:r w:rsidRPr="00021B9C">
                    <w:rPr>
                      <w:b w:val="0"/>
                      <w:i/>
                      <w:szCs w:val="24"/>
                      <w:vertAlign w:val="superscript"/>
                    </w:rPr>
                    <w:t>(1)</w:t>
                  </w:r>
                </w:p>
              </w:tc>
              <w:tc>
                <w:tcPr>
                  <w:tcW w:w="2333" w:type="pct"/>
                  <w:vAlign w:val="center"/>
                </w:tcPr>
                <w:p w:rsidR="0042390A" w:rsidRPr="00021B9C" w:rsidRDefault="0042390A" w:rsidP="00183DD3">
                  <w:pPr>
                    <w:pStyle w:val="Brdtekst"/>
                    <w:ind w:right="-29"/>
                    <w:jc w:val="left"/>
                    <w:rPr>
                      <w:b w:val="0"/>
                      <w:bCs/>
                      <w:szCs w:val="24"/>
                      <w:vertAlign w:val="superscript"/>
                    </w:rPr>
                  </w:pPr>
                  <w:r w:rsidRPr="00021B9C">
                    <w:rPr>
                      <w:b w:val="0"/>
                      <w:bCs/>
                      <w:szCs w:val="24"/>
                    </w:rPr>
                    <w:t>Reflab M013 – opløst metal</w:t>
                  </w:r>
                </w:p>
              </w:tc>
            </w:tr>
            <w:tr w:rsidR="0042390A" w:rsidRPr="00021B9C" w:rsidTr="00183DD3">
              <w:trPr>
                <w:trHeight w:val="276"/>
              </w:trPr>
              <w:tc>
                <w:tcPr>
                  <w:tcW w:w="1490" w:type="pct"/>
                  <w:vAlign w:val="center"/>
                </w:tcPr>
                <w:p w:rsidR="0042390A" w:rsidRPr="00021B9C" w:rsidRDefault="0042390A" w:rsidP="00183DD3">
                  <w:pPr>
                    <w:pStyle w:val="Brdtekst"/>
                    <w:ind w:right="-29"/>
                    <w:rPr>
                      <w:b w:val="0"/>
                      <w:bCs/>
                      <w:szCs w:val="24"/>
                    </w:rPr>
                  </w:pPr>
                  <w:r w:rsidRPr="00021B9C">
                    <w:rPr>
                      <w:b w:val="0"/>
                      <w:bCs/>
                      <w:szCs w:val="24"/>
                    </w:rPr>
                    <w:t>Nikkel</w:t>
                  </w:r>
                </w:p>
              </w:tc>
              <w:tc>
                <w:tcPr>
                  <w:tcW w:w="1177" w:type="pct"/>
                  <w:vAlign w:val="center"/>
                </w:tcPr>
                <w:p w:rsidR="0042390A" w:rsidRPr="00021B9C" w:rsidRDefault="0042390A" w:rsidP="00183DD3">
                  <w:pPr>
                    <w:pStyle w:val="Brdtekst"/>
                    <w:tabs>
                      <w:tab w:val="left" w:pos="1194"/>
                      <w:tab w:val="left" w:pos="1599"/>
                    </w:tabs>
                    <w:ind w:right="-29"/>
                    <w:jc w:val="center"/>
                    <w:rPr>
                      <w:b w:val="0"/>
                      <w:bCs/>
                      <w:szCs w:val="24"/>
                    </w:rPr>
                  </w:pPr>
                  <w:r w:rsidRPr="00021B9C">
                    <w:rPr>
                      <w:b w:val="0"/>
                      <w:bCs/>
                      <w:szCs w:val="24"/>
                    </w:rPr>
                    <w:t xml:space="preserve">250 µg/l </w:t>
                  </w:r>
                  <w:r w:rsidRPr="00021B9C">
                    <w:rPr>
                      <w:b w:val="0"/>
                      <w:i/>
                      <w:szCs w:val="24"/>
                      <w:vertAlign w:val="superscript"/>
                    </w:rPr>
                    <w:t>(1)</w:t>
                  </w:r>
                </w:p>
              </w:tc>
              <w:tc>
                <w:tcPr>
                  <w:tcW w:w="2333" w:type="pct"/>
                  <w:vAlign w:val="center"/>
                </w:tcPr>
                <w:p w:rsidR="0042390A" w:rsidRPr="00021B9C" w:rsidRDefault="0042390A" w:rsidP="00183DD3">
                  <w:pPr>
                    <w:pStyle w:val="Brdtekst"/>
                    <w:ind w:right="-29"/>
                    <w:jc w:val="left"/>
                    <w:rPr>
                      <w:b w:val="0"/>
                      <w:bCs/>
                      <w:szCs w:val="24"/>
                    </w:rPr>
                  </w:pPr>
                  <w:r w:rsidRPr="00021B9C">
                    <w:rPr>
                      <w:b w:val="0"/>
                      <w:bCs/>
                      <w:szCs w:val="24"/>
                    </w:rPr>
                    <w:t>Reflab M013 – totalt metal</w:t>
                  </w:r>
                </w:p>
              </w:tc>
            </w:tr>
            <w:tr w:rsidR="0042390A" w:rsidRPr="00021B9C" w:rsidTr="00183DD3">
              <w:trPr>
                <w:trHeight w:val="276"/>
              </w:trPr>
              <w:tc>
                <w:tcPr>
                  <w:tcW w:w="1490" w:type="pct"/>
                  <w:vAlign w:val="center"/>
                </w:tcPr>
                <w:p w:rsidR="0042390A" w:rsidRPr="00021B9C" w:rsidRDefault="0042390A" w:rsidP="00183DD3">
                  <w:pPr>
                    <w:pStyle w:val="Brdtekst"/>
                    <w:ind w:right="-29"/>
                    <w:rPr>
                      <w:b w:val="0"/>
                      <w:bCs/>
                      <w:szCs w:val="24"/>
                    </w:rPr>
                  </w:pPr>
                  <w:r w:rsidRPr="00021B9C">
                    <w:rPr>
                      <w:b w:val="0"/>
                      <w:bCs/>
                      <w:szCs w:val="24"/>
                    </w:rPr>
                    <w:t>Zink</w:t>
                  </w:r>
                </w:p>
              </w:tc>
              <w:tc>
                <w:tcPr>
                  <w:tcW w:w="1177" w:type="pct"/>
                  <w:vAlign w:val="center"/>
                </w:tcPr>
                <w:p w:rsidR="0042390A" w:rsidRPr="00021B9C" w:rsidRDefault="0042390A" w:rsidP="00183DD3">
                  <w:pPr>
                    <w:pStyle w:val="Brdtekst"/>
                    <w:tabs>
                      <w:tab w:val="left" w:pos="1194"/>
                      <w:tab w:val="left" w:pos="1599"/>
                    </w:tabs>
                    <w:ind w:right="-29"/>
                    <w:jc w:val="center"/>
                    <w:rPr>
                      <w:b w:val="0"/>
                      <w:bCs/>
                      <w:szCs w:val="24"/>
                    </w:rPr>
                  </w:pPr>
                  <w:r w:rsidRPr="00021B9C">
                    <w:rPr>
                      <w:b w:val="0"/>
                      <w:bCs/>
                      <w:szCs w:val="24"/>
                    </w:rPr>
                    <w:t xml:space="preserve">3 mg/l </w:t>
                  </w:r>
                  <w:r w:rsidRPr="00021B9C">
                    <w:rPr>
                      <w:b w:val="0"/>
                      <w:i/>
                      <w:szCs w:val="24"/>
                      <w:vertAlign w:val="superscript"/>
                    </w:rPr>
                    <w:t>(1)</w:t>
                  </w:r>
                </w:p>
              </w:tc>
              <w:tc>
                <w:tcPr>
                  <w:tcW w:w="2333" w:type="pct"/>
                  <w:vAlign w:val="center"/>
                </w:tcPr>
                <w:p w:rsidR="0042390A" w:rsidRPr="00021B9C" w:rsidRDefault="0042390A" w:rsidP="00183DD3">
                  <w:pPr>
                    <w:pStyle w:val="Brdtekst"/>
                    <w:ind w:right="-29"/>
                    <w:jc w:val="left"/>
                    <w:rPr>
                      <w:b w:val="0"/>
                      <w:bCs/>
                      <w:szCs w:val="24"/>
                    </w:rPr>
                  </w:pPr>
                  <w:r w:rsidRPr="00021B9C">
                    <w:rPr>
                      <w:b w:val="0"/>
                      <w:bCs/>
                      <w:szCs w:val="24"/>
                    </w:rPr>
                    <w:t>Reflab M013 – opløst metal</w:t>
                  </w:r>
                </w:p>
              </w:tc>
            </w:tr>
            <w:tr w:rsidR="0042390A" w:rsidRPr="00021B9C" w:rsidTr="00183DD3">
              <w:trPr>
                <w:trHeight w:val="276"/>
              </w:trPr>
              <w:tc>
                <w:tcPr>
                  <w:tcW w:w="5000" w:type="pct"/>
                  <w:gridSpan w:val="3"/>
                </w:tcPr>
                <w:p w:rsidR="0042390A" w:rsidRDefault="0042390A" w:rsidP="006C5EFF">
                  <w:pPr>
                    <w:numPr>
                      <w:ilvl w:val="0"/>
                      <w:numId w:val="10"/>
                    </w:numPr>
                    <w:tabs>
                      <w:tab w:val="clear" w:pos="1134"/>
                    </w:tabs>
                    <w:spacing w:before="120" w:line="240" w:lineRule="auto"/>
                    <w:ind w:left="743" w:right="573" w:hanging="663"/>
                    <w:jc w:val="both"/>
                    <w:rPr>
                      <w:szCs w:val="24"/>
                    </w:rPr>
                  </w:pPr>
                  <w:r w:rsidRPr="00021B9C">
                    <w:rPr>
                      <w:szCs w:val="24"/>
                    </w:rPr>
                    <w:t>Grænseværdi i Miljøstyrelsens vejledning nr. 2, 2006 /3/.</w:t>
                  </w:r>
                </w:p>
                <w:p w:rsidR="006C5EFF" w:rsidRPr="006C5EFF" w:rsidRDefault="006C5EFF" w:rsidP="006C5EFF">
                  <w:pPr>
                    <w:spacing w:before="120" w:line="240" w:lineRule="auto"/>
                    <w:ind w:left="80" w:right="573"/>
                    <w:jc w:val="both"/>
                    <w:rPr>
                      <w:szCs w:val="24"/>
                    </w:rPr>
                  </w:pPr>
                </w:p>
              </w:tc>
            </w:tr>
          </w:tbl>
          <w:p w:rsidR="0042390A" w:rsidRPr="00021B9C" w:rsidRDefault="0042390A" w:rsidP="00183DD3">
            <w:pPr>
              <w:rPr>
                <w:color w:val="000000"/>
              </w:rPr>
            </w:pPr>
          </w:p>
        </w:tc>
        <w:tc>
          <w:tcPr>
            <w:tcW w:w="850" w:type="dxa"/>
          </w:tcPr>
          <w:p w:rsidR="0042390A" w:rsidRPr="00021B9C" w:rsidRDefault="006C5EFF" w:rsidP="00EE47F9">
            <w:pPr>
              <w:ind w:left="-36"/>
              <w:jc w:val="center"/>
              <w:rPr>
                <w:color w:val="000000"/>
              </w:rPr>
            </w:pPr>
            <w:r>
              <w:rPr>
                <w:color w:val="000000"/>
              </w:rPr>
              <w:t>-</w:t>
            </w:r>
          </w:p>
        </w:tc>
        <w:tc>
          <w:tcPr>
            <w:tcW w:w="5612" w:type="dxa"/>
          </w:tcPr>
          <w:p w:rsidR="0042390A" w:rsidRPr="00021B9C" w:rsidRDefault="006C5EFF" w:rsidP="00EE47F9">
            <w:pPr>
              <w:rPr>
                <w:color w:val="000000"/>
              </w:rPr>
            </w:pPr>
            <w:r>
              <w:rPr>
                <w:color w:val="000000"/>
              </w:rPr>
              <w:t>Kunne ikke kontrolleres ved tilsynet.</w:t>
            </w:r>
          </w:p>
        </w:tc>
      </w:tr>
      <w:tr w:rsidR="0042390A" w:rsidRPr="00021B9C" w:rsidTr="00EC463E">
        <w:tc>
          <w:tcPr>
            <w:tcW w:w="8926" w:type="dxa"/>
          </w:tcPr>
          <w:p w:rsidR="0042390A" w:rsidRPr="00021B9C" w:rsidRDefault="0042390A" w:rsidP="00183DD3">
            <w:pPr>
              <w:pStyle w:val="Vilkr-autonummerering"/>
              <w:numPr>
                <w:ilvl w:val="0"/>
                <w:numId w:val="0"/>
              </w:numPr>
              <w:spacing w:after="120"/>
              <w:jc w:val="left"/>
              <w:rPr>
                <w:b/>
                <w:szCs w:val="24"/>
              </w:rPr>
            </w:pPr>
            <w:r w:rsidRPr="00021B9C">
              <w:rPr>
                <w:b/>
                <w:szCs w:val="24"/>
              </w:rPr>
              <w:t>6. Affald</w:t>
            </w:r>
          </w:p>
        </w:tc>
        <w:tc>
          <w:tcPr>
            <w:tcW w:w="850" w:type="dxa"/>
          </w:tcPr>
          <w:p w:rsidR="0042390A" w:rsidRPr="00021B9C" w:rsidRDefault="0042390A" w:rsidP="00EE47F9">
            <w:pPr>
              <w:pStyle w:val="Vilkr-autonummerering"/>
              <w:numPr>
                <w:ilvl w:val="0"/>
                <w:numId w:val="0"/>
              </w:numPr>
              <w:spacing w:after="120"/>
              <w:ind w:left="-36"/>
              <w:jc w:val="center"/>
              <w:rPr>
                <w:b/>
                <w:szCs w:val="24"/>
              </w:rPr>
            </w:pPr>
          </w:p>
        </w:tc>
        <w:tc>
          <w:tcPr>
            <w:tcW w:w="5612" w:type="dxa"/>
          </w:tcPr>
          <w:p w:rsidR="0042390A" w:rsidRPr="00021B9C" w:rsidRDefault="0042390A" w:rsidP="00EE47F9">
            <w:pPr>
              <w:pStyle w:val="Vilkr-autonummerering"/>
              <w:numPr>
                <w:ilvl w:val="0"/>
                <w:numId w:val="0"/>
              </w:numPr>
              <w:spacing w:after="120"/>
              <w:jc w:val="left"/>
              <w:rPr>
                <w:b/>
                <w:szCs w:val="24"/>
              </w:rPr>
            </w:pPr>
          </w:p>
        </w:tc>
      </w:tr>
      <w:tr w:rsidR="0042390A" w:rsidRPr="00021B9C" w:rsidTr="00EC463E">
        <w:tc>
          <w:tcPr>
            <w:tcW w:w="8926" w:type="dxa"/>
          </w:tcPr>
          <w:p w:rsidR="0042390A" w:rsidRPr="00021B9C" w:rsidRDefault="0042390A" w:rsidP="00183DD3">
            <w:pPr>
              <w:pStyle w:val="Listeafsnit"/>
              <w:numPr>
                <w:ilvl w:val="0"/>
                <w:numId w:val="3"/>
              </w:numPr>
              <w:rPr>
                <w:szCs w:val="24"/>
              </w:rPr>
            </w:pPr>
            <w:r w:rsidRPr="00021B9C">
              <w:rPr>
                <w:szCs w:val="24"/>
              </w:rPr>
              <w:t xml:space="preserve">Spild af </w:t>
            </w:r>
            <w:r w:rsidRPr="00021B9C">
              <w:t>farligt affald på befæstede og ubefæstede arealer skal opsamles straks. Hvis der opstår risiko for, at spild af farligt affald kan nå et afløb, skal de relevante afspærringsventiler straks lukkes.</w:t>
            </w:r>
          </w:p>
        </w:tc>
        <w:tc>
          <w:tcPr>
            <w:tcW w:w="850" w:type="dxa"/>
          </w:tcPr>
          <w:p w:rsidR="0042390A" w:rsidRPr="00021B9C" w:rsidRDefault="006C5EFF" w:rsidP="00EE47F9">
            <w:pPr>
              <w:ind w:left="-36"/>
              <w:jc w:val="center"/>
              <w:rPr>
                <w:szCs w:val="24"/>
              </w:rPr>
            </w:pPr>
            <w:r>
              <w:rPr>
                <w:szCs w:val="24"/>
              </w:rPr>
              <w:t>OK</w:t>
            </w:r>
          </w:p>
        </w:tc>
        <w:tc>
          <w:tcPr>
            <w:tcW w:w="5612" w:type="dxa"/>
          </w:tcPr>
          <w:p w:rsidR="0042390A" w:rsidRPr="00021B9C" w:rsidRDefault="006C5EFF" w:rsidP="00EE47F9">
            <w:pPr>
              <w:rPr>
                <w:szCs w:val="24"/>
              </w:rPr>
            </w:pPr>
            <w:r>
              <w:rPr>
                <w:szCs w:val="24"/>
              </w:rPr>
              <w:t xml:space="preserve">Mindre spild opsamles med </w:t>
            </w:r>
            <w:r w:rsidR="00316256">
              <w:rPr>
                <w:szCs w:val="24"/>
              </w:rPr>
              <w:t>vermiculite</w:t>
            </w:r>
            <w:r>
              <w:rPr>
                <w:szCs w:val="24"/>
              </w:rPr>
              <w:t>. Eventuelle større spild, kan opsamles med virksomhedens slamsuger. Afspærringsventiler kan aflukkes via SRO-system</w:t>
            </w:r>
          </w:p>
        </w:tc>
      </w:tr>
      <w:tr w:rsidR="0042390A" w:rsidRPr="00021B9C" w:rsidTr="00EC463E">
        <w:tc>
          <w:tcPr>
            <w:tcW w:w="8926" w:type="dxa"/>
          </w:tcPr>
          <w:p w:rsidR="0042390A" w:rsidRPr="00021B9C" w:rsidRDefault="0042390A" w:rsidP="00183DD3">
            <w:pPr>
              <w:pStyle w:val="Listeafsnit"/>
              <w:numPr>
                <w:ilvl w:val="0"/>
                <w:numId w:val="3"/>
              </w:numPr>
              <w:rPr>
                <w:szCs w:val="24"/>
              </w:rPr>
            </w:pPr>
            <w:r w:rsidRPr="00021B9C">
              <w:t>Spild af farligt affald i sumpe, brønde o. lign. opsamlingsbassiner samt i tankgårde opsamles dagligt ved arbejdstids ophør. Ved uheld hvor der f.eks. er gået hul på en emballage med flydende farligt affald, skal spildet opsamles hurtigst muligt.</w:t>
            </w:r>
          </w:p>
        </w:tc>
        <w:tc>
          <w:tcPr>
            <w:tcW w:w="850" w:type="dxa"/>
          </w:tcPr>
          <w:p w:rsidR="0042390A" w:rsidRPr="00021B9C" w:rsidRDefault="006C5EFF" w:rsidP="00EE47F9">
            <w:pPr>
              <w:ind w:left="-36"/>
              <w:jc w:val="center"/>
            </w:pPr>
            <w:r>
              <w:t>OK</w:t>
            </w:r>
          </w:p>
        </w:tc>
        <w:tc>
          <w:tcPr>
            <w:tcW w:w="5612" w:type="dxa"/>
          </w:tcPr>
          <w:p w:rsidR="0042390A" w:rsidRPr="00021B9C" w:rsidRDefault="0042390A" w:rsidP="00EE47F9"/>
        </w:tc>
      </w:tr>
      <w:tr w:rsidR="0042390A" w:rsidRPr="00021B9C" w:rsidTr="00EC463E">
        <w:tc>
          <w:tcPr>
            <w:tcW w:w="8926" w:type="dxa"/>
          </w:tcPr>
          <w:p w:rsidR="0042390A" w:rsidRPr="00021B9C" w:rsidRDefault="0042390A" w:rsidP="00183DD3">
            <w:pPr>
              <w:pStyle w:val="Listeafsnit"/>
              <w:numPr>
                <w:ilvl w:val="0"/>
                <w:numId w:val="3"/>
              </w:numPr>
              <w:rPr>
                <w:szCs w:val="24"/>
              </w:rPr>
            </w:pPr>
            <w:r w:rsidRPr="00021B9C">
              <w:t>Opsamlet spild af farligt affald inkl. eventuelt opsugningsmateriale, rester fra filtrering af farligt affald samt affald fra rengøring af emballager, containere, køretøjer, tanke eller andet udstyr til farligt affald skal håndteres som farligt affald. Der skal til enhver tid forefindes opsugningsmateriale på virksomheden.</w:t>
            </w:r>
          </w:p>
        </w:tc>
        <w:tc>
          <w:tcPr>
            <w:tcW w:w="850" w:type="dxa"/>
          </w:tcPr>
          <w:p w:rsidR="0042390A" w:rsidRPr="00021B9C" w:rsidRDefault="006C5EFF" w:rsidP="00EE47F9">
            <w:pPr>
              <w:ind w:left="-36"/>
              <w:jc w:val="center"/>
            </w:pPr>
            <w:r>
              <w:t>OK</w:t>
            </w:r>
          </w:p>
        </w:tc>
        <w:tc>
          <w:tcPr>
            <w:tcW w:w="5612" w:type="dxa"/>
          </w:tcPr>
          <w:p w:rsidR="0042390A" w:rsidRPr="00021B9C" w:rsidRDefault="0042390A" w:rsidP="00EE47F9"/>
        </w:tc>
      </w:tr>
      <w:tr w:rsidR="0042390A" w:rsidRPr="00021B9C" w:rsidTr="00EC463E">
        <w:tc>
          <w:tcPr>
            <w:tcW w:w="8926" w:type="dxa"/>
          </w:tcPr>
          <w:p w:rsidR="0042390A" w:rsidRPr="00021B9C" w:rsidRDefault="0042390A" w:rsidP="00183DD3">
            <w:pPr>
              <w:pStyle w:val="Vilkr-autonummerering"/>
              <w:numPr>
                <w:ilvl w:val="0"/>
                <w:numId w:val="0"/>
              </w:numPr>
              <w:spacing w:after="120"/>
              <w:jc w:val="left"/>
              <w:rPr>
                <w:b/>
              </w:rPr>
            </w:pPr>
            <w:r w:rsidRPr="00021B9C">
              <w:rPr>
                <w:b/>
                <w:szCs w:val="24"/>
              </w:rPr>
              <w:t xml:space="preserve">7. </w:t>
            </w:r>
            <w:r w:rsidRPr="00021B9C">
              <w:rPr>
                <w:b/>
              </w:rPr>
              <w:t>Beskyttelse af jord, grundvand og overfladevand</w:t>
            </w:r>
          </w:p>
        </w:tc>
        <w:tc>
          <w:tcPr>
            <w:tcW w:w="850" w:type="dxa"/>
          </w:tcPr>
          <w:p w:rsidR="0042390A" w:rsidRPr="00021B9C" w:rsidRDefault="0042390A" w:rsidP="00EE47F9">
            <w:pPr>
              <w:pStyle w:val="Vilkr-autonummerering"/>
              <w:numPr>
                <w:ilvl w:val="0"/>
                <w:numId w:val="0"/>
              </w:numPr>
              <w:spacing w:after="120"/>
              <w:ind w:left="-36"/>
              <w:jc w:val="center"/>
              <w:rPr>
                <w:b/>
                <w:szCs w:val="24"/>
              </w:rPr>
            </w:pPr>
          </w:p>
        </w:tc>
        <w:tc>
          <w:tcPr>
            <w:tcW w:w="5612" w:type="dxa"/>
          </w:tcPr>
          <w:p w:rsidR="0042390A" w:rsidRPr="00021B9C" w:rsidRDefault="0042390A" w:rsidP="00EE47F9">
            <w:pPr>
              <w:pStyle w:val="Vilkr-autonummerering"/>
              <w:numPr>
                <w:ilvl w:val="0"/>
                <w:numId w:val="0"/>
              </w:numPr>
              <w:spacing w:after="120"/>
              <w:jc w:val="left"/>
              <w:rPr>
                <w:b/>
                <w:szCs w:val="24"/>
              </w:rPr>
            </w:pPr>
          </w:p>
        </w:tc>
      </w:tr>
      <w:tr w:rsidR="0042390A" w:rsidRPr="00021B9C" w:rsidTr="00EC463E">
        <w:tc>
          <w:tcPr>
            <w:tcW w:w="8926" w:type="dxa"/>
          </w:tcPr>
          <w:p w:rsidR="0042390A" w:rsidRPr="00021B9C" w:rsidRDefault="0042390A" w:rsidP="00183DD3">
            <w:pPr>
              <w:pStyle w:val="Listeafsnit"/>
              <w:numPr>
                <w:ilvl w:val="0"/>
                <w:numId w:val="3"/>
              </w:numPr>
              <w:rPr>
                <w:color w:val="000000"/>
              </w:rPr>
            </w:pPr>
            <w:r w:rsidRPr="00021B9C">
              <w:lastRenderedPageBreak/>
              <w:t>Farligt affald skal opbevares under tag eller på anden måde beskyttet mod vejrlig. Dog kan opbevaring af farligt affald i transportcontainere, der bliver afhentet med indhold og tømt hos modtagevirksomheden, ske under tæt presenning.</w:t>
            </w:r>
          </w:p>
        </w:tc>
        <w:tc>
          <w:tcPr>
            <w:tcW w:w="850" w:type="dxa"/>
          </w:tcPr>
          <w:p w:rsidR="0042390A" w:rsidRPr="00021B9C" w:rsidRDefault="006C5EFF" w:rsidP="00EE47F9">
            <w:pPr>
              <w:ind w:left="-36"/>
              <w:jc w:val="center"/>
            </w:pPr>
            <w:r>
              <w:t>OK</w:t>
            </w:r>
          </w:p>
        </w:tc>
        <w:tc>
          <w:tcPr>
            <w:tcW w:w="5612" w:type="dxa"/>
          </w:tcPr>
          <w:p w:rsidR="0042390A" w:rsidRPr="00021B9C" w:rsidRDefault="0042390A" w:rsidP="00EE47F9"/>
        </w:tc>
      </w:tr>
      <w:tr w:rsidR="0042390A" w:rsidRPr="00021B9C" w:rsidTr="00EC463E">
        <w:tc>
          <w:tcPr>
            <w:tcW w:w="8926" w:type="dxa"/>
          </w:tcPr>
          <w:p w:rsidR="0042390A" w:rsidRPr="00021B9C" w:rsidRDefault="0042390A" w:rsidP="00183DD3">
            <w:pPr>
              <w:pStyle w:val="Listeafsnit"/>
              <w:numPr>
                <w:ilvl w:val="0"/>
                <w:numId w:val="3"/>
              </w:numPr>
              <w:rPr>
                <w:color w:val="000000"/>
              </w:rPr>
            </w:pPr>
            <w:r w:rsidRPr="00021B9C">
              <w:t>Elektronikaffald skal opbevares i bure under tag eller under vejrbeskyttende overdække.</w:t>
            </w:r>
          </w:p>
        </w:tc>
        <w:tc>
          <w:tcPr>
            <w:tcW w:w="850" w:type="dxa"/>
          </w:tcPr>
          <w:p w:rsidR="0042390A" w:rsidRPr="00021B9C" w:rsidRDefault="006C5EFF" w:rsidP="00EE47F9">
            <w:pPr>
              <w:ind w:left="-36"/>
              <w:jc w:val="center"/>
            </w:pPr>
            <w:r>
              <w:t>OK</w:t>
            </w:r>
          </w:p>
        </w:tc>
        <w:tc>
          <w:tcPr>
            <w:tcW w:w="5612" w:type="dxa"/>
          </w:tcPr>
          <w:p w:rsidR="0042390A" w:rsidRPr="00021B9C" w:rsidRDefault="00316256" w:rsidP="00EE47F9">
            <w:r w:rsidRPr="00316256">
              <w:t xml:space="preserve">Der er frasorteres ca. </w:t>
            </w:r>
            <w:r>
              <w:t>to</w:t>
            </w:r>
            <w:r w:rsidRPr="00316256">
              <w:t xml:space="preserve"> bure med elektronikaffald fra de "Røde bokse" pr. uge.</w:t>
            </w:r>
          </w:p>
        </w:tc>
      </w:tr>
      <w:tr w:rsidR="0042390A" w:rsidRPr="00021B9C" w:rsidTr="00EC463E">
        <w:tc>
          <w:tcPr>
            <w:tcW w:w="8926" w:type="dxa"/>
          </w:tcPr>
          <w:p w:rsidR="0042390A" w:rsidRPr="00021B9C" w:rsidRDefault="0042390A" w:rsidP="00183DD3">
            <w:pPr>
              <w:pStyle w:val="Listeafsnit"/>
              <w:numPr>
                <w:ilvl w:val="0"/>
                <w:numId w:val="3"/>
              </w:numPr>
              <w:rPr>
                <w:color w:val="000000"/>
              </w:rPr>
            </w:pPr>
            <w:r w:rsidRPr="00021B9C">
              <w:t>Permanente udendørs oplag og tanke skal være sikret mod påkørsel.</w:t>
            </w:r>
          </w:p>
        </w:tc>
        <w:tc>
          <w:tcPr>
            <w:tcW w:w="850" w:type="dxa"/>
          </w:tcPr>
          <w:p w:rsidR="0042390A" w:rsidRPr="00021B9C" w:rsidRDefault="006C5EFF" w:rsidP="00EE47F9">
            <w:pPr>
              <w:ind w:left="-36"/>
              <w:jc w:val="center"/>
            </w:pPr>
            <w:r>
              <w:t>OK</w:t>
            </w:r>
          </w:p>
        </w:tc>
        <w:tc>
          <w:tcPr>
            <w:tcW w:w="5612" w:type="dxa"/>
          </w:tcPr>
          <w:p w:rsidR="0042390A" w:rsidRPr="00021B9C" w:rsidRDefault="0042390A" w:rsidP="00EE47F9"/>
        </w:tc>
      </w:tr>
      <w:tr w:rsidR="0042390A" w:rsidRPr="00021B9C" w:rsidTr="00EC463E">
        <w:tc>
          <w:tcPr>
            <w:tcW w:w="8926" w:type="dxa"/>
          </w:tcPr>
          <w:p w:rsidR="0042390A" w:rsidRPr="00021B9C" w:rsidRDefault="0042390A" w:rsidP="00183DD3">
            <w:pPr>
              <w:pStyle w:val="Listeafsnit"/>
              <w:numPr>
                <w:ilvl w:val="0"/>
                <w:numId w:val="3"/>
              </w:numPr>
              <w:rPr>
                <w:color w:val="000000"/>
              </w:rPr>
            </w:pPr>
            <w:bookmarkStart w:id="18" w:name="_Ref494293166"/>
            <w:r w:rsidRPr="00021B9C">
              <w:t xml:space="preserve">Stationære containere og transportcontainere til opbevaring eller transport af farligt affald skal være forsynet med tæt bund, som er bestandig for de affaldsfraktioner, der oplagres i dem. Containerne skal stå på et areal med tæt belægning og mulighed for opsamling af spild. Hvis containerne ikke er placeret på et areal med tæt belægning, jf. vilkår </w:t>
            </w:r>
            <w:r>
              <w:fldChar w:fldCharType="begin"/>
            </w:r>
            <w:r>
              <w:instrText xml:space="preserve"> REF _Ref494291916 \r \h  \* MERGEFORMAT </w:instrText>
            </w:r>
            <w:r>
              <w:fldChar w:fldCharType="separate"/>
            </w:r>
            <w:r w:rsidR="00870F56">
              <w:t>51</w:t>
            </w:r>
            <w:r>
              <w:fldChar w:fldCharType="end"/>
            </w:r>
            <w:r w:rsidRPr="00021B9C">
              <w:t>, skal de være indrettet med opsamlingskapacitet svarende til volumenet af den største beholder til flydende affald, der oplagres i containeren.</w:t>
            </w:r>
            <w:bookmarkEnd w:id="18"/>
          </w:p>
        </w:tc>
        <w:tc>
          <w:tcPr>
            <w:tcW w:w="850" w:type="dxa"/>
          </w:tcPr>
          <w:p w:rsidR="0042390A" w:rsidRPr="00021B9C" w:rsidRDefault="006C5EFF" w:rsidP="00EE47F9">
            <w:pPr>
              <w:ind w:left="-36"/>
              <w:jc w:val="center"/>
            </w:pPr>
            <w:r>
              <w:t>OK</w:t>
            </w:r>
          </w:p>
        </w:tc>
        <w:tc>
          <w:tcPr>
            <w:tcW w:w="5612" w:type="dxa"/>
          </w:tcPr>
          <w:p w:rsidR="0042390A" w:rsidRPr="00021B9C" w:rsidRDefault="006C5EFF" w:rsidP="00EE47F9">
            <w:proofErr w:type="spellStart"/>
            <w:r>
              <w:t>Omhældecontainere</w:t>
            </w:r>
            <w:proofErr w:type="spellEnd"/>
            <w:r>
              <w:t xml:space="preserve"> er placeret på betondæk.</w:t>
            </w:r>
          </w:p>
        </w:tc>
      </w:tr>
      <w:tr w:rsidR="0042390A" w:rsidRPr="00021B9C" w:rsidTr="00EC463E">
        <w:tc>
          <w:tcPr>
            <w:tcW w:w="8926" w:type="dxa"/>
          </w:tcPr>
          <w:p w:rsidR="0042390A" w:rsidRPr="00021B9C" w:rsidRDefault="0042390A" w:rsidP="00183DD3">
            <w:pPr>
              <w:pStyle w:val="Listeafsnit"/>
              <w:numPr>
                <w:ilvl w:val="0"/>
                <w:numId w:val="3"/>
              </w:numPr>
            </w:pPr>
            <w:r w:rsidRPr="00021B9C">
              <w:t>Kemikalier skal opbevares i tætte, lukkede beholdere, der er placeret under tag eller på anden måde beskyttet mod vejrlig. Oplagspladsen skal have en tæt belægning og være indrettet således, at spild kan holdes inden for et afgrænset område og uden mulighed for afløb til jord, grundvand, overfladevand eller kloak. Området skal kunne rumme indholdet af den største beholder, der opbevares.</w:t>
            </w:r>
          </w:p>
        </w:tc>
        <w:tc>
          <w:tcPr>
            <w:tcW w:w="850" w:type="dxa"/>
          </w:tcPr>
          <w:p w:rsidR="0042390A" w:rsidRPr="00021B9C" w:rsidRDefault="006C5EFF" w:rsidP="00EE47F9">
            <w:pPr>
              <w:ind w:left="-36"/>
              <w:jc w:val="center"/>
            </w:pPr>
            <w:r>
              <w:t>OK</w:t>
            </w:r>
          </w:p>
        </w:tc>
        <w:tc>
          <w:tcPr>
            <w:tcW w:w="5612" w:type="dxa"/>
          </w:tcPr>
          <w:p w:rsidR="0042390A" w:rsidRPr="00021B9C" w:rsidRDefault="0042390A" w:rsidP="00EE47F9"/>
        </w:tc>
      </w:tr>
      <w:tr w:rsidR="0042390A" w:rsidRPr="00021B9C" w:rsidTr="00EC463E">
        <w:tc>
          <w:tcPr>
            <w:tcW w:w="8926" w:type="dxa"/>
          </w:tcPr>
          <w:p w:rsidR="0042390A" w:rsidRPr="00021B9C" w:rsidRDefault="0042390A" w:rsidP="00183DD3">
            <w:pPr>
              <w:pStyle w:val="Listeafsnit"/>
              <w:numPr>
                <w:ilvl w:val="0"/>
                <w:numId w:val="3"/>
              </w:numPr>
            </w:pPr>
            <w:r w:rsidRPr="00021B9C">
              <w:t>Overjordiske tanke til fyringsolie og motorbrændstoffer skal være sikret mod påkørsel. Påfyldningsstudse og aftapningshaner (aftapningsanordninger) for olieprodukter, herunder motorbrændstof, skal placeres inden for konturen af en tæt belægning med kontrolleret afledning af afløbsvandet. Alternativt skal eventuelt spild opsamles i en tæt spildbakke eller grube. Udendørs spildbakker eller gruber skal tømmes, således at regnvand i bunden maksimalt udgør 10 % af spildbakkens eller grubens volumen.</w:t>
            </w:r>
          </w:p>
        </w:tc>
        <w:tc>
          <w:tcPr>
            <w:tcW w:w="850" w:type="dxa"/>
          </w:tcPr>
          <w:p w:rsidR="0042390A" w:rsidRPr="00021B9C" w:rsidRDefault="006C5EFF" w:rsidP="00EE47F9">
            <w:pPr>
              <w:ind w:left="-36"/>
              <w:jc w:val="center"/>
            </w:pPr>
            <w:r>
              <w:t>OK</w:t>
            </w:r>
          </w:p>
        </w:tc>
        <w:tc>
          <w:tcPr>
            <w:tcW w:w="5612" w:type="dxa"/>
          </w:tcPr>
          <w:p w:rsidR="0042390A" w:rsidRPr="00021B9C" w:rsidRDefault="006C5EFF" w:rsidP="00EE47F9">
            <w:r>
              <w:t>Dieselolietank er placeret indendørs i værksted.</w:t>
            </w:r>
          </w:p>
        </w:tc>
      </w:tr>
      <w:tr w:rsidR="0042390A" w:rsidRPr="00021B9C" w:rsidTr="00EC463E">
        <w:tc>
          <w:tcPr>
            <w:tcW w:w="8926" w:type="dxa"/>
          </w:tcPr>
          <w:p w:rsidR="0042390A" w:rsidRPr="00021B9C" w:rsidRDefault="0042390A" w:rsidP="00183DD3">
            <w:pPr>
              <w:pStyle w:val="Listeafsnit"/>
              <w:numPr>
                <w:ilvl w:val="0"/>
                <w:numId w:val="3"/>
              </w:numPr>
            </w:pPr>
            <w:r w:rsidRPr="00021B9C">
              <w:t>Transport af farligt affald skal ske på arealer, der er befæstede. Overfladevand skal ledes til afløb med afspærringsventil.</w:t>
            </w:r>
          </w:p>
        </w:tc>
        <w:tc>
          <w:tcPr>
            <w:tcW w:w="850" w:type="dxa"/>
          </w:tcPr>
          <w:p w:rsidR="0042390A" w:rsidRPr="00021B9C" w:rsidRDefault="006C5EFF" w:rsidP="00EE47F9">
            <w:pPr>
              <w:ind w:left="-36"/>
              <w:jc w:val="center"/>
            </w:pPr>
            <w:r>
              <w:t>OK</w:t>
            </w:r>
          </w:p>
        </w:tc>
        <w:tc>
          <w:tcPr>
            <w:tcW w:w="5612" w:type="dxa"/>
          </w:tcPr>
          <w:p w:rsidR="0042390A" w:rsidRPr="00021B9C" w:rsidRDefault="0042390A" w:rsidP="00EE47F9"/>
        </w:tc>
      </w:tr>
      <w:tr w:rsidR="0042390A" w:rsidRPr="00021B9C" w:rsidTr="00EC463E">
        <w:trPr>
          <w:trHeight w:val="1105"/>
        </w:trPr>
        <w:tc>
          <w:tcPr>
            <w:tcW w:w="8926" w:type="dxa"/>
          </w:tcPr>
          <w:p w:rsidR="0042390A" w:rsidRPr="00021B9C" w:rsidRDefault="0042390A" w:rsidP="00183DD3">
            <w:pPr>
              <w:pStyle w:val="Listeafsnit"/>
              <w:numPr>
                <w:ilvl w:val="0"/>
                <w:numId w:val="3"/>
              </w:numPr>
            </w:pPr>
            <w:bookmarkStart w:id="19" w:name="_Ref494291916"/>
            <w:r w:rsidRPr="00021B9C">
              <w:t>Oplagring, omlastning, omemballering eller sortering af farligt affald skal ske på arealer med tæt belægning. Arealer og gulve skal være indrettet som afgrænsede områder med opkant og/eller hældning mod grube, brønd el.lign. tæt(te) opsamlingsbassin(er) uden afløb eller med afspærringsventil(er).</w:t>
            </w:r>
          </w:p>
          <w:p w:rsidR="00EC463E" w:rsidRPr="00021B9C" w:rsidRDefault="00EC463E" w:rsidP="00EC463E"/>
          <w:bookmarkEnd w:id="19"/>
          <w:p w:rsidR="0042390A" w:rsidRPr="00021B9C" w:rsidRDefault="0042390A" w:rsidP="00183DD3">
            <w:pPr>
              <w:ind w:left="709"/>
            </w:pPr>
            <w:r w:rsidRPr="00021B9C">
              <w:t>Arealer og gulve skal endvidere indrettes således:</w:t>
            </w:r>
          </w:p>
          <w:p w:rsidR="0042390A" w:rsidRPr="00021B9C" w:rsidRDefault="0042390A" w:rsidP="00183DD3">
            <w:pPr>
              <w:pStyle w:val="Listeafsnit"/>
              <w:numPr>
                <w:ilvl w:val="0"/>
                <w:numId w:val="6"/>
              </w:numPr>
              <w:ind w:left="993"/>
            </w:pPr>
            <w:r w:rsidRPr="00021B9C">
              <w:t>at spild af flydende farligt affald kan holdes inden for et afgrænset område, der skal kunne rumme indholdet af den største opbevaringsenhed til flydende affald i området</w:t>
            </w:r>
          </w:p>
          <w:p w:rsidR="0042390A" w:rsidRPr="00021B9C" w:rsidRDefault="0042390A" w:rsidP="00183DD3">
            <w:pPr>
              <w:pStyle w:val="Listeafsnit"/>
              <w:numPr>
                <w:ilvl w:val="0"/>
                <w:numId w:val="6"/>
              </w:numPr>
              <w:ind w:left="993"/>
            </w:pPr>
            <w:r w:rsidRPr="00021B9C">
              <w:lastRenderedPageBreak/>
              <w:t>at overfladevand fra de ikke-overdækkede arealer kan opsamles forinden udledning.</w:t>
            </w:r>
          </w:p>
        </w:tc>
        <w:tc>
          <w:tcPr>
            <w:tcW w:w="850" w:type="dxa"/>
          </w:tcPr>
          <w:p w:rsidR="0042390A" w:rsidRPr="00021B9C" w:rsidRDefault="006C5EFF" w:rsidP="00EE47F9">
            <w:pPr>
              <w:ind w:left="-36"/>
              <w:jc w:val="center"/>
            </w:pPr>
            <w:r>
              <w:lastRenderedPageBreak/>
              <w:t>OK</w:t>
            </w:r>
          </w:p>
        </w:tc>
        <w:tc>
          <w:tcPr>
            <w:tcW w:w="5612" w:type="dxa"/>
          </w:tcPr>
          <w:p w:rsidR="0042390A" w:rsidRPr="00021B9C" w:rsidRDefault="0042390A" w:rsidP="00EE47F9"/>
        </w:tc>
      </w:tr>
      <w:tr w:rsidR="0042390A" w:rsidRPr="00021B9C" w:rsidTr="00EC463E">
        <w:tc>
          <w:tcPr>
            <w:tcW w:w="8926" w:type="dxa"/>
          </w:tcPr>
          <w:p w:rsidR="0042390A" w:rsidRPr="00021B9C" w:rsidRDefault="0042390A" w:rsidP="00183DD3">
            <w:pPr>
              <w:pStyle w:val="Listeafsnit"/>
              <w:numPr>
                <w:ilvl w:val="0"/>
                <w:numId w:val="3"/>
              </w:numPr>
            </w:pPr>
            <w:r w:rsidRPr="00021B9C">
              <w:t>Gruber og lignende særlige oplagsområder til bestemte fraktioner af uemballeret farligt affald skal være tætte. Gruber til affald, der indeholder vand eller andre væsker, skal have opsamling af spild.</w:t>
            </w:r>
          </w:p>
        </w:tc>
        <w:tc>
          <w:tcPr>
            <w:tcW w:w="850" w:type="dxa"/>
          </w:tcPr>
          <w:p w:rsidR="0042390A" w:rsidRPr="00021B9C" w:rsidRDefault="008A7425" w:rsidP="00EE47F9">
            <w:pPr>
              <w:ind w:left="-36"/>
              <w:jc w:val="center"/>
            </w:pPr>
            <w:r>
              <w:t>OK</w:t>
            </w:r>
          </w:p>
        </w:tc>
        <w:tc>
          <w:tcPr>
            <w:tcW w:w="5612" w:type="dxa"/>
          </w:tcPr>
          <w:p w:rsidR="0042390A" w:rsidRPr="00021B9C" w:rsidRDefault="008A7425" w:rsidP="00EE47F9">
            <w:r>
              <w:t xml:space="preserve">Indgår i vedligeholdelsesplan. </w:t>
            </w:r>
          </w:p>
        </w:tc>
      </w:tr>
      <w:tr w:rsidR="0042390A" w:rsidRPr="00021B9C" w:rsidTr="00EC463E">
        <w:tc>
          <w:tcPr>
            <w:tcW w:w="8926" w:type="dxa"/>
          </w:tcPr>
          <w:p w:rsidR="0042390A" w:rsidRPr="00021B9C" w:rsidRDefault="0042390A" w:rsidP="00183DD3">
            <w:pPr>
              <w:pStyle w:val="Listeafsnit"/>
              <w:numPr>
                <w:ilvl w:val="0"/>
                <w:numId w:val="3"/>
              </w:numPr>
            </w:pPr>
            <w:r w:rsidRPr="00021B9C">
              <w:t xml:space="preserve">Arealer, hvor der sker omlastning til og fra tankbiler, slamsugere og lignende skal, uanset vilkår </w:t>
            </w:r>
            <w:r>
              <w:fldChar w:fldCharType="begin"/>
            </w:r>
            <w:r>
              <w:instrText xml:space="preserve"> REF _Ref494291916 \r \h  \* MERGEFORMAT </w:instrText>
            </w:r>
            <w:r>
              <w:fldChar w:fldCharType="separate"/>
            </w:r>
            <w:r w:rsidR="00870F56">
              <w:t>51</w:t>
            </w:r>
            <w:r>
              <w:fldChar w:fldCharType="end"/>
            </w:r>
            <w:r w:rsidRPr="00021B9C">
              <w:t>, være indrettet som et afgrænset, tæt opsamlingsområde med hældning mod grube, brønd eller lignende opsamlingsbassin uden afløb eller med afspærringsventil og med en samlet opsamlingskapacitet på minimum 5 m</w:t>
            </w:r>
            <w:r w:rsidRPr="00021B9C">
              <w:rPr>
                <w:vertAlign w:val="superscript"/>
              </w:rPr>
              <w:t>3</w:t>
            </w:r>
            <w:r w:rsidRPr="00021B9C">
              <w:t>.</w:t>
            </w:r>
          </w:p>
        </w:tc>
        <w:tc>
          <w:tcPr>
            <w:tcW w:w="850" w:type="dxa"/>
          </w:tcPr>
          <w:p w:rsidR="0042390A" w:rsidRPr="00021B9C" w:rsidRDefault="008A7425" w:rsidP="00EE47F9">
            <w:pPr>
              <w:ind w:left="-36"/>
              <w:jc w:val="center"/>
            </w:pPr>
            <w:r>
              <w:t>OK</w:t>
            </w:r>
          </w:p>
        </w:tc>
        <w:tc>
          <w:tcPr>
            <w:tcW w:w="5612" w:type="dxa"/>
          </w:tcPr>
          <w:p w:rsidR="0042390A" w:rsidRPr="00021B9C" w:rsidRDefault="0042390A" w:rsidP="00EE47F9"/>
        </w:tc>
      </w:tr>
      <w:tr w:rsidR="0042390A" w:rsidRPr="00021B9C" w:rsidTr="00EC463E">
        <w:tc>
          <w:tcPr>
            <w:tcW w:w="8926" w:type="dxa"/>
          </w:tcPr>
          <w:p w:rsidR="0042390A" w:rsidRPr="00021B9C" w:rsidRDefault="0042390A" w:rsidP="00183DD3">
            <w:pPr>
              <w:pStyle w:val="Listeafsnit"/>
              <w:numPr>
                <w:ilvl w:val="0"/>
                <w:numId w:val="3"/>
              </w:numPr>
            </w:pPr>
            <w:bookmarkStart w:id="20" w:name="_Ref494293183"/>
            <w:r w:rsidRPr="00021B9C">
              <w:t>Alle tætte belægninger og befæstede arealer, gruber, brønde og lignende opsamlingsbassiner og lignende særlige oplagsområder samt tankgårde skal være i god vedligeholdelsesstand. Eventuelle utætheder skal udbedres straks efter, at de er konstateret.</w:t>
            </w:r>
            <w:bookmarkEnd w:id="20"/>
          </w:p>
        </w:tc>
        <w:tc>
          <w:tcPr>
            <w:tcW w:w="850" w:type="dxa"/>
          </w:tcPr>
          <w:p w:rsidR="0042390A" w:rsidRPr="00021B9C" w:rsidRDefault="008A7425" w:rsidP="00EE47F9">
            <w:pPr>
              <w:ind w:left="-36"/>
              <w:jc w:val="center"/>
            </w:pPr>
            <w:r>
              <w:t>OK</w:t>
            </w:r>
          </w:p>
        </w:tc>
        <w:tc>
          <w:tcPr>
            <w:tcW w:w="5612" w:type="dxa"/>
          </w:tcPr>
          <w:p w:rsidR="0042390A" w:rsidRPr="00021B9C" w:rsidRDefault="008A7425" w:rsidP="00EE47F9">
            <w:r>
              <w:t>Belægninger tjekkes som minimum hver tredje måned.</w:t>
            </w:r>
          </w:p>
        </w:tc>
      </w:tr>
      <w:tr w:rsidR="0042390A" w:rsidRPr="00021B9C" w:rsidTr="00EC463E">
        <w:tc>
          <w:tcPr>
            <w:tcW w:w="8926" w:type="dxa"/>
          </w:tcPr>
          <w:p w:rsidR="0042390A" w:rsidRPr="00021B9C" w:rsidRDefault="0042390A" w:rsidP="00183DD3">
            <w:pPr>
              <w:pStyle w:val="Listeafsnit"/>
              <w:numPr>
                <w:ilvl w:val="0"/>
                <w:numId w:val="3"/>
              </w:numPr>
            </w:pPr>
            <w:r w:rsidRPr="00021B9C">
              <w:t>Udendørs tankgårde skal tømmes så tit, at der maksimalt henstår 5 cm regnvand i bunden. Når tankgårde tømmes for regnvand, må der ikke samtidig pumpes affald, fyringsolie eller motorbrændstof til og fra tanken(ene).</w:t>
            </w:r>
          </w:p>
        </w:tc>
        <w:tc>
          <w:tcPr>
            <w:tcW w:w="850" w:type="dxa"/>
          </w:tcPr>
          <w:p w:rsidR="0042390A" w:rsidRPr="00021B9C" w:rsidRDefault="008A7425" w:rsidP="00EE47F9">
            <w:pPr>
              <w:ind w:left="-36"/>
              <w:jc w:val="center"/>
            </w:pPr>
            <w:r>
              <w:t>OK</w:t>
            </w:r>
          </w:p>
        </w:tc>
        <w:tc>
          <w:tcPr>
            <w:tcW w:w="5612" w:type="dxa"/>
          </w:tcPr>
          <w:p w:rsidR="0042390A" w:rsidRPr="00021B9C" w:rsidRDefault="008A7425" w:rsidP="00EE47F9">
            <w:r>
              <w:t>Kunne ikke kontrolleres ved tilsynet. Der var ikke vand i tankgårdene. Tankgårde tømmes ved brug af slamsuger.</w:t>
            </w:r>
          </w:p>
        </w:tc>
      </w:tr>
      <w:tr w:rsidR="0042390A" w:rsidRPr="00021B9C" w:rsidTr="00EC463E">
        <w:tc>
          <w:tcPr>
            <w:tcW w:w="8926" w:type="dxa"/>
          </w:tcPr>
          <w:p w:rsidR="0042390A" w:rsidRPr="00021B9C" w:rsidRDefault="0042390A" w:rsidP="00183DD3">
            <w:pPr>
              <w:pStyle w:val="Listeafsnit"/>
              <w:numPr>
                <w:ilvl w:val="0"/>
                <w:numId w:val="3"/>
              </w:numPr>
            </w:pPr>
            <w:r w:rsidRPr="00021B9C">
              <w:t>Rengøringspladser for emballager, køretøjer mv., der har indeholdt farligt affald, skal være indrettet på en tæt belægning med opkant og anden nødvendig afskærmning, således at farligt affald, vaskevand, eventuelle rengøringsvæsker samt aerosoler mv. ikke spredes uden for rengøringspladsen. Rengøringspladsen skal være indrettet med hældning mod grube eller lignende tæt opsamlingsbassin.</w:t>
            </w:r>
          </w:p>
        </w:tc>
        <w:tc>
          <w:tcPr>
            <w:tcW w:w="850" w:type="dxa"/>
          </w:tcPr>
          <w:p w:rsidR="0042390A" w:rsidRPr="00021B9C" w:rsidRDefault="008A7425" w:rsidP="00EE47F9">
            <w:pPr>
              <w:ind w:left="-36"/>
              <w:jc w:val="center"/>
            </w:pPr>
            <w:r>
              <w:t>OK</w:t>
            </w:r>
          </w:p>
        </w:tc>
        <w:tc>
          <w:tcPr>
            <w:tcW w:w="5612" w:type="dxa"/>
          </w:tcPr>
          <w:p w:rsidR="0042390A" w:rsidRPr="00021B9C" w:rsidRDefault="0042390A" w:rsidP="00EE47F9"/>
        </w:tc>
      </w:tr>
      <w:tr w:rsidR="0042390A" w:rsidRPr="00021B9C" w:rsidTr="00EC463E">
        <w:tc>
          <w:tcPr>
            <w:tcW w:w="8926" w:type="dxa"/>
          </w:tcPr>
          <w:p w:rsidR="0042390A" w:rsidRPr="00021B9C" w:rsidRDefault="0042390A" w:rsidP="00183DD3">
            <w:pPr>
              <w:pStyle w:val="Listeafsnit"/>
              <w:numPr>
                <w:ilvl w:val="0"/>
                <w:numId w:val="3"/>
              </w:numPr>
            </w:pPr>
            <w:r w:rsidRPr="00021B9C">
              <w:t>I tilfælde af brand skal relevante afløbsventiler lukkes med henblik på opsamling af slukningsvand på virksomheden. Slukningsvand skal bortskaffes efter kommunens anvisninger.</w:t>
            </w:r>
          </w:p>
        </w:tc>
        <w:tc>
          <w:tcPr>
            <w:tcW w:w="850" w:type="dxa"/>
          </w:tcPr>
          <w:p w:rsidR="0042390A" w:rsidRPr="00021B9C" w:rsidRDefault="008A7425" w:rsidP="00EE47F9">
            <w:pPr>
              <w:ind w:left="-36"/>
              <w:jc w:val="center"/>
            </w:pPr>
            <w:r>
              <w:t>OK</w:t>
            </w:r>
          </w:p>
        </w:tc>
        <w:tc>
          <w:tcPr>
            <w:tcW w:w="5612" w:type="dxa"/>
          </w:tcPr>
          <w:p w:rsidR="0042390A" w:rsidRPr="00021B9C" w:rsidRDefault="008A7425" w:rsidP="00EE47F9">
            <w:r>
              <w:t>Nødstop er en del</w:t>
            </w:r>
            <w:r w:rsidR="00B62B41">
              <w:t xml:space="preserve"> af</w:t>
            </w:r>
            <w:r>
              <w:t xml:space="preserve"> SRO-system.</w:t>
            </w:r>
          </w:p>
        </w:tc>
      </w:tr>
      <w:tr w:rsidR="0042390A" w:rsidRPr="00021B9C" w:rsidTr="00EC463E">
        <w:tc>
          <w:tcPr>
            <w:tcW w:w="8926" w:type="dxa"/>
          </w:tcPr>
          <w:p w:rsidR="0042390A" w:rsidRPr="00021B9C" w:rsidRDefault="0042390A" w:rsidP="00183DD3">
            <w:pPr>
              <w:spacing w:after="120"/>
              <w:rPr>
                <w:b/>
              </w:rPr>
            </w:pPr>
            <w:r w:rsidRPr="00021B9C">
              <w:rPr>
                <w:b/>
              </w:rPr>
              <w:t>8. Egenkontrol</w:t>
            </w:r>
          </w:p>
        </w:tc>
        <w:tc>
          <w:tcPr>
            <w:tcW w:w="850" w:type="dxa"/>
          </w:tcPr>
          <w:p w:rsidR="0042390A" w:rsidRPr="00021B9C" w:rsidRDefault="0042390A" w:rsidP="00EE47F9">
            <w:pPr>
              <w:spacing w:after="120"/>
              <w:ind w:left="-36"/>
              <w:jc w:val="center"/>
              <w:rPr>
                <w:b/>
              </w:rPr>
            </w:pPr>
          </w:p>
        </w:tc>
        <w:tc>
          <w:tcPr>
            <w:tcW w:w="5612" w:type="dxa"/>
          </w:tcPr>
          <w:p w:rsidR="0042390A" w:rsidRPr="00021B9C" w:rsidRDefault="0042390A" w:rsidP="00EE47F9">
            <w:pPr>
              <w:spacing w:after="120"/>
              <w:rPr>
                <w:b/>
              </w:rPr>
            </w:pPr>
          </w:p>
        </w:tc>
      </w:tr>
      <w:tr w:rsidR="0042390A" w:rsidRPr="00021B9C" w:rsidTr="00EC463E">
        <w:tc>
          <w:tcPr>
            <w:tcW w:w="8926" w:type="dxa"/>
          </w:tcPr>
          <w:p w:rsidR="0042390A" w:rsidRPr="00021B9C" w:rsidRDefault="0042390A" w:rsidP="00183DD3">
            <w:pPr>
              <w:pStyle w:val="Listeafsnit"/>
              <w:numPr>
                <w:ilvl w:val="0"/>
                <w:numId w:val="3"/>
              </w:numPr>
            </w:pPr>
            <w:bookmarkStart w:id="21" w:name="_Ref494293992"/>
            <w:r w:rsidRPr="00021B9C">
              <w:t>Virksomheden skal foretage eftersyn og funktionsafprøvning af automatiske kontrol-, alarm- og sikringssystemer efter leverandørens anvisning, dog mindst en gang årligt.</w:t>
            </w:r>
            <w:bookmarkEnd w:id="21"/>
          </w:p>
        </w:tc>
        <w:tc>
          <w:tcPr>
            <w:tcW w:w="850" w:type="dxa"/>
          </w:tcPr>
          <w:p w:rsidR="0042390A" w:rsidRPr="00021B9C" w:rsidRDefault="008A7425" w:rsidP="00EE47F9">
            <w:pPr>
              <w:ind w:left="-36"/>
              <w:jc w:val="center"/>
            </w:pPr>
            <w:r>
              <w:t>OK</w:t>
            </w:r>
          </w:p>
        </w:tc>
        <w:tc>
          <w:tcPr>
            <w:tcW w:w="5612" w:type="dxa"/>
          </w:tcPr>
          <w:p w:rsidR="0042390A" w:rsidRPr="00021B9C" w:rsidRDefault="008A7425" w:rsidP="00EE47F9">
            <w:r>
              <w:t>Afprøvning indgår i vedligeholdelsesplan. Vedligeholdelsesplanen blev fremvist digitalt ved tilsynet.</w:t>
            </w:r>
          </w:p>
        </w:tc>
      </w:tr>
      <w:tr w:rsidR="0042390A" w:rsidRPr="00021B9C" w:rsidTr="00EC463E">
        <w:trPr>
          <w:trHeight w:val="1580"/>
        </w:trPr>
        <w:tc>
          <w:tcPr>
            <w:tcW w:w="8926" w:type="dxa"/>
          </w:tcPr>
          <w:p w:rsidR="0042390A" w:rsidRPr="00021B9C" w:rsidRDefault="0042390A" w:rsidP="00183DD3">
            <w:pPr>
              <w:pStyle w:val="Listeafsnit"/>
              <w:numPr>
                <w:ilvl w:val="0"/>
                <w:numId w:val="3"/>
              </w:numPr>
            </w:pPr>
            <w:bookmarkStart w:id="22" w:name="_Ref494293977"/>
            <w:r w:rsidRPr="00021B9C">
              <w:lastRenderedPageBreak/>
              <w:t xml:space="preserve">Virksomheden skal løbende og mindst en gang i kvartalet, jf. vilkår </w:t>
            </w:r>
            <w:r>
              <w:fldChar w:fldCharType="begin"/>
            </w:r>
            <w:r>
              <w:instrText xml:space="preserve"> REF _Ref494293166 \r \h  \* MERGEFORMAT </w:instrText>
            </w:r>
            <w:r>
              <w:fldChar w:fldCharType="separate"/>
            </w:r>
            <w:r w:rsidR="00870F56">
              <w:t>47</w:t>
            </w:r>
            <w:r>
              <w:fldChar w:fldCharType="end"/>
            </w:r>
            <w:r w:rsidRPr="00021B9C">
              <w:t xml:space="preserve"> og </w:t>
            </w:r>
            <w:r>
              <w:fldChar w:fldCharType="begin"/>
            </w:r>
            <w:r>
              <w:instrText xml:space="preserve"> REF _Ref494293183 \r \h  \* MERGEFORMAT </w:instrText>
            </w:r>
            <w:r>
              <w:fldChar w:fldCharType="separate"/>
            </w:r>
            <w:r w:rsidR="00870F56">
              <w:t>54</w:t>
            </w:r>
            <w:r>
              <w:fldChar w:fldCharType="end"/>
            </w:r>
            <w:r w:rsidRPr="00021B9C">
              <w:t>, foretage visuel kontrol for utætheder og revnedannelser af:</w:t>
            </w:r>
          </w:p>
          <w:bookmarkEnd w:id="22"/>
          <w:p w:rsidR="0042390A" w:rsidRPr="00021B9C" w:rsidRDefault="0042390A" w:rsidP="00183DD3">
            <w:pPr>
              <w:pStyle w:val="Listeafsnit"/>
              <w:numPr>
                <w:ilvl w:val="0"/>
                <w:numId w:val="7"/>
              </w:numPr>
              <w:ind w:left="993"/>
            </w:pPr>
            <w:r w:rsidRPr="00021B9C">
              <w:t>belægninger og fuger på alle tætte belægninger og befæstede arealer og gulve,</w:t>
            </w:r>
          </w:p>
          <w:p w:rsidR="0042390A" w:rsidRPr="00021B9C" w:rsidRDefault="0042390A" w:rsidP="00183DD3">
            <w:pPr>
              <w:pStyle w:val="Listeafsnit"/>
              <w:numPr>
                <w:ilvl w:val="0"/>
                <w:numId w:val="7"/>
              </w:numPr>
              <w:ind w:left="993"/>
            </w:pPr>
            <w:r w:rsidRPr="00021B9C">
              <w:t>stationære containere og egne transportcontainere,</w:t>
            </w:r>
          </w:p>
          <w:p w:rsidR="0042390A" w:rsidRPr="00021B9C" w:rsidRDefault="0042390A" w:rsidP="00183DD3">
            <w:pPr>
              <w:pStyle w:val="Listeafsnit"/>
              <w:numPr>
                <w:ilvl w:val="0"/>
                <w:numId w:val="7"/>
              </w:numPr>
              <w:ind w:left="993"/>
            </w:pPr>
            <w:r w:rsidRPr="00021B9C">
              <w:t>særlige oplagsområder og</w:t>
            </w:r>
          </w:p>
          <w:p w:rsidR="0042390A" w:rsidRPr="00021B9C" w:rsidRDefault="0042390A" w:rsidP="00183DD3">
            <w:pPr>
              <w:pStyle w:val="Listeafsnit"/>
              <w:numPr>
                <w:ilvl w:val="0"/>
                <w:numId w:val="7"/>
              </w:numPr>
              <w:ind w:left="993"/>
            </w:pPr>
            <w:r w:rsidRPr="00021B9C">
              <w:t>tankgårde.</w:t>
            </w:r>
          </w:p>
        </w:tc>
        <w:tc>
          <w:tcPr>
            <w:tcW w:w="850" w:type="dxa"/>
          </w:tcPr>
          <w:p w:rsidR="0042390A" w:rsidRPr="00021B9C" w:rsidRDefault="008A7425" w:rsidP="00EE47F9">
            <w:pPr>
              <w:ind w:left="-36"/>
              <w:jc w:val="center"/>
            </w:pPr>
            <w:r>
              <w:t>OK</w:t>
            </w:r>
          </w:p>
        </w:tc>
        <w:tc>
          <w:tcPr>
            <w:tcW w:w="5612" w:type="dxa"/>
          </w:tcPr>
          <w:p w:rsidR="0042390A" w:rsidRPr="00021B9C" w:rsidRDefault="008A7425" w:rsidP="00EE47F9">
            <w:r>
              <w:t>Vedligeholdelsesplanen blev fremvist digitalt ved tilsynet.</w:t>
            </w:r>
          </w:p>
        </w:tc>
      </w:tr>
      <w:tr w:rsidR="0042390A" w:rsidRPr="00021B9C" w:rsidTr="00EC463E">
        <w:tc>
          <w:tcPr>
            <w:tcW w:w="8926" w:type="dxa"/>
          </w:tcPr>
          <w:p w:rsidR="0042390A" w:rsidRPr="00021B9C" w:rsidRDefault="0042390A" w:rsidP="00183DD3">
            <w:pPr>
              <w:pStyle w:val="Listeafsnit"/>
              <w:numPr>
                <w:ilvl w:val="0"/>
                <w:numId w:val="3"/>
              </w:numPr>
            </w:pPr>
            <w:bookmarkStart w:id="23" w:name="_Ref494294419"/>
            <w:r w:rsidRPr="00021B9C">
              <w:t>Gruber, brønde og lignende opsamlingsbassiner skal mindst 1 gang/år tømmes og visuelt kontrolleres for utætheder og revnedannelser.</w:t>
            </w:r>
            <w:bookmarkEnd w:id="23"/>
          </w:p>
        </w:tc>
        <w:tc>
          <w:tcPr>
            <w:tcW w:w="850" w:type="dxa"/>
          </w:tcPr>
          <w:p w:rsidR="0042390A" w:rsidRPr="00021B9C" w:rsidRDefault="0042390A" w:rsidP="00EE47F9">
            <w:pPr>
              <w:ind w:left="-36"/>
              <w:jc w:val="center"/>
            </w:pPr>
          </w:p>
        </w:tc>
        <w:tc>
          <w:tcPr>
            <w:tcW w:w="5612" w:type="dxa"/>
          </w:tcPr>
          <w:p w:rsidR="0042390A" w:rsidRDefault="008A7425" w:rsidP="00EE47F9">
            <w:r>
              <w:t xml:space="preserve">Vedligeholdelsesplanen blev fremvist digitalt ved tilsynet. </w:t>
            </w:r>
          </w:p>
          <w:p w:rsidR="008A7425" w:rsidRPr="00021B9C" w:rsidRDefault="008A7425" w:rsidP="00EE47F9">
            <w:r>
              <w:t>Hver femte år kontrolleres gruber af en konsulent fra ekstern virksomhed.</w:t>
            </w:r>
          </w:p>
        </w:tc>
      </w:tr>
      <w:tr w:rsidR="0042390A" w:rsidRPr="00021B9C" w:rsidTr="00EC463E">
        <w:tc>
          <w:tcPr>
            <w:tcW w:w="8926" w:type="dxa"/>
          </w:tcPr>
          <w:p w:rsidR="0042390A" w:rsidRPr="00021B9C" w:rsidRDefault="0042390A" w:rsidP="00183DD3">
            <w:pPr>
              <w:pStyle w:val="Listeafsnit"/>
              <w:numPr>
                <w:ilvl w:val="0"/>
                <w:numId w:val="3"/>
              </w:numPr>
              <w:rPr>
                <w:color w:val="000000"/>
              </w:rPr>
            </w:pPr>
            <w:bookmarkStart w:id="24" w:name="_Ref501626475"/>
            <w:bookmarkStart w:id="25" w:name="_Ref501628351"/>
            <w:r w:rsidRPr="00021B9C">
              <w:rPr>
                <w:szCs w:val="24"/>
              </w:rPr>
              <w:t>Virksomheden skal én gang årligt lade udtage en repræsentativ stikprøve fra</w:t>
            </w:r>
            <w:r w:rsidRPr="00021B9C">
              <w:rPr>
                <w:color w:val="0070C0"/>
                <w:szCs w:val="24"/>
              </w:rPr>
              <w:t xml:space="preserve"> </w:t>
            </w:r>
            <w:r w:rsidRPr="00021B9C">
              <w:rPr>
                <w:szCs w:val="24"/>
              </w:rPr>
              <w:t>prøvetagningsbrøndene etableret ved T-Vej og U-Vej. Stikprøven udtages fra en fritfaldende vandstråle. Anvendes en mekanisk anordning til frembringelse af frit faldende vandstråle, skal denne gennemløbes med vand i så lang tid, at prøven kan udtages repræsentativt. Stikprøven skal udtages første gang i efteråret 2018</w:t>
            </w:r>
            <w:bookmarkEnd w:id="24"/>
            <w:r w:rsidRPr="00021B9C">
              <w:rPr>
                <w:szCs w:val="24"/>
              </w:rPr>
              <w:t xml:space="preserve">. </w:t>
            </w:r>
            <w:bookmarkEnd w:id="25"/>
          </w:p>
        </w:tc>
        <w:tc>
          <w:tcPr>
            <w:tcW w:w="850" w:type="dxa"/>
          </w:tcPr>
          <w:p w:rsidR="0042390A" w:rsidRPr="00021B9C" w:rsidRDefault="008A7425" w:rsidP="00EE47F9">
            <w:pPr>
              <w:ind w:left="-36"/>
              <w:jc w:val="center"/>
              <w:rPr>
                <w:szCs w:val="24"/>
              </w:rPr>
            </w:pPr>
            <w:r>
              <w:rPr>
                <w:szCs w:val="24"/>
              </w:rPr>
              <w:t>OK</w:t>
            </w:r>
          </w:p>
        </w:tc>
        <w:tc>
          <w:tcPr>
            <w:tcW w:w="5612" w:type="dxa"/>
          </w:tcPr>
          <w:p w:rsidR="0042390A" w:rsidRDefault="008A7425" w:rsidP="00EE47F9">
            <w:pPr>
              <w:rPr>
                <w:szCs w:val="24"/>
              </w:rPr>
            </w:pPr>
            <w:r>
              <w:rPr>
                <w:szCs w:val="24"/>
              </w:rPr>
              <w:t xml:space="preserve">Virksomheden er ved at indhente priser fra akkrediterede prøvetagningsfirmaer. </w:t>
            </w:r>
          </w:p>
          <w:p w:rsidR="008A7425" w:rsidRDefault="008A7425" w:rsidP="00EE47F9">
            <w:pPr>
              <w:rPr>
                <w:szCs w:val="24"/>
              </w:rPr>
            </w:pPr>
          </w:p>
          <w:p w:rsidR="008A7425" w:rsidRPr="00021B9C" w:rsidRDefault="008A7425" w:rsidP="00EE47F9">
            <w:pPr>
              <w:rPr>
                <w:szCs w:val="24"/>
              </w:rPr>
            </w:pPr>
            <w:r>
              <w:rPr>
                <w:szCs w:val="24"/>
              </w:rPr>
              <w:t>Center for Miljøbeskyttelse afventer analyserapport i løbet af efteråret 2018.</w:t>
            </w:r>
          </w:p>
        </w:tc>
      </w:tr>
      <w:tr w:rsidR="0042390A" w:rsidRPr="00021B9C" w:rsidTr="00EC463E">
        <w:trPr>
          <w:trHeight w:val="712"/>
        </w:trPr>
        <w:tc>
          <w:tcPr>
            <w:tcW w:w="8926" w:type="dxa"/>
          </w:tcPr>
          <w:p w:rsidR="0042390A" w:rsidRPr="00021B9C" w:rsidRDefault="0042390A" w:rsidP="00183DD3">
            <w:pPr>
              <w:pStyle w:val="Listeafsnit"/>
              <w:numPr>
                <w:ilvl w:val="0"/>
                <w:numId w:val="3"/>
              </w:numPr>
              <w:rPr>
                <w:szCs w:val="24"/>
              </w:rPr>
            </w:pPr>
            <w:r w:rsidRPr="00021B9C">
              <w:rPr>
                <w:szCs w:val="24"/>
              </w:rPr>
              <w:t xml:space="preserve">Målinger og prøveudtagninger, nævnt i vilkår </w:t>
            </w:r>
            <w:r>
              <w:fldChar w:fldCharType="begin"/>
            </w:r>
            <w:r>
              <w:instrText xml:space="preserve"> REF _Ref501628351 \r \h  \* MERGEFORMAT </w:instrText>
            </w:r>
            <w:r>
              <w:fldChar w:fldCharType="separate"/>
            </w:r>
            <w:r w:rsidR="00870F56" w:rsidRPr="00870F56">
              <w:rPr>
                <w:szCs w:val="24"/>
              </w:rPr>
              <w:t>61</w:t>
            </w:r>
            <w:r>
              <w:fldChar w:fldCharType="end"/>
            </w:r>
            <w:r w:rsidRPr="00021B9C">
              <w:rPr>
                <w:szCs w:val="24"/>
              </w:rPr>
              <w:t xml:space="preserve">, skal udføres som en akkrediteret teknisk prøvning af et akkrediteret laboratorium. </w:t>
            </w:r>
          </w:p>
          <w:p w:rsidR="0042390A" w:rsidRDefault="0042390A" w:rsidP="00183DD3">
            <w:pPr>
              <w:rPr>
                <w:szCs w:val="24"/>
              </w:rPr>
            </w:pPr>
          </w:p>
          <w:p w:rsidR="0042390A" w:rsidRPr="008911B4" w:rsidRDefault="0042390A" w:rsidP="00183DD3">
            <w:pPr>
              <w:ind w:left="709"/>
              <w:rPr>
                <w:szCs w:val="24"/>
              </w:rPr>
            </w:pPr>
            <w:r w:rsidRPr="008911B4">
              <w:rPr>
                <w:szCs w:val="24"/>
              </w:rPr>
              <w:t>Analyseresultater fremsendes til tilsynsmyndigheden (</w:t>
            </w:r>
            <w:hyperlink r:id="rId16" w:history="1">
              <w:r w:rsidRPr="008911B4">
                <w:rPr>
                  <w:rStyle w:val="Hyperlink"/>
                  <w:szCs w:val="24"/>
                </w:rPr>
                <w:t>spildevand@tmf.kk.dk</w:t>
              </w:r>
            </w:hyperlink>
            <w:r w:rsidRPr="008911B4">
              <w:rPr>
                <w:szCs w:val="24"/>
              </w:rPr>
              <w:t>) direkte fra det akkrediterede laboratorium senest 10 efter, at prøverne er udtaget.</w:t>
            </w:r>
          </w:p>
        </w:tc>
        <w:tc>
          <w:tcPr>
            <w:tcW w:w="850" w:type="dxa"/>
          </w:tcPr>
          <w:p w:rsidR="0042390A" w:rsidRPr="00021B9C" w:rsidRDefault="008A7425" w:rsidP="00EE47F9">
            <w:pPr>
              <w:ind w:left="-36"/>
              <w:jc w:val="center"/>
              <w:rPr>
                <w:szCs w:val="24"/>
              </w:rPr>
            </w:pPr>
            <w:r>
              <w:rPr>
                <w:szCs w:val="24"/>
              </w:rPr>
              <w:t>OK</w:t>
            </w:r>
          </w:p>
        </w:tc>
        <w:tc>
          <w:tcPr>
            <w:tcW w:w="5612" w:type="dxa"/>
          </w:tcPr>
          <w:p w:rsidR="0042390A" w:rsidRPr="00021B9C" w:rsidRDefault="008A7425" w:rsidP="00EE47F9">
            <w:pPr>
              <w:rPr>
                <w:szCs w:val="24"/>
              </w:rPr>
            </w:pPr>
            <w:r>
              <w:rPr>
                <w:szCs w:val="24"/>
              </w:rPr>
              <w:t>Virksomheden er ved at indhente priser fra akkrediterede prøvetagningsfirmaer.</w:t>
            </w:r>
          </w:p>
        </w:tc>
      </w:tr>
      <w:tr w:rsidR="0042390A" w:rsidRPr="00021B9C" w:rsidTr="00EC463E">
        <w:tc>
          <w:tcPr>
            <w:tcW w:w="8926" w:type="dxa"/>
          </w:tcPr>
          <w:p w:rsidR="0042390A" w:rsidRPr="00021B9C" w:rsidRDefault="0042390A" w:rsidP="00183DD3">
            <w:pPr>
              <w:pStyle w:val="Listeafsnit"/>
              <w:numPr>
                <w:ilvl w:val="0"/>
                <w:numId w:val="3"/>
              </w:numPr>
              <w:rPr>
                <w:szCs w:val="24"/>
              </w:rPr>
            </w:pPr>
            <w:r w:rsidRPr="00021B9C">
              <w:rPr>
                <w:szCs w:val="24"/>
              </w:rPr>
              <w:t>Prøvetagningerne af spildevandet må tidligst gennemføres 8 uger efter tømning af sandfang og olieudskiller.</w:t>
            </w:r>
          </w:p>
        </w:tc>
        <w:tc>
          <w:tcPr>
            <w:tcW w:w="850" w:type="dxa"/>
          </w:tcPr>
          <w:p w:rsidR="0042390A" w:rsidRPr="00021B9C" w:rsidRDefault="008A7425" w:rsidP="00EE47F9">
            <w:pPr>
              <w:ind w:left="-36"/>
              <w:jc w:val="center"/>
              <w:rPr>
                <w:szCs w:val="24"/>
              </w:rPr>
            </w:pPr>
            <w:r>
              <w:rPr>
                <w:szCs w:val="24"/>
              </w:rPr>
              <w:t>OK</w:t>
            </w:r>
          </w:p>
        </w:tc>
        <w:tc>
          <w:tcPr>
            <w:tcW w:w="5612" w:type="dxa"/>
          </w:tcPr>
          <w:p w:rsidR="0042390A" w:rsidRDefault="008A7425" w:rsidP="00EE47F9">
            <w:pPr>
              <w:rPr>
                <w:szCs w:val="24"/>
              </w:rPr>
            </w:pPr>
            <w:r>
              <w:rPr>
                <w:szCs w:val="24"/>
              </w:rPr>
              <w:t xml:space="preserve">Sandfang og olieudskiller tømmes p.t. månedligt. </w:t>
            </w:r>
          </w:p>
          <w:p w:rsidR="008A7425" w:rsidRPr="00021B9C" w:rsidRDefault="008A7425" w:rsidP="00EE47F9">
            <w:pPr>
              <w:rPr>
                <w:szCs w:val="24"/>
              </w:rPr>
            </w:pPr>
            <w:r>
              <w:rPr>
                <w:szCs w:val="24"/>
              </w:rPr>
              <w:t>Virksomheden skal sørge for, at prøven udtages så tæt på tømningstidspunkt som muligt.</w:t>
            </w:r>
          </w:p>
        </w:tc>
      </w:tr>
      <w:tr w:rsidR="0042390A" w:rsidRPr="00021B9C" w:rsidTr="00EC463E">
        <w:tc>
          <w:tcPr>
            <w:tcW w:w="8926" w:type="dxa"/>
          </w:tcPr>
          <w:p w:rsidR="0042390A" w:rsidRPr="00021B9C" w:rsidRDefault="0042390A" w:rsidP="00183DD3">
            <w:pPr>
              <w:pStyle w:val="Listeafsnit"/>
              <w:numPr>
                <w:ilvl w:val="0"/>
                <w:numId w:val="3"/>
              </w:numPr>
              <w:rPr>
                <w:szCs w:val="24"/>
              </w:rPr>
            </w:pPr>
            <w:r w:rsidRPr="00021B9C">
              <w:rPr>
                <w:color w:val="000000"/>
              </w:rPr>
              <w:t xml:space="preserve">Miljømyndigheden kan, dog højst en gang per år, forlange at virksomheden dokumenterer, at vilkår </w:t>
            </w:r>
            <w:r>
              <w:fldChar w:fldCharType="begin"/>
            </w:r>
            <w:r>
              <w:instrText xml:space="preserve"> REF _Ref501628374 \r \h  \* MERGEFORMAT </w:instrText>
            </w:r>
            <w:r>
              <w:fldChar w:fldCharType="separate"/>
            </w:r>
            <w:r w:rsidR="00870F56" w:rsidRPr="00870F56">
              <w:rPr>
                <w:color w:val="000000"/>
              </w:rPr>
              <w:t>40</w:t>
            </w:r>
            <w:r>
              <w:fldChar w:fldCharType="end"/>
            </w:r>
            <w:r w:rsidRPr="00021B9C">
              <w:rPr>
                <w:color w:val="000000"/>
              </w:rPr>
              <w:t xml:space="preserve"> om spildevand er overholdt. Prøvetagning og analyser skal foretages af et firma, der er akkrediteret hertil.</w:t>
            </w:r>
          </w:p>
        </w:tc>
        <w:tc>
          <w:tcPr>
            <w:tcW w:w="850" w:type="dxa"/>
          </w:tcPr>
          <w:p w:rsidR="0042390A" w:rsidRPr="00021B9C" w:rsidRDefault="008A7425" w:rsidP="00EE47F9">
            <w:pPr>
              <w:ind w:left="-36"/>
              <w:jc w:val="center"/>
              <w:rPr>
                <w:color w:val="000000"/>
              </w:rPr>
            </w:pPr>
            <w:r>
              <w:rPr>
                <w:color w:val="000000"/>
              </w:rPr>
              <w:t>-</w:t>
            </w:r>
          </w:p>
        </w:tc>
        <w:tc>
          <w:tcPr>
            <w:tcW w:w="5612" w:type="dxa"/>
          </w:tcPr>
          <w:p w:rsidR="0042390A" w:rsidRPr="00021B9C" w:rsidRDefault="008A7425" w:rsidP="00EE47F9">
            <w:pPr>
              <w:rPr>
                <w:color w:val="000000"/>
              </w:rPr>
            </w:pPr>
            <w:r>
              <w:t>Ikke relevant ved tilsynet.</w:t>
            </w:r>
          </w:p>
        </w:tc>
      </w:tr>
      <w:tr w:rsidR="0042390A" w:rsidRPr="00021B9C" w:rsidTr="00EC463E">
        <w:tc>
          <w:tcPr>
            <w:tcW w:w="8926" w:type="dxa"/>
          </w:tcPr>
          <w:p w:rsidR="0042390A" w:rsidRPr="00021B9C" w:rsidRDefault="0042390A" w:rsidP="00183DD3">
            <w:pPr>
              <w:pStyle w:val="Listeafsnit"/>
              <w:numPr>
                <w:ilvl w:val="0"/>
                <w:numId w:val="3"/>
              </w:numPr>
            </w:pPr>
            <w:r w:rsidRPr="00021B9C">
              <w:t>Virksomheden skal hvert 5. år lade en autoriseret kloakmester udføre tæthedskontrol på samtlige olieudskillere på virksomhedens område.</w:t>
            </w:r>
          </w:p>
        </w:tc>
        <w:tc>
          <w:tcPr>
            <w:tcW w:w="850" w:type="dxa"/>
          </w:tcPr>
          <w:p w:rsidR="0042390A" w:rsidRPr="00021B9C" w:rsidRDefault="008A7425" w:rsidP="00EE47F9">
            <w:pPr>
              <w:ind w:left="-36"/>
              <w:jc w:val="center"/>
            </w:pPr>
            <w:r>
              <w:t>OK</w:t>
            </w:r>
          </w:p>
        </w:tc>
        <w:tc>
          <w:tcPr>
            <w:tcW w:w="5612" w:type="dxa"/>
          </w:tcPr>
          <w:p w:rsidR="0042390A" w:rsidRPr="00021B9C" w:rsidRDefault="008A7425" w:rsidP="00EE47F9">
            <w:r>
              <w:t>Indgår i vedligeholdelsesplan.</w:t>
            </w:r>
          </w:p>
        </w:tc>
      </w:tr>
      <w:tr w:rsidR="0042390A" w:rsidRPr="00021B9C" w:rsidTr="00EC463E">
        <w:tc>
          <w:tcPr>
            <w:tcW w:w="8926" w:type="dxa"/>
          </w:tcPr>
          <w:p w:rsidR="0042390A" w:rsidRPr="00021B9C" w:rsidRDefault="0042390A" w:rsidP="00183DD3">
            <w:pPr>
              <w:pStyle w:val="Listeafsnit"/>
              <w:numPr>
                <w:ilvl w:val="0"/>
                <w:numId w:val="3"/>
              </w:numPr>
            </w:pPr>
            <w:bookmarkStart w:id="26" w:name="_Ref494293934"/>
            <w:r w:rsidRPr="00021B9C">
              <w:t xml:space="preserve">Virksomheden skal mindst 1 gang i kvartalet foretage visuel kontrol af tankanlæg til farligt affald for lækager og vedligeholdelsestilstand, jf. vilkår </w:t>
            </w:r>
            <w:r>
              <w:fldChar w:fldCharType="begin"/>
            </w:r>
            <w:r>
              <w:instrText xml:space="preserve"> REF _Ref494293573 \r \h  \* MERGEFORMAT </w:instrText>
            </w:r>
            <w:r>
              <w:fldChar w:fldCharType="separate"/>
            </w:r>
            <w:r w:rsidR="00870F56">
              <w:t>21</w:t>
            </w:r>
            <w:r>
              <w:fldChar w:fldCharType="end"/>
            </w:r>
            <w:r w:rsidRPr="00021B9C">
              <w:t xml:space="preserve">. Øvrige faste rørsystemer og slanger til farligt affald skal kontrolleres visuelt for lækager og vedligeholdelsestilstand 1 gang om måneden, jf. vilkår </w:t>
            </w:r>
            <w:r>
              <w:fldChar w:fldCharType="begin"/>
            </w:r>
            <w:r>
              <w:instrText xml:space="preserve"> REF _Ref494293658 \r \h  \* MERGEFORMAT </w:instrText>
            </w:r>
            <w:r>
              <w:fldChar w:fldCharType="separate"/>
            </w:r>
            <w:r w:rsidR="00870F56">
              <w:t>23</w:t>
            </w:r>
            <w:r>
              <w:fldChar w:fldCharType="end"/>
            </w:r>
            <w:r w:rsidRPr="00021B9C">
              <w:t>.</w:t>
            </w:r>
            <w:bookmarkEnd w:id="26"/>
          </w:p>
        </w:tc>
        <w:tc>
          <w:tcPr>
            <w:tcW w:w="850" w:type="dxa"/>
          </w:tcPr>
          <w:p w:rsidR="0042390A" w:rsidRPr="00021B9C" w:rsidRDefault="008A7425" w:rsidP="00EE47F9">
            <w:pPr>
              <w:ind w:left="-36"/>
              <w:jc w:val="center"/>
            </w:pPr>
            <w:r>
              <w:t>OK</w:t>
            </w:r>
          </w:p>
        </w:tc>
        <w:tc>
          <w:tcPr>
            <w:tcW w:w="5612" w:type="dxa"/>
          </w:tcPr>
          <w:p w:rsidR="00341D36" w:rsidRDefault="008A7425" w:rsidP="00EE47F9">
            <w:r>
              <w:t xml:space="preserve">Der er daglig kontrol med tankanlæg. </w:t>
            </w:r>
          </w:p>
          <w:p w:rsidR="0042390A" w:rsidRPr="00021B9C" w:rsidRDefault="008A7425" w:rsidP="00EE47F9">
            <w:r>
              <w:t>Forholdet indgår i vedligeholdelsesplan.</w:t>
            </w:r>
          </w:p>
        </w:tc>
      </w:tr>
      <w:tr w:rsidR="0042390A" w:rsidRPr="00021B9C" w:rsidTr="00EC463E">
        <w:trPr>
          <w:trHeight w:val="1838"/>
        </w:trPr>
        <w:tc>
          <w:tcPr>
            <w:tcW w:w="8926" w:type="dxa"/>
          </w:tcPr>
          <w:p w:rsidR="0042390A" w:rsidRPr="00021B9C" w:rsidRDefault="0042390A" w:rsidP="00183DD3">
            <w:pPr>
              <w:pStyle w:val="Listeafsnit"/>
              <w:numPr>
                <w:ilvl w:val="0"/>
                <w:numId w:val="3"/>
              </w:numPr>
            </w:pPr>
            <w:bookmarkStart w:id="27" w:name="_Ref494294465"/>
            <w:r w:rsidRPr="00021B9C">
              <w:lastRenderedPageBreak/>
              <w:t>Tilsynsmyndigheden kan kræve, dog højst hvert tredje år, at virksomheden lader en uvildig sagkyndig foretage eftersyn af:</w:t>
            </w:r>
          </w:p>
          <w:bookmarkEnd w:id="27"/>
          <w:p w:rsidR="0042390A" w:rsidRPr="00021B9C" w:rsidRDefault="0042390A" w:rsidP="00183DD3">
            <w:pPr>
              <w:pStyle w:val="Listeafsnit"/>
              <w:numPr>
                <w:ilvl w:val="0"/>
                <w:numId w:val="8"/>
              </w:numPr>
              <w:ind w:left="993"/>
            </w:pPr>
            <w:r w:rsidRPr="00021B9C">
              <w:t>tætte belægninger og befæstede arealer</w:t>
            </w:r>
          </w:p>
          <w:p w:rsidR="0042390A" w:rsidRPr="00021B9C" w:rsidRDefault="0042390A" w:rsidP="00183DD3">
            <w:pPr>
              <w:pStyle w:val="Listeafsnit"/>
              <w:numPr>
                <w:ilvl w:val="0"/>
                <w:numId w:val="8"/>
              </w:numPr>
              <w:ind w:left="993"/>
            </w:pPr>
            <w:r w:rsidRPr="00021B9C">
              <w:t>gruber, brønde og lignende opsamlingsbassiner</w:t>
            </w:r>
          </w:p>
          <w:p w:rsidR="0042390A" w:rsidRPr="00021B9C" w:rsidRDefault="0042390A" w:rsidP="00183DD3">
            <w:pPr>
              <w:pStyle w:val="Listeafsnit"/>
              <w:numPr>
                <w:ilvl w:val="0"/>
                <w:numId w:val="8"/>
              </w:numPr>
              <w:ind w:left="993"/>
            </w:pPr>
            <w:r w:rsidRPr="00021B9C">
              <w:t>stationære containere og egne transportcontainere</w:t>
            </w:r>
          </w:p>
          <w:p w:rsidR="0042390A" w:rsidRPr="00021B9C" w:rsidRDefault="0042390A" w:rsidP="00183DD3">
            <w:pPr>
              <w:pStyle w:val="Listeafsnit"/>
              <w:numPr>
                <w:ilvl w:val="0"/>
                <w:numId w:val="8"/>
              </w:numPr>
              <w:ind w:left="993"/>
            </w:pPr>
            <w:r w:rsidRPr="00021B9C">
              <w:t>særlige oplagsområder</w:t>
            </w:r>
          </w:p>
          <w:p w:rsidR="0042390A" w:rsidRPr="00021B9C" w:rsidRDefault="0042390A" w:rsidP="00183DD3">
            <w:pPr>
              <w:pStyle w:val="Listeafsnit"/>
              <w:numPr>
                <w:ilvl w:val="0"/>
                <w:numId w:val="8"/>
              </w:numPr>
              <w:ind w:left="993"/>
            </w:pPr>
            <w:r w:rsidRPr="00021B9C">
              <w:t>tankgårde.</w:t>
            </w:r>
          </w:p>
        </w:tc>
        <w:tc>
          <w:tcPr>
            <w:tcW w:w="850" w:type="dxa"/>
          </w:tcPr>
          <w:p w:rsidR="0042390A" w:rsidRPr="00021B9C" w:rsidRDefault="00341D36" w:rsidP="00EE47F9">
            <w:pPr>
              <w:ind w:left="-36"/>
              <w:jc w:val="center"/>
            </w:pPr>
            <w:r>
              <w:t>-</w:t>
            </w:r>
          </w:p>
        </w:tc>
        <w:tc>
          <w:tcPr>
            <w:tcW w:w="5612" w:type="dxa"/>
          </w:tcPr>
          <w:p w:rsidR="0042390A" w:rsidRPr="00021B9C" w:rsidRDefault="00341D36" w:rsidP="00EE47F9">
            <w:r>
              <w:t>Ikke relevant ved tilsynet.</w:t>
            </w:r>
          </w:p>
        </w:tc>
      </w:tr>
      <w:tr w:rsidR="0042390A" w:rsidRPr="00021B9C" w:rsidTr="00EC463E">
        <w:tc>
          <w:tcPr>
            <w:tcW w:w="8926" w:type="dxa"/>
          </w:tcPr>
          <w:p w:rsidR="0042390A" w:rsidRPr="00021B9C" w:rsidRDefault="0042390A" w:rsidP="00183DD3">
            <w:pPr>
              <w:pStyle w:val="Listeafsnit"/>
              <w:numPr>
                <w:ilvl w:val="0"/>
                <w:numId w:val="3"/>
              </w:numPr>
            </w:pPr>
            <w:bookmarkStart w:id="28" w:name="_Ref494294778"/>
            <w:r w:rsidRPr="00021B9C">
              <w:t xml:space="preserve">Virksomheden skal mindst hvert femte år lade foretage tæthedsprøvning af enkeltvæggede tanke med tilhørende rørsystemer med henblik på at dokumentere, at vilkår </w:t>
            </w:r>
            <w:r>
              <w:fldChar w:fldCharType="begin"/>
            </w:r>
            <w:r>
              <w:instrText xml:space="preserve"> REF _Ref494293573 \r \h  \* MERGEFORMAT </w:instrText>
            </w:r>
            <w:r>
              <w:fldChar w:fldCharType="separate"/>
            </w:r>
            <w:r w:rsidR="00870F56">
              <w:t>21</w:t>
            </w:r>
            <w:r>
              <w:fldChar w:fldCharType="end"/>
            </w:r>
            <w:r w:rsidRPr="00021B9C">
              <w:t xml:space="preserve"> er overholdt. Tæthedsprøvningen skal foretages af et uvildigt, sagkyndigt firma, og rapport over resultatet skal indsendes til tilsynsmyndigheden senest 1 måned efter prøvningen.</w:t>
            </w:r>
            <w:bookmarkEnd w:id="28"/>
            <w:r w:rsidRPr="00021B9C">
              <w:t xml:space="preserve"> </w:t>
            </w:r>
          </w:p>
        </w:tc>
        <w:tc>
          <w:tcPr>
            <w:tcW w:w="850" w:type="dxa"/>
          </w:tcPr>
          <w:p w:rsidR="0042390A" w:rsidRPr="00021B9C" w:rsidRDefault="00341D36" w:rsidP="00EE47F9">
            <w:pPr>
              <w:ind w:left="-36"/>
              <w:jc w:val="center"/>
            </w:pPr>
            <w:r>
              <w:t>OK</w:t>
            </w:r>
          </w:p>
        </w:tc>
        <w:tc>
          <w:tcPr>
            <w:tcW w:w="5612" w:type="dxa"/>
          </w:tcPr>
          <w:p w:rsidR="0042390A" w:rsidRPr="00021B9C" w:rsidRDefault="00341D36" w:rsidP="00EE47F9">
            <w:r>
              <w:t>Indgår i vedligeholdelsesplan.</w:t>
            </w:r>
          </w:p>
        </w:tc>
      </w:tr>
      <w:tr w:rsidR="0042390A" w:rsidRPr="00021B9C" w:rsidTr="00EC463E">
        <w:tc>
          <w:tcPr>
            <w:tcW w:w="8926" w:type="dxa"/>
          </w:tcPr>
          <w:p w:rsidR="0042390A" w:rsidRPr="00021B9C" w:rsidRDefault="0042390A" w:rsidP="00183DD3">
            <w:pPr>
              <w:pStyle w:val="Vilkr-autonummerering"/>
              <w:numPr>
                <w:ilvl w:val="0"/>
                <w:numId w:val="0"/>
              </w:numPr>
              <w:spacing w:after="120"/>
              <w:jc w:val="left"/>
              <w:rPr>
                <w:b/>
                <w:szCs w:val="24"/>
              </w:rPr>
            </w:pPr>
            <w:r w:rsidRPr="00021B9C">
              <w:rPr>
                <w:b/>
                <w:szCs w:val="24"/>
              </w:rPr>
              <w:t>9. Driftsjournal og uheld</w:t>
            </w:r>
          </w:p>
        </w:tc>
        <w:tc>
          <w:tcPr>
            <w:tcW w:w="850" w:type="dxa"/>
          </w:tcPr>
          <w:p w:rsidR="0042390A" w:rsidRPr="00021B9C" w:rsidRDefault="0042390A" w:rsidP="00EE47F9">
            <w:pPr>
              <w:pStyle w:val="Vilkr-autonummerering"/>
              <w:numPr>
                <w:ilvl w:val="0"/>
                <w:numId w:val="0"/>
              </w:numPr>
              <w:spacing w:after="120"/>
              <w:ind w:left="-36"/>
              <w:jc w:val="center"/>
              <w:rPr>
                <w:b/>
                <w:szCs w:val="24"/>
              </w:rPr>
            </w:pPr>
          </w:p>
        </w:tc>
        <w:tc>
          <w:tcPr>
            <w:tcW w:w="5612" w:type="dxa"/>
          </w:tcPr>
          <w:p w:rsidR="0042390A" w:rsidRPr="00021B9C" w:rsidRDefault="0042390A" w:rsidP="00EE47F9">
            <w:pPr>
              <w:pStyle w:val="Vilkr-autonummerering"/>
              <w:numPr>
                <w:ilvl w:val="0"/>
                <w:numId w:val="0"/>
              </w:numPr>
              <w:spacing w:after="120"/>
              <w:jc w:val="left"/>
              <w:rPr>
                <w:b/>
                <w:szCs w:val="24"/>
              </w:rPr>
            </w:pPr>
          </w:p>
        </w:tc>
      </w:tr>
      <w:tr w:rsidR="0042390A" w:rsidRPr="00021B9C" w:rsidTr="00EC463E">
        <w:trPr>
          <w:trHeight w:val="5074"/>
        </w:trPr>
        <w:tc>
          <w:tcPr>
            <w:tcW w:w="8926" w:type="dxa"/>
          </w:tcPr>
          <w:p w:rsidR="0042390A" w:rsidRPr="00021B9C" w:rsidRDefault="0042390A" w:rsidP="00183DD3">
            <w:pPr>
              <w:pStyle w:val="Listeafsnit"/>
              <w:numPr>
                <w:ilvl w:val="0"/>
                <w:numId w:val="3"/>
              </w:numPr>
            </w:pPr>
            <w:r w:rsidRPr="00021B9C">
              <w:t xml:space="preserve">Der skal føres driftsjournal med angivelse af: </w:t>
            </w:r>
          </w:p>
          <w:p w:rsidR="0042390A" w:rsidRPr="00021B9C" w:rsidRDefault="0042390A" w:rsidP="00183DD3">
            <w:pPr>
              <w:pStyle w:val="Listeafsnit"/>
              <w:numPr>
                <w:ilvl w:val="1"/>
                <w:numId w:val="9"/>
              </w:numPr>
            </w:pPr>
            <w:r w:rsidRPr="00021B9C">
              <w:t>Løbende registrering af art, fraktion og mængde af modtaget farligt affald med angivelse af navn og adresse samt CVR- og P-nummer på de virksomheder, hvorfra affaldet er leveret.</w:t>
            </w:r>
          </w:p>
          <w:p w:rsidR="0042390A" w:rsidRPr="00021B9C" w:rsidRDefault="0042390A" w:rsidP="00183DD3">
            <w:pPr>
              <w:pStyle w:val="Listeafsnit"/>
              <w:numPr>
                <w:ilvl w:val="1"/>
                <w:numId w:val="9"/>
              </w:numPr>
            </w:pPr>
            <w:r w:rsidRPr="00021B9C">
              <w:t>Løbende registrering af art, fraktion og mængder af bortkørt affald med angivelse af navn og adresse samt CVR- og P-nummer på de virksomheder, hvortil affaldet er leveret.</w:t>
            </w:r>
          </w:p>
          <w:p w:rsidR="0042390A" w:rsidRPr="00021B9C" w:rsidRDefault="0042390A" w:rsidP="00183DD3">
            <w:pPr>
              <w:pStyle w:val="Listeafsnit"/>
              <w:numPr>
                <w:ilvl w:val="1"/>
                <w:numId w:val="9"/>
              </w:numPr>
            </w:pPr>
            <w:r w:rsidRPr="00021B9C">
              <w:t xml:space="preserve">Navn, adresse og så vidt muligt CVR- og P-nummer på affaldsproducenter, der afvises. </w:t>
            </w:r>
          </w:p>
          <w:p w:rsidR="0042390A" w:rsidRPr="00021B9C" w:rsidRDefault="0042390A" w:rsidP="00183DD3">
            <w:pPr>
              <w:pStyle w:val="Listeafsnit"/>
              <w:numPr>
                <w:ilvl w:val="1"/>
                <w:numId w:val="9"/>
              </w:numPr>
            </w:pPr>
            <w:r w:rsidRPr="00021B9C">
              <w:t xml:space="preserve">Dato for og resultatet af kontrol af automatiske kontrol-, alarm- og sikringssystemer, jf. vilkår </w:t>
            </w:r>
            <w:r>
              <w:fldChar w:fldCharType="begin"/>
            </w:r>
            <w:r>
              <w:instrText xml:space="preserve"> REF _Ref494293992 \r \h  \* MERGEFORMAT </w:instrText>
            </w:r>
            <w:r>
              <w:fldChar w:fldCharType="separate"/>
            </w:r>
            <w:r w:rsidR="00870F56">
              <w:t>58</w:t>
            </w:r>
            <w:r>
              <w:fldChar w:fldCharType="end"/>
            </w:r>
            <w:r w:rsidRPr="00021B9C">
              <w:t>.</w:t>
            </w:r>
          </w:p>
          <w:p w:rsidR="0042390A" w:rsidRPr="00021B9C" w:rsidRDefault="0042390A" w:rsidP="00183DD3">
            <w:pPr>
              <w:pStyle w:val="Listeafsnit"/>
              <w:numPr>
                <w:ilvl w:val="1"/>
                <w:numId w:val="9"/>
              </w:numPr>
            </w:pPr>
            <w:r w:rsidRPr="00021B9C">
              <w:t xml:space="preserve">Dato for og resultatet af den visuelle kontrol af tætte belægninger, befæstede arealer og gulve, opsamlingsbassiner, containere, tankgårde og særlige oplagsområder samt eventuelle foretagne forbedringer, jf. vilkår </w:t>
            </w:r>
            <w:r>
              <w:fldChar w:fldCharType="begin"/>
            </w:r>
            <w:r>
              <w:instrText xml:space="preserve"> REF _Ref494293977 \r \h  \* MERGEFORMAT </w:instrText>
            </w:r>
            <w:r>
              <w:fldChar w:fldCharType="separate"/>
            </w:r>
            <w:r w:rsidR="00870F56">
              <w:t>59</w:t>
            </w:r>
            <w:r>
              <w:fldChar w:fldCharType="end"/>
            </w:r>
            <w:r w:rsidRPr="00021B9C">
              <w:t xml:space="preserve"> og </w:t>
            </w:r>
            <w:r>
              <w:fldChar w:fldCharType="begin"/>
            </w:r>
            <w:r>
              <w:instrText xml:space="preserve"> REF _Ref494294419 \r \h  \* MERGEFORMAT </w:instrText>
            </w:r>
            <w:r>
              <w:fldChar w:fldCharType="separate"/>
            </w:r>
            <w:r w:rsidR="00870F56">
              <w:t>60</w:t>
            </w:r>
            <w:r>
              <w:fldChar w:fldCharType="end"/>
            </w:r>
            <w:r w:rsidRPr="00021B9C">
              <w:t>.</w:t>
            </w:r>
          </w:p>
          <w:p w:rsidR="0042390A" w:rsidRPr="00021B9C" w:rsidRDefault="0042390A" w:rsidP="00183DD3">
            <w:pPr>
              <w:pStyle w:val="Listeafsnit"/>
              <w:numPr>
                <w:ilvl w:val="1"/>
                <w:numId w:val="9"/>
              </w:numPr>
            </w:pPr>
            <w:r w:rsidRPr="00021B9C">
              <w:t xml:space="preserve">Dato for og resultatet af den visuelle kontrol af tankanlæg og øvrige faste rørsystemer samt eventuelle foretagne forbedringer, jf. vilkår </w:t>
            </w:r>
            <w:r>
              <w:fldChar w:fldCharType="begin"/>
            </w:r>
            <w:r>
              <w:instrText xml:space="preserve"> REF _Ref494293934 \r \h  \* MERGEFORMAT </w:instrText>
            </w:r>
            <w:r>
              <w:fldChar w:fldCharType="separate"/>
            </w:r>
            <w:r w:rsidR="00870F56">
              <w:t>66</w:t>
            </w:r>
            <w:r>
              <w:fldChar w:fldCharType="end"/>
            </w:r>
            <w:r w:rsidRPr="00021B9C">
              <w:t>.</w:t>
            </w:r>
          </w:p>
          <w:p w:rsidR="0042390A" w:rsidRPr="00021B9C" w:rsidRDefault="0042390A" w:rsidP="00183DD3">
            <w:pPr>
              <w:pStyle w:val="Listeafsnit"/>
              <w:numPr>
                <w:ilvl w:val="1"/>
                <w:numId w:val="9"/>
              </w:numPr>
            </w:pPr>
            <w:r w:rsidRPr="00021B9C">
              <w:t xml:space="preserve">Dato for og resultat af det uvildige eftersyn af tætte belægninger, befæstede arealer og gulve, opsamlingsbassiner, containere, tankgårde og særlige oplagsområder samt eventuelle foretagne forbedringer, jf. vilkår </w:t>
            </w:r>
            <w:r>
              <w:fldChar w:fldCharType="begin"/>
            </w:r>
            <w:r>
              <w:instrText xml:space="preserve"> REF _Ref494294465 \r \h  \* MERGEFORMAT </w:instrText>
            </w:r>
            <w:r>
              <w:fldChar w:fldCharType="separate"/>
            </w:r>
            <w:r w:rsidR="00870F56">
              <w:t>67</w:t>
            </w:r>
            <w:r>
              <w:fldChar w:fldCharType="end"/>
            </w:r>
            <w:r w:rsidRPr="00021B9C">
              <w:t>.</w:t>
            </w:r>
          </w:p>
          <w:p w:rsidR="0042390A" w:rsidRPr="00021B9C" w:rsidRDefault="0042390A" w:rsidP="00183DD3">
            <w:pPr>
              <w:pStyle w:val="Listeafsnit"/>
              <w:numPr>
                <w:ilvl w:val="1"/>
                <w:numId w:val="9"/>
              </w:numPr>
            </w:pPr>
            <w:r w:rsidRPr="00021B9C">
              <w:t xml:space="preserve">Den årlige indberetning til </w:t>
            </w:r>
            <w:proofErr w:type="spellStart"/>
            <w:r w:rsidRPr="00021B9C">
              <w:t>AffaldsDataSystemet</w:t>
            </w:r>
            <w:proofErr w:type="spellEnd"/>
            <w:r w:rsidRPr="00021B9C">
              <w:t>.</w:t>
            </w:r>
          </w:p>
          <w:p w:rsidR="0042390A" w:rsidRPr="00021B9C" w:rsidRDefault="0042390A" w:rsidP="00183DD3"/>
          <w:p w:rsidR="0042390A" w:rsidRPr="00021B9C" w:rsidRDefault="0042390A" w:rsidP="00183DD3">
            <w:r w:rsidRPr="00021B9C">
              <w:lastRenderedPageBreak/>
              <w:t>Driftjournalen skal opbevares på virksomheden i mindst 5 år og skal være tilgængelig for tilsynsmyndigheden.</w:t>
            </w:r>
          </w:p>
        </w:tc>
        <w:tc>
          <w:tcPr>
            <w:tcW w:w="850" w:type="dxa"/>
          </w:tcPr>
          <w:p w:rsidR="0042390A" w:rsidRPr="00021B9C" w:rsidRDefault="00341D36" w:rsidP="00EE47F9">
            <w:pPr>
              <w:ind w:left="-36"/>
              <w:jc w:val="center"/>
            </w:pPr>
            <w:r>
              <w:lastRenderedPageBreak/>
              <w:t>OK</w:t>
            </w:r>
          </w:p>
        </w:tc>
        <w:tc>
          <w:tcPr>
            <w:tcW w:w="5612" w:type="dxa"/>
          </w:tcPr>
          <w:p w:rsidR="0042390A" w:rsidRPr="00021B9C" w:rsidRDefault="00341D36" w:rsidP="00EE47F9">
            <w:r>
              <w:t>Driftsjournaler og procedurer blev fremvist digitalt ved tilsynet.</w:t>
            </w:r>
            <w:r w:rsidR="00B62B41">
              <w:br/>
            </w:r>
            <w:r w:rsidR="00B62B41">
              <w:br/>
              <w:t>a. til c. kontrolleres efter ordresystemet</w:t>
            </w:r>
            <w:r w:rsidR="00B62B41">
              <w:br/>
              <w:t xml:space="preserve">d. til g. </w:t>
            </w:r>
            <w:r w:rsidR="00FC6ACE">
              <w:t>kontrolleres efter vedligeholdelsessystemet</w:t>
            </w:r>
            <w:r w:rsidR="00FC6ACE">
              <w:br/>
              <w:t>h. Her samles alle data fra ovennævnte af en ekstern aktør og fremsendes til miljøstyrelsen én gang årligt.</w:t>
            </w:r>
          </w:p>
        </w:tc>
      </w:tr>
      <w:tr w:rsidR="0042390A" w:rsidRPr="00021B9C" w:rsidTr="00EC463E">
        <w:tc>
          <w:tcPr>
            <w:tcW w:w="8926" w:type="dxa"/>
          </w:tcPr>
          <w:p w:rsidR="0042390A" w:rsidRPr="00021B9C" w:rsidRDefault="0042390A" w:rsidP="00183DD3">
            <w:pPr>
              <w:pStyle w:val="Listeafsnit"/>
              <w:numPr>
                <w:ilvl w:val="0"/>
                <w:numId w:val="3"/>
              </w:numPr>
            </w:pPr>
            <w:r w:rsidRPr="00021B9C">
              <w:t xml:space="preserve">Ved større spild af olie eller kemikalier skal der gives alarm på telefon 112. Ved driftsuheld med risiko for forurening af jord, luft eller vand, skal Center for Miljøbeskyttelse underrettes på </w:t>
            </w:r>
            <w:r w:rsidRPr="00021B9C">
              <w:rPr>
                <w:rStyle w:val="Hyperlink"/>
              </w:rPr>
              <w:t>virk</w:t>
            </w:r>
            <w:hyperlink r:id="rId17" w:history="1">
              <w:r w:rsidRPr="00021B9C">
                <w:rPr>
                  <w:rStyle w:val="Hyperlink"/>
                </w:rPr>
                <w:t>miljoe@tmf.kk.dk</w:t>
              </w:r>
            </w:hyperlink>
            <w:r w:rsidRPr="00021B9C">
              <w:t xml:space="preserve"> eller tlf. 21 70 26 50. </w:t>
            </w:r>
          </w:p>
        </w:tc>
        <w:tc>
          <w:tcPr>
            <w:tcW w:w="850" w:type="dxa"/>
          </w:tcPr>
          <w:p w:rsidR="0042390A" w:rsidRPr="00021B9C" w:rsidRDefault="00341D36" w:rsidP="00EE47F9">
            <w:pPr>
              <w:ind w:left="-36"/>
              <w:jc w:val="center"/>
            </w:pPr>
            <w:r>
              <w:t>-</w:t>
            </w:r>
          </w:p>
        </w:tc>
        <w:tc>
          <w:tcPr>
            <w:tcW w:w="5612" w:type="dxa"/>
          </w:tcPr>
          <w:p w:rsidR="0042390A" w:rsidRPr="00021B9C" w:rsidRDefault="00341D36" w:rsidP="00EE47F9">
            <w:r>
              <w:t>Ikke relevant ved tilsynet.</w:t>
            </w:r>
          </w:p>
        </w:tc>
      </w:tr>
      <w:tr w:rsidR="0042390A" w:rsidRPr="00021B9C" w:rsidTr="00EC463E">
        <w:tc>
          <w:tcPr>
            <w:tcW w:w="8926" w:type="dxa"/>
          </w:tcPr>
          <w:p w:rsidR="0042390A" w:rsidRPr="00021B9C" w:rsidRDefault="0042390A" w:rsidP="00183DD3">
            <w:pPr>
              <w:pStyle w:val="Vilkr-autonummerering"/>
              <w:numPr>
                <w:ilvl w:val="0"/>
                <w:numId w:val="0"/>
              </w:numPr>
              <w:spacing w:after="120"/>
              <w:jc w:val="left"/>
              <w:rPr>
                <w:b/>
                <w:szCs w:val="24"/>
              </w:rPr>
            </w:pPr>
            <w:r w:rsidRPr="00021B9C">
              <w:rPr>
                <w:b/>
                <w:szCs w:val="24"/>
              </w:rPr>
              <w:t>9.  Bedst tilgængelige teknologi</w:t>
            </w:r>
          </w:p>
        </w:tc>
        <w:tc>
          <w:tcPr>
            <w:tcW w:w="850" w:type="dxa"/>
          </w:tcPr>
          <w:p w:rsidR="0042390A" w:rsidRPr="00021B9C" w:rsidRDefault="0042390A" w:rsidP="00EE47F9">
            <w:pPr>
              <w:pStyle w:val="Vilkr-autonummerering"/>
              <w:numPr>
                <w:ilvl w:val="0"/>
                <w:numId w:val="0"/>
              </w:numPr>
              <w:spacing w:after="120"/>
              <w:ind w:left="-36"/>
              <w:jc w:val="center"/>
              <w:rPr>
                <w:b/>
                <w:szCs w:val="24"/>
              </w:rPr>
            </w:pPr>
          </w:p>
        </w:tc>
        <w:tc>
          <w:tcPr>
            <w:tcW w:w="5612" w:type="dxa"/>
          </w:tcPr>
          <w:p w:rsidR="0042390A" w:rsidRPr="00021B9C" w:rsidRDefault="0042390A" w:rsidP="00EE47F9">
            <w:pPr>
              <w:pStyle w:val="Vilkr-autonummerering"/>
              <w:numPr>
                <w:ilvl w:val="0"/>
                <w:numId w:val="0"/>
              </w:numPr>
              <w:spacing w:after="120"/>
              <w:jc w:val="left"/>
              <w:rPr>
                <w:b/>
                <w:szCs w:val="24"/>
              </w:rPr>
            </w:pPr>
          </w:p>
        </w:tc>
      </w:tr>
      <w:tr w:rsidR="0042390A" w:rsidRPr="00021B9C" w:rsidTr="00EC463E">
        <w:tc>
          <w:tcPr>
            <w:tcW w:w="8926" w:type="dxa"/>
          </w:tcPr>
          <w:p w:rsidR="0042390A" w:rsidRPr="00021B9C" w:rsidRDefault="0042390A" w:rsidP="00183DD3">
            <w:pPr>
              <w:pStyle w:val="Listeafsnit"/>
              <w:numPr>
                <w:ilvl w:val="0"/>
                <w:numId w:val="3"/>
              </w:numPr>
            </w:pPr>
            <w:r w:rsidRPr="00021B9C">
              <w:t>Virksomheden skal kontinuerligt undersøge og vurdere de enkelte processer, procesgange og materialevalg med henblik på at anvende den bedste tilgængelige teknologi.</w:t>
            </w:r>
          </w:p>
        </w:tc>
        <w:tc>
          <w:tcPr>
            <w:tcW w:w="850" w:type="dxa"/>
          </w:tcPr>
          <w:p w:rsidR="0042390A" w:rsidRPr="00021B9C" w:rsidRDefault="00341D36" w:rsidP="00EE47F9">
            <w:pPr>
              <w:ind w:left="-36"/>
              <w:jc w:val="center"/>
            </w:pPr>
            <w:r>
              <w:t>OK</w:t>
            </w:r>
          </w:p>
        </w:tc>
        <w:tc>
          <w:tcPr>
            <w:tcW w:w="5612" w:type="dxa"/>
          </w:tcPr>
          <w:p w:rsidR="00316256" w:rsidRDefault="00316256" w:rsidP="00316256">
            <w:pPr>
              <w:pStyle w:val="Kommentartekst"/>
            </w:pPr>
            <w:r>
              <w:t>Virksomheden har standardvilkår for affaldsbehandlingsanlæg</w:t>
            </w:r>
            <w:r>
              <w:rPr>
                <w:noProof/>
              </w:rPr>
              <w:t>, og</w:t>
            </w:r>
            <w:r>
              <w:t xml:space="preserve"> er miljøcertificeret</w:t>
            </w:r>
            <w:r>
              <w:rPr>
                <w:noProof/>
              </w:rPr>
              <w:t xml:space="preserve"> efter ISO 14001. </w:t>
            </w:r>
            <w:r>
              <w:t>Der er årligt ekstern audit af virksomhedens miljøcertificeringssystem</w:t>
            </w:r>
            <w:r>
              <w:rPr>
                <w:noProof/>
              </w:rPr>
              <w:t xml:space="preserve">. </w:t>
            </w:r>
            <w:r w:rsidR="00EA4E17">
              <w:rPr>
                <w:noProof/>
              </w:rPr>
              <w:t xml:space="preserve">Endvidere har virksomheden </w:t>
            </w:r>
            <w:r>
              <w:rPr>
                <w:noProof/>
              </w:rPr>
              <w:t xml:space="preserve">to øvrige certifikater </w:t>
            </w:r>
            <w:r w:rsidR="00EA4E17">
              <w:rPr>
                <w:noProof/>
              </w:rPr>
              <w:t>for</w:t>
            </w:r>
            <w:r>
              <w:rPr>
                <w:noProof/>
              </w:rPr>
              <w:t xml:space="preserve"> hhv</w:t>
            </w:r>
            <w:r w:rsidR="00EA4E17">
              <w:rPr>
                <w:noProof/>
              </w:rPr>
              <w:t>.</w:t>
            </w:r>
            <w:r>
              <w:rPr>
                <w:noProof/>
              </w:rPr>
              <w:t xml:space="preserve"> k</w:t>
            </w:r>
            <w:r w:rsidR="00EA4E17">
              <w:rPr>
                <w:noProof/>
              </w:rPr>
              <w:t>valitetsstyring og arbejdsmiljø.</w:t>
            </w:r>
            <w:bookmarkStart w:id="29" w:name="_GoBack"/>
            <w:bookmarkEnd w:id="29"/>
          </w:p>
          <w:p w:rsidR="00316256" w:rsidRDefault="00316256" w:rsidP="00EE47F9"/>
          <w:p w:rsidR="008407B7" w:rsidRDefault="00341D36" w:rsidP="00EE47F9">
            <w:r>
              <w:t>I august 2017 blev der offen</w:t>
            </w:r>
            <w:r w:rsidR="008407B7">
              <w:t>tliggjort nye BAT-konklusioner. Vi afventer BAT-tjeklister fra Miljøstyrelsen.</w:t>
            </w:r>
          </w:p>
          <w:p w:rsidR="008407B7" w:rsidRDefault="008407B7" w:rsidP="00EE47F9"/>
          <w:p w:rsidR="00E206CB" w:rsidRDefault="008407B7" w:rsidP="00EE47F9">
            <w:r>
              <w:lastRenderedPageBreak/>
              <w:t xml:space="preserve">Se evt. i godkendelsesbekendtgørelsen, </w:t>
            </w:r>
            <w:r w:rsidRPr="008407B7">
              <w:t>BEK nr</w:t>
            </w:r>
            <w:r>
              <w:t>.</w:t>
            </w:r>
            <w:r w:rsidRPr="008407B7">
              <w:t xml:space="preserve"> 1458 af 12/12/2017</w:t>
            </w:r>
            <w:r>
              <w:t xml:space="preserve"> om BAT regler.</w:t>
            </w:r>
          </w:p>
          <w:p w:rsidR="008407B7" w:rsidRDefault="008407B7" w:rsidP="00EE47F9"/>
          <w:p w:rsidR="008407B7" w:rsidRPr="008407B7" w:rsidRDefault="008407B7" w:rsidP="00EE47F9">
            <w:pPr>
              <w:rPr>
                <w:u w:val="single"/>
              </w:rPr>
            </w:pPr>
            <w:r w:rsidRPr="008407B7">
              <w:rPr>
                <w:u w:val="single"/>
              </w:rPr>
              <w:t>Her er enkelt uddrag:</w:t>
            </w:r>
          </w:p>
          <w:p w:rsidR="008407B7" w:rsidRDefault="008407B7" w:rsidP="00EE47F9">
            <w:r>
              <w:t xml:space="preserve">Kap 11, </w:t>
            </w:r>
            <w:r w:rsidRPr="00E206CB">
              <w:t xml:space="preserve">§ 25. </w:t>
            </w:r>
            <w:r w:rsidRPr="008407B7">
              <w:rPr>
                <w:i/>
              </w:rPr>
              <w:t>Hvis godkendelsen vedrører en virksomhed, der er omfattet af et eller flere afsnit i bilaget til bekendtgørelse om standardvilkår i godkendelse af listevirksomhed, erstatter standardvilkårene de krav, der er en følge af BAT på betingelse af, at vilkårene ikke er lempeligere end BAT-konklusionen eller konklusionen i et BAT-referencedokument. Godkendelsesmyndigheden indsætter disse standardvilkår i godkendelsen.</w:t>
            </w:r>
          </w:p>
          <w:p w:rsidR="008407B7" w:rsidRDefault="008407B7" w:rsidP="00EE47F9"/>
          <w:p w:rsidR="008407B7" w:rsidRDefault="008407B7" w:rsidP="00EE47F9">
            <w:r>
              <w:t xml:space="preserve">Kap. 15, § 42 </w:t>
            </w:r>
            <w:r w:rsidRPr="008407B7">
              <w:t xml:space="preserve">Stk. 4. </w:t>
            </w:r>
            <w:r w:rsidRPr="008407B7">
              <w:rPr>
                <w:i/>
              </w:rPr>
              <w:t>Tilsynsmyndigheden tilrettelægger revurderingen efter § 40 på en sådan måde, at vilkårene, der fastlægges som resultat af revurderingen, kan overholdes senest fire år efter offentliggørelsen af BAT-konklusionen i EU-Tidende.</w:t>
            </w:r>
          </w:p>
          <w:p w:rsidR="00E206CB" w:rsidRPr="00021B9C" w:rsidRDefault="00E206CB" w:rsidP="00EE47F9"/>
        </w:tc>
      </w:tr>
      <w:tr w:rsidR="0042390A" w:rsidRPr="006B55E2" w:rsidTr="00EC463E">
        <w:trPr>
          <w:trHeight w:val="719"/>
        </w:trPr>
        <w:tc>
          <w:tcPr>
            <w:tcW w:w="8926" w:type="dxa"/>
          </w:tcPr>
          <w:p w:rsidR="0042390A" w:rsidRPr="00021B9C" w:rsidRDefault="0042390A" w:rsidP="00183DD3"/>
          <w:p w:rsidR="0042390A" w:rsidRPr="00021B9C" w:rsidRDefault="0042390A" w:rsidP="00183DD3">
            <w:r w:rsidRPr="00021B9C">
              <w:t xml:space="preserve">Vilkår </w:t>
            </w:r>
            <w:proofErr w:type="spellStart"/>
            <w:r w:rsidRPr="00021B9C">
              <w:t>nr</w:t>
            </w:r>
            <w:proofErr w:type="spellEnd"/>
            <w:r w:rsidRPr="00021B9C">
              <w:t xml:space="preserve"> </w:t>
            </w:r>
            <w:r>
              <w:fldChar w:fldCharType="begin"/>
            </w:r>
            <w:r>
              <w:instrText xml:space="preserve"> REF _Ref501626455 \r \h  \* MERGEFORMAT </w:instrText>
            </w:r>
            <w:r>
              <w:fldChar w:fldCharType="separate"/>
            </w:r>
            <w:r w:rsidR="00870F56">
              <w:t>39</w:t>
            </w:r>
            <w:r>
              <w:fldChar w:fldCharType="end"/>
            </w:r>
            <w:r w:rsidRPr="00021B9C">
              <w:t>-</w:t>
            </w:r>
            <w:r>
              <w:fldChar w:fldCharType="begin"/>
            </w:r>
            <w:r>
              <w:instrText xml:space="preserve"> REF _Ref503520424 \r \h  \* MERGEFORMAT </w:instrText>
            </w:r>
            <w:r>
              <w:fldChar w:fldCharType="separate"/>
            </w:r>
            <w:r w:rsidR="00870F56">
              <w:t>40</w:t>
            </w:r>
            <w:r>
              <w:fldChar w:fldCharType="end"/>
            </w:r>
            <w:r w:rsidRPr="00021B9C">
              <w:t xml:space="preserve"> vedrørende spildevand er fastsat i medfør af § 28, stk.3, miljøbeskyttelsesloven. </w:t>
            </w:r>
          </w:p>
          <w:p w:rsidR="0042390A" w:rsidRPr="00021B9C" w:rsidRDefault="0042390A" w:rsidP="00183DD3">
            <w:r w:rsidRPr="00021B9C">
              <w:t xml:space="preserve">Vilkår nr. </w:t>
            </w:r>
            <w:r>
              <w:fldChar w:fldCharType="begin"/>
            </w:r>
            <w:r>
              <w:instrText xml:space="preserve"> REF _Ref494293992 \r \h  \* MERGEFORMAT </w:instrText>
            </w:r>
            <w:r>
              <w:fldChar w:fldCharType="separate"/>
            </w:r>
            <w:r w:rsidR="00870F56">
              <w:t>58</w:t>
            </w:r>
            <w:r>
              <w:fldChar w:fldCharType="end"/>
            </w:r>
            <w:r w:rsidRPr="00021B9C">
              <w:t xml:space="preserve"> til </w:t>
            </w:r>
            <w:r>
              <w:fldChar w:fldCharType="begin"/>
            </w:r>
            <w:r>
              <w:instrText xml:space="preserve"> REF _Ref494294778 \r \h  \* MERGEFORMAT </w:instrText>
            </w:r>
            <w:r>
              <w:fldChar w:fldCharType="separate"/>
            </w:r>
            <w:r w:rsidR="00870F56">
              <w:t>68</w:t>
            </w:r>
            <w:r>
              <w:fldChar w:fldCharType="end"/>
            </w:r>
            <w:r w:rsidRPr="00021B9C">
              <w:t xml:space="preserve"> er egenkontrolvilkår som kan revideres jf. 72, stk. 3 miljøbeskyttelsesloven. </w:t>
            </w:r>
          </w:p>
          <w:p w:rsidR="0042390A" w:rsidRPr="00021B9C" w:rsidRDefault="0042390A" w:rsidP="00183DD3"/>
        </w:tc>
        <w:tc>
          <w:tcPr>
            <w:tcW w:w="850" w:type="dxa"/>
          </w:tcPr>
          <w:p w:rsidR="0042390A" w:rsidRPr="00021B9C" w:rsidRDefault="0042390A" w:rsidP="00EE47F9">
            <w:pPr>
              <w:ind w:left="-36"/>
              <w:jc w:val="center"/>
            </w:pPr>
          </w:p>
        </w:tc>
        <w:tc>
          <w:tcPr>
            <w:tcW w:w="5612" w:type="dxa"/>
          </w:tcPr>
          <w:p w:rsidR="0042390A" w:rsidRPr="00021B9C" w:rsidRDefault="0042390A" w:rsidP="00EE47F9"/>
        </w:tc>
      </w:tr>
    </w:tbl>
    <w:p w:rsidR="00183DD3" w:rsidRDefault="00183DD3" w:rsidP="00183DD3"/>
    <w:p w:rsidR="00183DD3" w:rsidRPr="00183DD3" w:rsidRDefault="00183DD3" w:rsidP="00183DD3">
      <w:pPr>
        <w:tabs>
          <w:tab w:val="left" w:pos="1950"/>
        </w:tabs>
      </w:pPr>
    </w:p>
    <w:sectPr w:rsidR="00183DD3" w:rsidRPr="00183DD3" w:rsidSect="0042390A">
      <w:headerReference w:type="even" r:id="rId18"/>
      <w:headerReference w:type="default" r:id="rId19"/>
      <w:headerReference w:type="first" r:id="rId20"/>
      <w:pgSz w:w="16838" w:h="11906" w:orient="landscape" w:code="9"/>
      <w:pgMar w:top="394" w:right="720" w:bottom="720" w:left="720"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6256" w:rsidRPr="007B2F87" w:rsidRDefault="00316256" w:rsidP="00291C7F">
      <w:pPr>
        <w:spacing w:line="240" w:lineRule="auto"/>
      </w:pPr>
      <w:r w:rsidRPr="007B2F87">
        <w:separator/>
      </w:r>
    </w:p>
    <w:p w:rsidR="00316256" w:rsidRPr="007B2F87" w:rsidRDefault="00316256"/>
  </w:endnote>
  <w:endnote w:type="continuationSeparator" w:id="0">
    <w:p w:rsidR="00316256" w:rsidRPr="007B2F87" w:rsidRDefault="00316256" w:rsidP="00291C7F">
      <w:pPr>
        <w:spacing w:line="240" w:lineRule="auto"/>
      </w:pPr>
      <w:r w:rsidRPr="007B2F87">
        <w:continuationSeparator/>
      </w:r>
    </w:p>
    <w:p w:rsidR="00316256" w:rsidRPr="007B2F87" w:rsidRDefault="003162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6256" w:rsidRDefault="00316256">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6256" w:rsidRDefault="00316256">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6256" w:rsidRDefault="0031625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6256" w:rsidRPr="007B2F87" w:rsidRDefault="00316256" w:rsidP="00291C7F">
      <w:pPr>
        <w:spacing w:line="240" w:lineRule="auto"/>
      </w:pPr>
      <w:r w:rsidRPr="007B2F87">
        <w:separator/>
      </w:r>
    </w:p>
    <w:p w:rsidR="00316256" w:rsidRPr="007B2F87" w:rsidRDefault="00316256"/>
  </w:footnote>
  <w:footnote w:type="continuationSeparator" w:id="0">
    <w:p w:rsidR="00316256" w:rsidRPr="007B2F87" w:rsidRDefault="00316256" w:rsidP="00291C7F">
      <w:pPr>
        <w:spacing w:line="240" w:lineRule="auto"/>
      </w:pPr>
      <w:r w:rsidRPr="007B2F87">
        <w:continuationSeparator/>
      </w:r>
    </w:p>
    <w:p w:rsidR="00316256" w:rsidRPr="007B2F87" w:rsidRDefault="00316256"/>
  </w:footnote>
  <w:footnote w:id="1">
    <w:p w:rsidR="00316256" w:rsidRDefault="00316256" w:rsidP="007B2F87">
      <w:pPr>
        <w:pStyle w:val="Fodnotetekst"/>
      </w:pPr>
      <w:r>
        <w:rPr>
          <w:rStyle w:val="Fodnotehenvisning"/>
        </w:rPr>
        <w:footnoteRef/>
      </w:r>
      <w:r>
        <w:t xml:space="preserve"> </w:t>
      </w:r>
      <w:r w:rsidRPr="00391E9C">
        <w:rPr>
          <w:rFonts w:ascii="Times New Roman" w:hAnsi="Times New Roman"/>
        </w:rPr>
        <w:t xml:space="preserve">Bekendtgørelse om miljøtilsyn nr. </w:t>
      </w:r>
      <w:r>
        <w:rPr>
          <w:rFonts w:ascii="Times New Roman" w:hAnsi="Times New Roman"/>
        </w:rPr>
        <w:t>1476 af 12/12/2017</w:t>
      </w:r>
    </w:p>
  </w:footnote>
  <w:footnote w:id="2">
    <w:p w:rsidR="00316256" w:rsidRDefault="00316256" w:rsidP="007B2F87">
      <w:pPr>
        <w:pStyle w:val="Fodnotetekst"/>
      </w:pPr>
      <w:r>
        <w:rPr>
          <w:rStyle w:val="Fodnotehenvisning"/>
        </w:rPr>
        <w:footnoteRef/>
      </w:r>
      <w:r>
        <w:t xml:space="preserve"> </w:t>
      </w:r>
      <w:r>
        <w:rPr>
          <w:rFonts w:ascii="Times New Roman" w:hAnsi="Times New Roman"/>
        </w:rPr>
        <w:t>I henhold til § 7 i B</w:t>
      </w:r>
      <w:r w:rsidRPr="00D57087">
        <w:rPr>
          <w:rFonts w:ascii="Times New Roman" w:hAnsi="Times New Roman"/>
        </w:rPr>
        <w:t xml:space="preserve">rugerbetalingsbekendtgørelsen nr. </w:t>
      </w:r>
      <w:r>
        <w:rPr>
          <w:rFonts w:ascii="Times New Roman" w:hAnsi="Times New Roman"/>
        </w:rPr>
        <w:t>1475 af 12/12/2017</w:t>
      </w:r>
    </w:p>
  </w:footnote>
  <w:footnote w:id="3">
    <w:p w:rsidR="00316256" w:rsidRDefault="00316256" w:rsidP="007B2F87">
      <w:pPr>
        <w:pStyle w:val="Fodnotetekst"/>
      </w:pPr>
      <w:r>
        <w:rPr>
          <w:rStyle w:val="Fodnotehenvisning"/>
        </w:rPr>
        <w:footnoteRef/>
      </w:r>
      <w:r>
        <w:t xml:space="preserve"> </w:t>
      </w:r>
      <w:r>
        <w:rPr>
          <w:rFonts w:ascii="Times New Roman" w:hAnsi="Times New Roman"/>
        </w:rPr>
        <w:t>Bekendtgørelse om miljøtilsyn</w:t>
      </w:r>
      <w:r w:rsidRPr="00D57087">
        <w:rPr>
          <w:rFonts w:ascii="Times New Roman" w:hAnsi="Times New Roman"/>
        </w:rPr>
        <w:t xml:space="preserve"> nr. </w:t>
      </w:r>
      <w:r>
        <w:rPr>
          <w:rFonts w:ascii="Times New Roman" w:hAnsi="Times New Roman"/>
        </w:rPr>
        <w:t>1476 af 12/12/2017</w:t>
      </w:r>
    </w:p>
  </w:footnote>
  <w:footnote w:id="4">
    <w:p w:rsidR="00316256" w:rsidRPr="003B12DC" w:rsidRDefault="00316256" w:rsidP="00183DD3">
      <w:pPr>
        <w:ind w:left="284"/>
        <w:rPr>
          <w:sz w:val="20"/>
        </w:rPr>
      </w:pPr>
      <w:r>
        <w:rPr>
          <w:rStyle w:val="Fodnotehenvisning"/>
        </w:rPr>
        <w:footnoteRef/>
      </w:r>
      <w:r>
        <w:t xml:space="preserve"> </w:t>
      </w:r>
      <w:r w:rsidRPr="003B12DC">
        <w:rPr>
          <w:sz w:val="20"/>
        </w:rPr>
        <w:t>Hvor der i vilkårene anvendes betegnelsen »befæstet areal« menes en fast belægning, der giver mulighed for opsamling af spild og kontrolleret afledning af nedbør. Hvor der i vilkårene anvendes betegnelsen »tæt belægning« menes en fast belægning, der i løbet af påvirkningstiden er uigennemtrængelig for de forurenende stoffer, der håndteres på arealet.</w:t>
      </w:r>
    </w:p>
    <w:p w:rsidR="00316256" w:rsidRDefault="00316256" w:rsidP="00183DD3">
      <w:pPr>
        <w:pStyle w:val="Fodnotetekst"/>
      </w:pPr>
    </w:p>
  </w:footnote>
  <w:footnote w:id="5">
    <w:p w:rsidR="00316256" w:rsidRDefault="00316256" w:rsidP="00183DD3">
      <w:pPr>
        <w:ind w:left="284"/>
      </w:pPr>
      <w:r w:rsidRPr="001E69EE">
        <w:rPr>
          <w:rStyle w:val="Fodnotehenvisning"/>
        </w:rPr>
        <w:footnoteRef/>
      </w:r>
      <w:r w:rsidRPr="001E69EE">
        <w:rPr>
          <w:sz w:val="20"/>
        </w:rPr>
        <w:t>Ved »tankanlæg« forstås tanke med tilhørende rørsystemer og slanger.</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6256" w:rsidRDefault="00316256">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Gitter"/>
      <w:tblpPr w:vertAnchor="page" w:horzAnchor="page" w:tblpX="9073" w:tblpY="1604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tblGrid>
    <w:tr w:rsidR="00316256" w:rsidRPr="007B2F87" w:rsidTr="00A12CBD">
      <w:trPr>
        <w:trHeight w:val="297"/>
      </w:trPr>
      <w:tc>
        <w:tcPr>
          <w:tcW w:w="1134" w:type="dxa"/>
        </w:tcPr>
        <w:p w:rsidR="00316256" w:rsidRPr="007B2F87" w:rsidRDefault="00316256" w:rsidP="007B2F87">
          <w:pPr>
            <w:pStyle w:val="Sidenummer"/>
          </w:pPr>
          <w:r w:rsidRPr="007B2F87">
            <w:t xml:space="preserve">Side </w:t>
          </w:r>
          <w:r w:rsidRPr="007B2F87">
            <w:fldChar w:fldCharType="begin"/>
          </w:r>
          <w:r w:rsidRPr="007B2F87">
            <w:instrText xml:space="preserve"> PAGE  \* Arabic  \* MERGEFORMAT </w:instrText>
          </w:r>
          <w:r w:rsidRPr="007B2F87">
            <w:fldChar w:fldCharType="separate"/>
          </w:r>
          <w:r w:rsidRPr="007B2F87">
            <w:rPr>
              <w:noProof/>
            </w:rPr>
            <w:t>2</w:t>
          </w:r>
          <w:r w:rsidRPr="007B2F87">
            <w:fldChar w:fldCharType="end"/>
          </w:r>
          <w:r w:rsidRPr="007B2F87">
            <w:t xml:space="preserve"> af </w:t>
          </w:r>
          <w:fldSimple w:instr=" NUMPAGES   \* MERGEFORMAT ">
            <w:r w:rsidRPr="007B2F87">
              <w:rPr>
                <w:noProof/>
              </w:rPr>
              <w:t>2</w:t>
            </w:r>
          </w:fldSimple>
        </w:p>
      </w:tc>
    </w:tr>
  </w:tbl>
  <w:p w:rsidR="00316256" w:rsidRPr="007B2F87" w:rsidRDefault="00316256">
    <w:pPr>
      <w:pStyle w:val="Sidehoved"/>
    </w:pPr>
  </w:p>
  <w:p w:rsidR="00316256" w:rsidRPr="007B2F87" w:rsidRDefault="0031625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Gitter"/>
      <w:tblpPr w:vertAnchor="page" w:horzAnchor="page" w:tblpX="1702" w:tblpY="88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Modtager og afsender tabel"/>
      <w:tblDescription w:val="Denne tabel indeholder oplysninger om hhv. afsender og modtager."/>
    </w:tblPr>
    <w:tblGrid>
      <w:gridCol w:w="6804"/>
    </w:tblGrid>
    <w:tr w:rsidR="00316256" w:rsidRPr="007B2F87" w:rsidTr="007B2F87">
      <w:trPr>
        <w:trHeight w:hRule="exact" w:val="1418"/>
      </w:trPr>
      <w:tc>
        <w:tcPr>
          <w:tcW w:w="6804" w:type="dxa"/>
        </w:tcPr>
        <w:p w:rsidR="00316256" w:rsidRPr="007B2F87" w:rsidRDefault="00316256" w:rsidP="007B2F87">
          <w:pPr>
            <w:pStyle w:val="KommuneTekst"/>
          </w:pPr>
          <w:bookmarkStart w:id="2" w:name="bmkRevicerTable"/>
          <w:r w:rsidRPr="007B2F87">
            <w:t>Københavns Kommune</w:t>
          </w:r>
        </w:p>
        <w:p w:rsidR="00316256" w:rsidRPr="007B2F87" w:rsidRDefault="00316256" w:rsidP="007B2F87">
          <w:pPr>
            <w:pStyle w:val="ForvaltningCenter"/>
          </w:pPr>
          <w:r w:rsidRPr="007B2F87">
            <w:t>Teknik- og Miljøforvaltningen</w:t>
          </w:r>
        </w:p>
        <w:p w:rsidR="00316256" w:rsidRPr="007B2F87" w:rsidRDefault="00316256" w:rsidP="007B2F87">
          <w:pPr>
            <w:pStyle w:val="ForvaltningCenter"/>
          </w:pPr>
          <w:r w:rsidRPr="007B2F87">
            <w:t>Byens Anvendelse</w:t>
          </w:r>
        </w:p>
      </w:tc>
    </w:tr>
    <w:tr w:rsidR="00316256" w:rsidRPr="007B2F87" w:rsidTr="007B2F87">
      <w:trPr>
        <w:trHeight w:hRule="exact" w:val="1121"/>
      </w:trPr>
      <w:tc>
        <w:tcPr>
          <w:tcW w:w="6804" w:type="dxa"/>
        </w:tcPr>
        <w:p w:rsidR="00316256" w:rsidRDefault="00316256" w:rsidP="007B2F87">
          <w:pPr>
            <w:pStyle w:val="Overskrift1"/>
            <w:spacing w:after="0" w:line="240" w:lineRule="auto"/>
            <w:outlineLvl w:val="0"/>
            <w:rPr>
              <w:rFonts w:cs="Times New Roman"/>
            </w:rPr>
          </w:pPr>
          <w:r w:rsidRPr="007B2F87">
            <w:rPr>
              <w:rFonts w:cs="Times New Roman"/>
            </w:rPr>
            <w:t xml:space="preserve">Til SMOKA I/S </w:t>
          </w:r>
        </w:p>
        <w:p w:rsidR="00316256" w:rsidRDefault="00316256" w:rsidP="007B2F87">
          <w:pPr>
            <w:pStyle w:val="Overskrift1"/>
            <w:spacing w:after="0" w:line="240" w:lineRule="auto"/>
            <w:outlineLvl w:val="0"/>
            <w:rPr>
              <w:rFonts w:cs="Times New Roman"/>
            </w:rPr>
          </w:pPr>
          <w:r w:rsidRPr="007B2F87">
            <w:rPr>
              <w:rFonts w:cs="Times New Roman"/>
            </w:rPr>
            <w:t xml:space="preserve">U-vej 7 </w:t>
          </w:r>
        </w:p>
        <w:p w:rsidR="00316256" w:rsidRDefault="00316256" w:rsidP="007B2F87">
          <w:pPr>
            <w:pStyle w:val="Overskrift1"/>
            <w:spacing w:after="0" w:line="240" w:lineRule="auto"/>
            <w:outlineLvl w:val="0"/>
            <w:rPr>
              <w:rFonts w:cs="Times New Roman"/>
            </w:rPr>
          </w:pPr>
          <w:r w:rsidRPr="007B2F87">
            <w:rPr>
              <w:rFonts w:cs="Times New Roman"/>
            </w:rPr>
            <w:t>2300 Kbh</w:t>
          </w:r>
          <w:r>
            <w:rPr>
              <w:rFonts w:cs="Times New Roman"/>
            </w:rPr>
            <w:t>.</w:t>
          </w:r>
          <w:r w:rsidRPr="007B2F87">
            <w:rPr>
              <w:rFonts w:cs="Times New Roman"/>
            </w:rPr>
            <w:t xml:space="preserve"> S </w:t>
          </w:r>
        </w:p>
        <w:p w:rsidR="00316256" w:rsidRPr="007B2F87" w:rsidRDefault="00316256" w:rsidP="007B2F87">
          <w:pPr>
            <w:pStyle w:val="Overskrift1"/>
            <w:spacing w:after="0" w:line="240" w:lineRule="auto"/>
            <w:outlineLvl w:val="0"/>
          </w:pPr>
          <w:r>
            <w:rPr>
              <w:rFonts w:cs="Times New Roman"/>
            </w:rPr>
            <w:t>Att.: Bente Tange Ka</w:t>
          </w:r>
          <w:r w:rsidRPr="007B2F87">
            <w:rPr>
              <w:rFonts w:cs="Times New Roman"/>
            </w:rPr>
            <w:t>llesen</w:t>
          </w:r>
        </w:p>
      </w:tc>
    </w:tr>
  </w:tbl>
  <w:tbl>
    <w:tblPr>
      <w:tblStyle w:val="Tabel-Gitter"/>
      <w:tblpPr w:vertAnchor="page" w:horzAnchor="page" w:tblpX="8790" w:tblpY="2439"/>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Modtager og afsender tabel"/>
      <w:tblDescription w:val="Denne tabel indeholder oplysninger om hhv. afsender og modtager."/>
    </w:tblPr>
    <w:tblGrid>
      <w:gridCol w:w="2976"/>
    </w:tblGrid>
    <w:tr w:rsidR="00316256" w:rsidRPr="007B2F87" w:rsidTr="00D07962">
      <w:trPr>
        <w:trHeight w:hRule="exact" w:val="3119"/>
      </w:trPr>
      <w:tc>
        <w:tcPr>
          <w:tcW w:w="2976" w:type="dxa"/>
        </w:tcPr>
        <w:p w:rsidR="00316256" w:rsidRPr="007B2F87" w:rsidRDefault="00316256" w:rsidP="007B2F87">
          <w:pPr>
            <w:rPr>
              <w:rFonts w:cs="Times New Roman"/>
            </w:rPr>
          </w:pPr>
          <w:bookmarkStart w:id="3" w:name="bmkKolofon"/>
          <w:bookmarkEnd w:id="2"/>
          <w:r w:rsidRPr="007B2F87">
            <w:rPr>
              <w:rFonts w:cs="Times New Roman"/>
            </w:rPr>
            <w:t>2. oktober 2018</w:t>
          </w:r>
        </w:p>
        <w:p w:rsidR="00316256" w:rsidRPr="007B2F87" w:rsidRDefault="00316256" w:rsidP="007B2F87">
          <w:pPr>
            <w:rPr>
              <w:rFonts w:cs="Times New Roman"/>
            </w:rPr>
          </w:pPr>
        </w:p>
        <w:p w:rsidR="00316256" w:rsidRPr="007B2F87" w:rsidRDefault="00316256" w:rsidP="007B2F87">
          <w:pPr>
            <w:rPr>
              <w:rFonts w:cs="Times New Roman"/>
            </w:rPr>
          </w:pPr>
          <w:r w:rsidRPr="007B2F87">
            <w:rPr>
              <w:rFonts w:cs="Times New Roman"/>
            </w:rPr>
            <w:t>Sagsnr.</w:t>
          </w:r>
        </w:p>
        <w:p w:rsidR="00316256" w:rsidRPr="007B2F87" w:rsidRDefault="00316256" w:rsidP="007B2F87">
          <w:pPr>
            <w:rPr>
              <w:rFonts w:cs="Times New Roman"/>
            </w:rPr>
          </w:pPr>
          <w:sdt>
            <w:sdtPr>
              <w:rPr>
                <w:rFonts w:cs="Times New Roman"/>
              </w:rPr>
              <w:tag w:val="ToCase.Name"/>
              <w:id w:val="-128794235"/>
              <w:placeholder>
                <w:docPart w:val="010A8590710646838A69A991605B3EC2"/>
              </w:placeholder>
              <w:dataBinding w:prefixMappings="xmlns:gbs='http://www.software-innovation.no/growBusinessDocument'" w:xpath="/gbs:GrowBusinessDocument/gbs:ToCase.Name[@gbs:key='10001']" w:storeItemID="{506825E8-CC84-4088-AAC6-DF5BB1EF1B74}"/>
              <w:text/>
            </w:sdtPr>
            <w:sdtContent>
              <w:r w:rsidRPr="007B2F87">
                <w:rPr>
                  <w:rFonts w:cs="Times New Roman"/>
                </w:rPr>
                <w:t>2018-0228389</w:t>
              </w:r>
            </w:sdtContent>
          </w:sdt>
        </w:p>
        <w:p w:rsidR="00316256" w:rsidRPr="007B2F87" w:rsidRDefault="00316256" w:rsidP="007B2F87">
          <w:pPr>
            <w:rPr>
              <w:rFonts w:cs="Times New Roman"/>
            </w:rPr>
          </w:pPr>
        </w:p>
        <w:p w:rsidR="00316256" w:rsidRPr="007B2F87" w:rsidRDefault="00316256" w:rsidP="007B2F87">
          <w:pPr>
            <w:rPr>
              <w:rFonts w:cs="Times New Roman"/>
            </w:rPr>
          </w:pPr>
          <w:r w:rsidRPr="007B2F87">
            <w:rPr>
              <w:rFonts w:cs="Times New Roman"/>
            </w:rPr>
            <w:t>Dokumentnr.</w:t>
          </w:r>
        </w:p>
        <w:p w:rsidR="00316256" w:rsidRPr="007B2F87" w:rsidRDefault="00316256" w:rsidP="007B2F87">
          <w:pPr>
            <w:rPr>
              <w:rFonts w:cs="Times New Roman"/>
            </w:rPr>
          </w:pPr>
          <w:sdt>
            <w:sdtPr>
              <w:rPr>
                <w:rFonts w:cs="Times New Roman"/>
              </w:rPr>
              <w:tag w:val="DocumentNumber"/>
              <w:id w:val="2065674007"/>
              <w:placeholder>
                <w:docPart w:val="6B01E6058EC74BE2AC39B7B54E6CDDEF"/>
              </w:placeholder>
              <w:dataBinding w:prefixMappings="xmlns:gbs='http://www.software-innovation.no/growBusinessDocument'" w:xpath="/gbs:GrowBusinessDocument/gbs:DocumentNumber[@gbs:key='10002']" w:storeItemID="{506825E8-CC84-4088-AAC6-DF5BB1EF1B74}"/>
              <w:text/>
            </w:sdtPr>
            <w:sdtContent>
              <w:r w:rsidRPr="007B2F87">
                <w:rPr>
                  <w:rFonts w:cs="Times New Roman"/>
                </w:rPr>
                <w:t>2018-0228389-3</w:t>
              </w:r>
            </w:sdtContent>
          </w:sdt>
        </w:p>
        <w:p w:rsidR="00316256" w:rsidRPr="007B2F87" w:rsidRDefault="00316256" w:rsidP="007B2F87">
          <w:pPr>
            <w:rPr>
              <w:rFonts w:cs="Times New Roman"/>
            </w:rPr>
          </w:pPr>
        </w:p>
        <w:p w:rsidR="00316256" w:rsidRPr="007B2F87" w:rsidRDefault="00316256" w:rsidP="007B2F87">
          <w:pPr>
            <w:rPr>
              <w:rFonts w:cs="Times New Roman"/>
            </w:rPr>
          </w:pPr>
          <w:r w:rsidRPr="007B2F87">
            <w:rPr>
              <w:rFonts w:cs="Times New Roman"/>
            </w:rPr>
            <w:t>Sagsbehandler</w:t>
          </w:r>
        </w:p>
        <w:p w:rsidR="00316256" w:rsidRPr="007B2F87" w:rsidRDefault="00316256" w:rsidP="007B2F87">
          <w:r w:rsidRPr="007B2F87">
            <w:rPr>
              <w:rFonts w:cs="Times New Roman"/>
            </w:rPr>
            <w:t>Lisa Bizzarro</w:t>
          </w:r>
        </w:p>
      </w:tc>
    </w:tr>
    <w:tr w:rsidR="00316256" w:rsidRPr="007B2F87" w:rsidTr="00D07962">
      <w:trPr>
        <w:trHeight w:hRule="exact" w:val="10603"/>
      </w:trPr>
      <w:tc>
        <w:tcPr>
          <w:tcW w:w="2976" w:type="dxa"/>
          <w:vAlign w:val="bottom"/>
        </w:tcPr>
        <w:p w:rsidR="00316256" w:rsidRPr="007B2F87" w:rsidRDefault="00316256" w:rsidP="007B2F87">
          <w:pPr>
            <w:pStyle w:val="Kolofon"/>
          </w:pPr>
          <w:r w:rsidRPr="007B2F87">
            <w:rPr>
              <w:b/>
            </w:rPr>
            <w:t>Forurenende Virksomhed</w:t>
          </w:r>
        </w:p>
        <w:p w:rsidR="00316256" w:rsidRPr="007B2F87" w:rsidRDefault="00316256" w:rsidP="007B2F87">
          <w:pPr>
            <w:pStyle w:val="Kolofon"/>
          </w:pPr>
        </w:p>
        <w:p w:rsidR="00316256" w:rsidRPr="007B2F87" w:rsidRDefault="00316256" w:rsidP="007B2F87">
          <w:pPr>
            <w:pStyle w:val="Kolofon"/>
          </w:pPr>
          <w:r w:rsidRPr="007B2F87">
            <w:t>Njalsgade 13</w:t>
          </w:r>
        </w:p>
        <w:p w:rsidR="00316256" w:rsidRPr="007B2F87" w:rsidRDefault="00316256" w:rsidP="007B2F87">
          <w:pPr>
            <w:pStyle w:val="Kolofon"/>
          </w:pPr>
          <w:r w:rsidRPr="007B2F87">
            <w:t>Postboks 380</w:t>
          </w:r>
        </w:p>
        <w:p w:rsidR="00316256" w:rsidRPr="007B2F87" w:rsidRDefault="00316256" w:rsidP="007B2F87">
          <w:pPr>
            <w:pStyle w:val="Kolofon"/>
          </w:pPr>
          <w:r w:rsidRPr="007B2F87">
            <w:t>2300 København S</w:t>
          </w:r>
        </w:p>
        <w:p w:rsidR="00316256" w:rsidRPr="007B2F87" w:rsidRDefault="00316256" w:rsidP="007B2F87">
          <w:pPr>
            <w:pStyle w:val="Kolofon"/>
          </w:pPr>
        </w:p>
        <w:p w:rsidR="00316256" w:rsidRPr="007B2F87" w:rsidRDefault="00316256" w:rsidP="007B2F87">
          <w:pPr>
            <w:pStyle w:val="Kolofon"/>
          </w:pPr>
          <w:proofErr w:type="gramStart"/>
          <w:r w:rsidRPr="007B2F87">
            <w:t>EAN nummer</w:t>
          </w:r>
          <w:proofErr w:type="gramEnd"/>
        </w:p>
        <w:p w:rsidR="00316256" w:rsidRPr="007B2F87" w:rsidRDefault="00316256" w:rsidP="007B2F87">
          <w:pPr>
            <w:pStyle w:val="Kolofon"/>
          </w:pPr>
          <w:r w:rsidRPr="007B2F87">
            <w:t>5798009809452</w:t>
          </w:r>
        </w:p>
      </w:tc>
    </w:tr>
  </w:tbl>
  <w:tbl>
    <w:tblPr>
      <w:tblStyle w:val="Tabel-Gitter"/>
      <w:tblpPr w:vertAnchor="page" w:horzAnchor="page" w:tblpX="8788" w:tblpY="88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Modtager og afsender tabel"/>
      <w:tblDescription w:val="Denne tabel indeholder oplysninger om hhv. afsender og modtager."/>
    </w:tblPr>
    <w:tblGrid>
      <w:gridCol w:w="2976"/>
    </w:tblGrid>
    <w:tr w:rsidR="00316256" w:rsidRPr="007B2F87" w:rsidTr="00FA02B6">
      <w:trPr>
        <w:trHeight w:hRule="exact" w:val="1342"/>
      </w:trPr>
      <w:tc>
        <w:tcPr>
          <w:tcW w:w="2976" w:type="dxa"/>
        </w:tcPr>
        <w:p w:rsidR="00316256" w:rsidRPr="007B2F87" w:rsidRDefault="00316256" w:rsidP="007B2F87">
          <w:pPr>
            <w:pStyle w:val="Type"/>
          </w:pPr>
          <w:bookmarkStart w:id="4" w:name="bmkNote"/>
          <w:bookmarkEnd w:id="3"/>
          <w:r w:rsidRPr="007B2F87">
            <w:t>Notat</w:t>
          </w:r>
        </w:p>
      </w:tc>
    </w:tr>
  </w:tbl>
  <w:bookmarkEnd w:id="4"/>
  <w:p w:rsidR="00316256" w:rsidRPr="007B2F87" w:rsidRDefault="00316256" w:rsidP="00A42DEF">
    <w:pPr>
      <w:rPr>
        <w:sz w:val="28"/>
        <w:szCs w:val="28"/>
      </w:rPr>
    </w:pPr>
    <w:r>
      <w:rPr>
        <w:noProof/>
        <w:sz w:val="28"/>
        <w:szCs w:val="28"/>
      </w:rPr>
      <w:drawing>
        <wp:anchor distT="0" distB="0" distL="114300" distR="114300" simplePos="0" relativeHeight="251658240" behindDoc="1" locked="0" layoutInCell="1" allowOverlap="1">
          <wp:simplePos x="0" y="0"/>
          <wp:positionH relativeFrom="page">
            <wp:posOffset>431800</wp:posOffset>
          </wp:positionH>
          <wp:positionV relativeFrom="page">
            <wp:posOffset>359410</wp:posOffset>
          </wp:positionV>
          <wp:extent cx="685800" cy="828675"/>
          <wp:effectExtent l="0" t="0" r="0" b="9525"/>
          <wp:wrapNone/>
          <wp:docPr id="19" name="Billede 19" descr="Logo" title="Logo"/>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85800" cy="828675"/>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6256" w:rsidRDefault="00316256">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6256" w:rsidRDefault="00316256">
    <w:pPr>
      <w:pStyle w:val="Sidehove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6256" w:rsidRPr="007B2F87" w:rsidRDefault="00316256" w:rsidP="00A42DEF">
    <w:pP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73B67"/>
    <w:multiLevelType w:val="hybridMultilevel"/>
    <w:tmpl w:val="D612EA58"/>
    <w:lvl w:ilvl="0" w:tplc="0924FA18">
      <w:start w:val="1"/>
      <w:numFmt w:val="decimal"/>
      <w:lvlText w:val="%1."/>
      <w:lvlJc w:val="left"/>
      <w:pPr>
        <w:ind w:left="644" w:hanging="360"/>
      </w:pPr>
      <w:rPr>
        <w:rFonts w:hint="default"/>
        <w:b w:val="0"/>
        <w:strike w:val="0"/>
      </w:rPr>
    </w:lvl>
    <w:lvl w:ilvl="1" w:tplc="04060019">
      <w:start w:val="1"/>
      <w:numFmt w:val="lowerLetter"/>
      <w:lvlText w:val="%2."/>
      <w:lvlJc w:val="left"/>
      <w:pPr>
        <w:ind w:left="1440" w:hanging="360"/>
      </w:pPr>
    </w:lvl>
    <w:lvl w:ilvl="2" w:tplc="A006869E">
      <w:numFmt w:val="bullet"/>
      <w:lvlText w:val="–"/>
      <w:lvlJc w:val="left"/>
      <w:pPr>
        <w:ind w:left="2340" w:hanging="360"/>
      </w:pPr>
      <w:rPr>
        <w:rFonts w:ascii="Times New Roman" w:eastAsia="Times New Roman" w:hAnsi="Times New Roman" w:cs="Times New Roman" w:hint="default"/>
      </w:r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2CB30F6"/>
    <w:multiLevelType w:val="hybridMultilevel"/>
    <w:tmpl w:val="D928569A"/>
    <w:lvl w:ilvl="0" w:tplc="F5AA0FA8">
      <w:start w:val="1"/>
      <w:numFmt w:val="decimal"/>
      <w:pStyle w:val="Vilkr-autonummerering"/>
      <w:lvlText w:val="1.%1."/>
      <w:lvlJc w:val="left"/>
      <w:pPr>
        <w:tabs>
          <w:tab w:val="num" w:pos="927"/>
        </w:tabs>
        <w:ind w:left="927" w:hanging="360"/>
      </w:pPr>
      <w:rPr>
        <w:rFonts w:hint="default"/>
      </w:rPr>
    </w:lvl>
    <w:lvl w:ilvl="1" w:tplc="04060011">
      <w:start w:val="1"/>
      <w:numFmt w:val="decimal"/>
      <w:pStyle w:val="Vilkr-autonummerering"/>
      <w:lvlText w:val="%2)"/>
      <w:lvlJc w:val="left"/>
      <w:pPr>
        <w:tabs>
          <w:tab w:val="num" w:pos="1647"/>
        </w:tabs>
        <w:ind w:left="1647" w:hanging="360"/>
      </w:pPr>
      <w:rPr>
        <w:rFonts w:hint="default"/>
      </w:rPr>
    </w:lvl>
    <w:lvl w:ilvl="2" w:tplc="0406001B">
      <w:start w:val="1"/>
      <w:numFmt w:val="lowerRoman"/>
      <w:lvlText w:val="%3."/>
      <w:lvlJc w:val="right"/>
      <w:pPr>
        <w:tabs>
          <w:tab w:val="num" w:pos="2367"/>
        </w:tabs>
        <w:ind w:left="2367" w:hanging="180"/>
      </w:pPr>
    </w:lvl>
    <w:lvl w:ilvl="3" w:tplc="0406000F" w:tentative="1">
      <w:start w:val="1"/>
      <w:numFmt w:val="decimal"/>
      <w:lvlText w:val="%4."/>
      <w:lvlJc w:val="left"/>
      <w:pPr>
        <w:tabs>
          <w:tab w:val="num" w:pos="3087"/>
        </w:tabs>
        <w:ind w:left="3087" w:hanging="360"/>
      </w:pPr>
    </w:lvl>
    <w:lvl w:ilvl="4" w:tplc="04060019" w:tentative="1">
      <w:start w:val="1"/>
      <w:numFmt w:val="lowerLetter"/>
      <w:lvlText w:val="%5."/>
      <w:lvlJc w:val="left"/>
      <w:pPr>
        <w:tabs>
          <w:tab w:val="num" w:pos="3807"/>
        </w:tabs>
        <w:ind w:left="3807" w:hanging="360"/>
      </w:pPr>
    </w:lvl>
    <w:lvl w:ilvl="5" w:tplc="0406001B" w:tentative="1">
      <w:start w:val="1"/>
      <w:numFmt w:val="lowerRoman"/>
      <w:lvlText w:val="%6."/>
      <w:lvlJc w:val="right"/>
      <w:pPr>
        <w:tabs>
          <w:tab w:val="num" w:pos="4527"/>
        </w:tabs>
        <w:ind w:left="4527" w:hanging="180"/>
      </w:pPr>
    </w:lvl>
    <w:lvl w:ilvl="6" w:tplc="0406000F" w:tentative="1">
      <w:start w:val="1"/>
      <w:numFmt w:val="decimal"/>
      <w:lvlText w:val="%7."/>
      <w:lvlJc w:val="left"/>
      <w:pPr>
        <w:tabs>
          <w:tab w:val="num" w:pos="5247"/>
        </w:tabs>
        <w:ind w:left="5247" w:hanging="360"/>
      </w:pPr>
    </w:lvl>
    <w:lvl w:ilvl="7" w:tplc="04060019" w:tentative="1">
      <w:start w:val="1"/>
      <w:numFmt w:val="lowerLetter"/>
      <w:lvlText w:val="%8."/>
      <w:lvlJc w:val="left"/>
      <w:pPr>
        <w:tabs>
          <w:tab w:val="num" w:pos="5967"/>
        </w:tabs>
        <w:ind w:left="5967" w:hanging="360"/>
      </w:pPr>
    </w:lvl>
    <w:lvl w:ilvl="8" w:tplc="0406001B" w:tentative="1">
      <w:start w:val="1"/>
      <w:numFmt w:val="lowerRoman"/>
      <w:lvlText w:val="%9."/>
      <w:lvlJc w:val="right"/>
      <w:pPr>
        <w:tabs>
          <w:tab w:val="num" w:pos="6687"/>
        </w:tabs>
        <w:ind w:left="6687" w:hanging="180"/>
      </w:pPr>
    </w:lvl>
  </w:abstractNum>
  <w:abstractNum w:abstractNumId="2" w15:restartNumberingAfterBreak="0">
    <w:nsid w:val="1F5B1E50"/>
    <w:multiLevelType w:val="hybridMultilevel"/>
    <w:tmpl w:val="4FDC292C"/>
    <w:lvl w:ilvl="0" w:tplc="0409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3" w15:restartNumberingAfterBreak="0">
    <w:nsid w:val="1F6D61AF"/>
    <w:multiLevelType w:val="hybridMultilevel"/>
    <w:tmpl w:val="FB2E976C"/>
    <w:lvl w:ilvl="0" w:tplc="B052EB36">
      <w:start w:val="1"/>
      <w:numFmt w:val="upperLetter"/>
      <w:lvlText w:val="(%1)"/>
      <w:lvlJc w:val="left"/>
      <w:pPr>
        <w:ind w:left="833" w:hanging="360"/>
      </w:pPr>
      <w:rPr>
        <w:rFonts w:hint="default"/>
        <w:i/>
      </w:rPr>
    </w:lvl>
    <w:lvl w:ilvl="1" w:tplc="04060019" w:tentative="1">
      <w:start w:val="1"/>
      <w:numFmt w:val="lowerLetter"/>
      <w:lvlText w:val="%2."/>
      <w:lvlJc w:val="left"/>
      <w:pPr>
        <w:ind w:left="1553" w:hanging="360"/>
      </w:pPr>
    </w:lvl>
    <w:lvl w:ilvl="2" w:tplc="0406001B" w:tentative="1">
      <w:start w:val="1"/>
      <w:numFmt w:val="lowerRoman"/>
      <w:lvlText w:val="%3."/>
      <w:lvlJc w:val="right"/>
      <w:pPr>
        <w:ind w:left="2273" w:hanging="180"/>
      </w:pPr>
    </w:lvl>
    <w:lvl w:ilvl="3" w:tplc="0406000F" w:tentative="1">
      <w:start w:val="1"/>
      <w:numFmt w:val="decimal"/>
      <w:lvlText w:val="%4."/>
      <w:lvlJc w:val="left"/>
      <w:pPr>
        <w:ind w:left="2993" w:hanging="360"/>
      </w:pPr>
    </w:lvl>
    <w:lvl w:ilvl="4" w:tplc="04060019" w:tentative="1">
      <w:start w:val="1"/>
      <w:numFmt w:val="lowerLetter"/>
      <w:lvlText w:val="%5."/>
      <w:lvlJc w:val="left"/>
      <w:pPr>
        <w:ind w:left="3713" w:hanging="360"/>
      </w:pPr>
    </w:lvl>
    <w:lvl w:ilvl="5" w:tplc="0406001B" w:tentative="1">
      <w:start w:val="1"/>
      <w:numFmt w:val="lowerRoman"/>
      <w:lvlText w:val="%6."/>
      <w:lvlJc w:val="right"/>
      <w:pPr>
        <w:ind w:left="4433" w:hanging="180"/>
      </w:pPr>
    </w:lvl>
    <w:lvl w:ilvl="6" w:tplc="0406000F" w:tentative="1">
      <w:start w:val="1"/>
      <w:numFmt w:val="decimal"/>
      <w:lvlText w:val="%7."/>
      <w:lvlJc w:val="left"/>
      <w:pPr>
        <w:ind w:left="5153" w:hanging="360"/>
      </w:pPr>
    </w:lvl>
    <w:lvl w:ilvl="7" w:tplc="04060019" w:tentative="1">
      <w:start w:val="1"/>
      <w:numFmt w:val="lowerLetter"/>
      <w:lvlText w:val="%8."/>
      <w:lvlJc w:val="left"/>
      <w:pPr>
        <w:ind w:left="5873" w:hanging="360"/>
      </w:pPr>
    </w:lvl>
    <w:lvl w:ilvl="8" w:tplc="0406001B" w:tentative="1">
      <w:start w:val="1"/>
      <w:numFmt w:val="lowerRoman"/>
      <w:lvlText w:val="%9."/>
      <w:lvlJc w:val="right"/>
      <w:pPr>
        <w:ind w:left="6593" w:hanging="180"/>
      </w:pPr>
    </w:lvl>
  </w:abstractNum>
  <w:abstractNum w:abstractNumId="4" w15:restartNumberingAfterBreak="0">
    <w:nsid w:val="21113FAF"/>
    <w:multiLevelType w:val="hybridMultilevel"/>
    <w:tmpl w:val="C13A63E2"/>
    <w:lvl w:ilvl="0" w:tplc="2D52F50A">
      <w:start w:val="1"/>
      <w:numFmt w:val="decimal"/>
      <w:pStyle w:val="Punkt"/>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2AE831CC"/>
    <w:multiLevelType w:val="hybridMultilevel"/>
    <w:tmpl w:val="23442BC2"/>
    <w:lvl w:ilvl="0" w:tplc="1812B54C">
      <w:start w:val="1"/>
      <w:numFmt w:val="decimal"/>
      <w:lvlText w:val="(%1)"/>
      <w:lvlJc w:val="left"/>
      <w:pPr>
        <w:tabs>
          <w:tab w:val="num" w:pos="1134"/>
        </w:tabs>
        <w:ind w:left="1134" w:hanging="360"/>
      </w:pPr>
      <w:rPr>
        <w:i/>
        <w:vertAlign w:val="superscript"/>
      </w:rPr>
    </w:lvl>
    <w:lvl w:ilvl="1" w:tplc="04060019">
      <w:start w:val="1"/>
      <w:numFmt w:val="decimal"/>
      <w:lvlText w:val="%2."/>
      <w:lvlJc w:val="left"/>
      <w:pPr>
        <w:tabs>
          <w:tab w:val="num" w:pos="1440"/>
        </w:tabs>
        <w:ind w:left="1440" w:hanging="360"/>
      </w:pPr>
    </w:lvl>
    <w:lvl w:ilvl="2" w:tplc="0406001B">
      <w:start w:val="1"/>
      <w:numFmt w:val="decimal"/>
      <w:lvlText w:val="%3."/>
      <w:lvlJc w:val="left"/>
      <w:pPr>
        <w:tabs>
          <w:tab w:val="num" w:pos="2160"/>
        </w:tabs>
        <w:ind w:left="2160" w:hanging="360"/>
      </w:pPr>
    </w:lvl>
    <w:lvl w:ilvl="3" w:tplc="0406000F">
      <w:start w:val="1"/>
      <w:numFmt w:val="decimal"/>
      <w:lvlText w:val="%4."/>
      <w:lvlJc w:val="left"/>
      <w:pPr>
        <w:tabs>
          <w:tab w:val="num" w:pos="2880"/>
        </w:tabs>
        <w:ind w:left="2880" w:hanging="360"/>
      </w:pPr>
    </w:lvl>
    <w:lvl w:ilvl="4" w:tplc="04060019">
      <w:start w:val="1"/>
      <w:numFmt w:val="decimal"/>
      <w:lvlText w:val="%5."/>
      <w:lvlJc w:val="left"/>
      <w:pPr>
        <w:tabs>
          <w:tab w:val="num" w:pos="3600"/>
        </w:tabs>
        <w:ind w:left="3600" w:hanging="360"/>
      </w:pPr>
    </w:lvl>
    <w:lvl w:ilvl="5" w:tplc="0406001B">
      <w:start w:val="1"/>
      <w:numFmt w:val="decimal"/>
      <w:lvlText w:val="%6."/>
      <w:lvlJc w:val="left"/>
      <w:pPr>
        <w:tabs>
          <w:tab w:val="num" w:pos="4320"/>
        </w:tabs>
        <w:ind w:left="4320" w:hanging="360"/>
      </w:pPr>
    </w:lvl>
    <w:lvl w:ilvl="6" w:tplc="0406000F">
      <w:start w:val="1"/>
      <w:numFmt w:val="decimal"/>
      <w:lvlText w:val="%7."/>
      <w:lvlJc w:val="left"/>
      <w:pPr>
        <w:tabs>
          <w:tab w:val="num" w:pos="5040"/>
        </w:tabs>
        <w:ind w:left="5040" w:hanging="360"/>
      </w:pPr>
    </w:lvl>
    <w:lvl w:ilvl="7" w:tplc="04060019">
      <w:start w:val="1"/>
      <w:numFmt w:val="decimal"/>
      <w:lvlText w:val="%8."/>
      <w:lvlJc w:val="left"/>
      <w:pPr>
        <w:tabs>
          <w:tab w:val="num" w:pos="5760"/>
        </w:tabs>
        <w:ind w:left="5760" w:hanging="360"/>
      </w:pPr>
    </w:lvl>
    <w:lvl w:ilvl="8" w:tplc="0406001B">
      <w:start w:val="1"/>
      <w:numFmt w:val="decimal"/>
      <w:lvlText w:val="%9."/>
      <w:lvlJc w:val="left"/>
      <w:pPr>
        <w:tabs>
          <w:tab w:val="num" w:pos="6480"/>
        </w:tabs>
        <w:ind w:left="6480" w:hanging="360"/>
      </w:pPr>
    </w:lvl>
  </w:abstractNum>
  <w:abstractNum w:abstractNumId="6" w15:restartNumberingAfterBreak="0">
    <w:nsid w:val="2B285644"/>
    <w:multiLevelType w:val="hybridMultilevel"/>
    <w:tmpl w:val="4816F43E"/>
    <w:lvl w:ilvl="0" w:tplc="04090001">
      <w:start w:val="1"/>
      <w:numFmt w:val="bullet"/>
      <w:lvlText w:val=""/>
      <w:lvlJc w:val="left"/>
      <w:pPr>
        <w:ind w:left="1429" w:hanging="360"/>
      </w:pPr>
      <w:rPr>
        <w:rFonts w:ascii="Symbol" w:hAnsi="Symbol" w:hint="default"/>
      </w:rPr>
    </w:lvl>
    <w:lvl w:ilvl="1" w:tplc="04060003" w:tentative="1">
      <w:start w:val="1"/>
      <w:numFmt w:val="bullet"/>
      <w:lvlText w:val="o"/>
      <w:lvlJc w:val="left"/>
      <w:pPr>
        <w:ind w:left="2149" w:hanging="360"/>
      </w:pPr>
      <w:rPr>
        <w:rFonts w:ascii="Courier New" w:hAnsi="Courier New" w:cs="Courier New" w:hint="default"/>
      </w:rPr>
    </w:lvl>
    <w:lvl w:ilvl="2" w:tplc="04060005" w:tentative="1">
      <w:start w:val="1"/>
      <w:numFmt w:val="bullet"/>
      <w:lvlText w:val=""/>
      <w:lvlJc w:val="left"/>
      <w:pPr>
        <w:ind w:left="2869" w:hanging="360"/>
      </w:pPr>
      <w:rPr>
        <w:rFonts w:ascii="Wingdings" w:hAnsi="Wingdings" w:hint="default"/>
      </w:rPr>
    </w:lvl>
    <w:lvl w:ilvl="3" w:tplc="04060001" w:tentative="1">
      <w:start w:val="1"/>
      <w:numFmt w:val="bullet"/>
      <w:lvlText w:val=""/>
      <w:lvlJc w:val="left"/>
      <w:pPr>
        <w:ind w:left="3589" w:hanging="360"/>
      </w:pPr>
      <w:rPr>
        <w:rFonts w:ascii="Symbol" w:hAnsi="Symbol" w:hint="default"/>
      </w:rPr>
    </w:lvl>
    <w:lvl w:ilvl="4" w:tplc="04060003" w:tentative="1">
      <w:start w:val="1"/>
      <w:numFmt w:val="bullet"/>
      <w:lvlText w:val="o"/>
      <w:lvlJc w:val="left"/>
      <w:pPr>
        <w:ind w:left="4309" w:hanging="360"/>
      </w:pPr>
      <w:rPr>
        <w:rFonts w:ascii="Courier New" w:hAnsi="Courier New" w:cs="Courier New" w:hint="default"/>
      </w:rPr>
    </w:lvl>
    <w:lvl w:ilvl="5" w:tplc="04060005" w:tentative="1">
      <w:start w:val="1"/>
      <w:numFmt w:val="bullet"/>
      <w:lvlText w:val=""/>
      <w:lvlJc w:val="left"/>
      <w:pPr>
        <w:ind w:left="5029" w:hanging="360"/>
      </w:pPr>
      <w:rPr>
        <w:rFonts w:ascii="Wingdings" w:hAnsi="Wingdings" w:hint="default"/>
      </w:rPr>
    </w:lvl>
    <w:lvl w:ilvl="6" w:tplc="04060001" w:tentative="1">
      <w:start w:val="1"/>
      <w:numFmt w:val="bullet"/>
      <w:lvlText w:val=""/>
      <w:lvlJc w:val="left"/>
      <w:pPr>
        <w:ind w:left="5749" w:hanging="360"/>
      </w:pPr>
      <w:rPr>
        <w:rFonts w:ascii="Symbol" w:hAnsi="Symbol" w:hint="default"/>
      </w:rPr>
    </w:lvl>
    <w:lvl w:ilvl="7" w:tplc="04060003" w:tentative="1">
      <w:start w:val="1"/>
      <w:numFmt w:val="bullet"/>
      <w:lvlText w:val="o"/>
      <w:lvlJc w:val="left"/>
      <w:pPr>
        <w:ind w:left="6469" w:hanging="360"/>
      </w:pPr>
      <w:rPr>
        <w:rFonts w:ascii="Courier New" w:hAnsi="Courier New" w:cs="Courier New" w:hint="default"/>
      </w:rPr>
    </w:lvl>
    <w:lvl w:ilvl="8" w:tplc="04060005" w:tentative="1">
      <w:start w:val="1"/>
      <w:numFmt w:val="bullet"/>
      <w:lvlText w:val=""/>
      <w:lvlJc w:val="left"/>
      <w:pPr>
        <w:ind w:left="7189" w:hanging="360"/>
      </w:pPr>
      <w:rPr>
        <w:rFonts w:ascii="Wingdings" w:hAnsi="Wingdings" w:hint="default"/>
      </w:rPr>
    </w:lvl>
  </w:abstractNum>
  <w:abstractNum w:abstractNumId="7" w15:restartNumberingAfterBreak="0">
    <w:nsid w:val="2D99757B"/>
    <w:multiLevelType w:val="hybridMultilevel"/>
    <w:tmpl w:val="79286056"/>
    <w:lvl w:ilvl="0" w:tplc="0409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51DB7AE8"/>
    <w:multiLevelType w:val="hybridMultilevel"/>
    <w:tmpl w:val="23028D62"/>
    <w:lvl w:ilvl="0" w:tplc="0924FA18">
      <w:start w:val="1"/>
      <w:numFmt w:val="decimal"/>
      <w:lvlText w:val="%1."/>
      <w:lvlJc w:val="left"/>
      <w:pPr>
        <w:ind w:left="644" w:hanging="360"/>
      </w:pPr>
      <w:rPr>
        <w:rFonts w:hint="default"/>
        <w:b w:val="0"/>
        <w:strike w:val="0"/>
      </w:rPr>
    </w:lvl>
    <w:lvl w:ilvl="1" w:tplc="04060019">
      <w:start w:val="1"/>
      <w:numFmt w:val="lowerLetter"/>
      <w:lvlText w:val="%2."/>
      <w:lvlJc w:val="left"/>
      <w:pPr>
        <w:ind w:left="1440" w:hanging="360"/>
      </w:pPr>
    </w:lvl>
    <w:lvl w:ilvl="2" w:tplc="A006869E">
      <w:numFmt w:val="bullet"/>
      <w:lvlText w:val="–"/>
      <w:lvlJc w:val="left"/>
      <w:pPr>
        <w:ind w:left="2340" w:hanging="360"/>
      </w:pPr>
      <w:rPr>
        <w:rFonts w:ascii="Times New Roman" w:eastAsia="Times New Roman" w:hAnsi="Times New Roman" w:cs="Times New Roman" w:hint="default"/>
      </w:r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62DA0668"/>
    <w:multiLevelType w:val="hybridMultilevel"/>
    <w:tmpl w:val="0918171A"/>
    <w:lvl w:ilvl="0" w:tplc="0409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76D33E72"/>
    <w:multiLevelType w:val="hybridMultilevel"/>
    <w:tmpl w:val="C62C2A18"/>
    <w:lvl w:ilvl="0" w:tplc="0409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928"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7"/>
  </w:num>
  <w:num w:numId="5">
    <w:abstractNumId w:val="10"/>
  </w:num>
  <w:num w:numId="6">
    <w:abstractNumId w:val="9"/>
  </w:num>
  <w:num w:numId="7">
    <w:abstractNumId w:val="2"/>
  </w:num>
  <w:num w:numId="8">
    <w:abstractNumId w:val="6"/>
  </w:num>
  <w:num w:numId="9">
    <w:abstractNumId w:val="8"/>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30106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Notat_eDoc.dotm"/>
    <w:docVar w:name="CreatedWithDtVersion" w:val="1.9.818"/>
    <w:docVar w:name="DocumentCreated" w:val="DocumentCreated"/>
    <w:docVar w:name="DocumentCreatedOK" w:val="DocumentCreatedOK"/>
    <w:docVar w:name="DocumentInitialized" w:val="OK"/>
    <w:docVar w:name="DTInsertedLogoName" w:val="Picture 1"/>
    <w:docVar w:name="dtLanguage" w:val="da-DK"/>
    <w:docVar w:name="Encrypted_DialogFieldValue_caseno" w:val="YpuP+z3wlwIMdjXaIhAPBcWqXPdqwrMFzrLYuA6dmHe/Jt1S21kHeFrCuLVhL8xS"/>
    <w:docVar w:name="Encrypted_DialogFieldValue_docheader" w:val="YpuP+z3wlwIMdjXaIhAPBdi6aV8p/m4erQ15RHEtfFUgGkwSblhI7/mttboUTHnBu4br+1EnHcKemu2a7ENFjYSP0ZgC1yhbTjEBguzP1a4="/>
    <w:docVar w:name="Encrypted_DialogFieldValue_documentdate" w:val="J0T9LOANJ7n3fhH4qA+FUg=="/>
    <w:docVar w:name="Encrypted_DialogFieldValue_documentno" w:val="YpuP+z3wlwIMdjXaIhAPBffiqrpcNoIj6GDnv1mODb/NR5Au09uC9Yxs3Ou7WWAL"/>
    <w:docVar w:name="Encrypted_DialogFieldValue_senderaddress" w:val="iIwOVev6JEniIvcBr6hLtg=="/>
    <w:docVar w:name="Encrypted_DialogFieldValue_sendercenter" w:val="V9ag2ty/2lLjYOAyeH9UoOCwcnRg8mZu90MvcmsPxWw="/>
    <w:docVar w:name="Encrypted_DialogFieldValue_sendercity" w:val="B1NGpNEp3xZB3XkzYp9kPQ=="/>
    <w:docVar w:name="Encrypted_DialogFieldValue_senderean" w:val="k+bY+1GSgDZP+1ysn6oRng=="/>
    <w:docVar w:name="Encrypted_DialogFieldValue_senderemaildir" w:val="6lPVUn3YJ0lhImQfdjuQTQ=="/>
    <w:docVar w:name="Encrypted_DialogFieldValue_sendermanagement" w:val="R8ffIVg/5SO8M2ogIGPXUxiyRM6XMcbWuR8WOW9UBX4="/>
    <w:docVar w:name="Encrypted_DialogFieldValue_sendermobile" w:val="uxtxJfYKSyE2h8Z2+tbrAg=="/>
    <w:docVar w:name="Encrypted_DialogFieldValue_sendername" w:val="iCwbyZZRkBKXamfikHHbvg=="/>
    <w:docVar w:name="Encrypted_DialogFieldValue_senderposition" w:val="6dnFMesYPclE5k5kwy09anm9gXN4Mc/PvSauWLO2siI="/>
    <w:docVar w:name="Encrypted_DialogFieldValue_senderpostalcode" w:val="2ECnOTX9Le3HWKwqsoFHhw=="/>
    <w:docVar w:name="Encrypted_DialogFieldValue_senderpostbox" w:val="fZFQaGQfzx6VNTv4vcfZjg=="/>
    <w:docVar w:name="Encrypted_DialogFieldValue_senderunit" w:val="ASyq6JOVqECHzzPz/fxHr1rSyX699qlud6QUiHRqSyA="/>
    <w:docVar w:name="Encrypted_DocCaseNo" w:val="wL8QEKnpWNHeOjB1i+aJyw=="/>
    <w:docVar w:name="Encrypted_DocHeader" w:val="pGun4x/TCYi/LKAleDOqAWE8VHtKu9RdbGWude+Am9h6w8o8Wyr4K7gT7sa0ycuw9prAZNmIQQljTDw8d4I10A=="/>
    <w:docVar w:name="Encrypted_eDocDataCadastralNo" w:val="4SpNyWXqItFP+qXTiJRYu0eiQ0U5krXWybAQRP2msVfzu/+0TezfBF974YlQIBC8IaojrFWO4TCuvTDNaYgvhMgzzqB9xjdLzrHhfsv4px4/lJ0wh5Svr547KGOYxj98FfmhA3sEbR+dVpWl4TrUzj2BuLE9ssjg4QgxwwxB7xvdKvSa0FmmmrZy8kH6uOX3/LyU2tmGoSbmElpFzayy6GgQMV+F3wgujvfKyAiTyHz/sWjdq5uDPmFq+AVkH9qgOea+T8ZW6fWEuE7zInOwU984PAPj9b+hd6bM3uZdXR0NwVR3SDIU2CsspFOiws6oD0TO2mxeNy1mtea4OaJAhVW9h+/Ox+gUKBFwPMXKSUqOFMOgsnmweuHCChiyf3sb"/>
    <w:docVar w:name="Encrypted_eDocDataDocCaseNo" w:val="4SpNyWXqItFP+qXTiJRYu0eiQ0U5krXWybAQRP2msVd2zQom+g4Nd4vICKnsm57DGn0DYmLdQdgKTM6NSxOnbp5y4bdCMCc8ljjUj8u1MXmISRkmacGAfjvIrd5sDKqN1z3cofbq+zkPiUGu//QggLBdhHRNZZ2N4wGk6rLanNhjOjYMiovKTlaufX+wzd6XzT3EeaXOaHtpT6MkDA9EwN/0qjgKV200xuiHb9XI+zuBptlU+5iit67rZHCXdLJeu8WN34iThS8wl4k5b/RernRdqAJHPBnp57dQQUrSQW7CGf06GFboGGV+pa0TUV7ZwWdQ/26I9AjOOf3mZxndAVsfJixlAApZlDFUxkwgOHM="/>
    <w:docVar w:name="Encrypted_eDocDataDocHeader" w:val="4SpNyWXqItFP+qXTiJRYu0eiQ0U5krXWybAQRP2msVfZe5afrPbY8Rm+RRutV5gCtn+bqEBDBeRLAcSExJ/HSCFgK2doztCSu1oPG3rvcXNnpYdi3tliND5lYSAiLReAqXXkVloRSNqifHFgTxEZOtelaT5avJb3dW1GK4EaJfWQpailkx9Kd3f4BtU5vk4SIa3oRVjo8qcWWbbOLH4UXvFuVVurVuBCvIUry9JQUZIZB88TsziJIek5geROWr+wxmhYMZUsXmjhrbr+gsoIO+f2X4LY3jLNIbxYV9wI35jLHJ8DzxY1fkCwdV5OA8OBlIfiPfITMfgSh/qbpiKCRKk7GxPkz//egF7X1y6SPUtTDupeftbo4oo6xDuQVM/0j8kMiVlkJSQr7sQGQ6u6XA=="/>
    <w:docVar w:name="Encrypted_eDocDataDocNo" w:val="4SpNyWXqItFP+qXTiJRYu0eiQ0U5krXWybAQRP2msVd2zQom+g4Nd4vICKnsm57DojwHnmbXjyCO0GNH3YnHDlveAyJYesGrXhvrFCmJBHk0SU4fH9ZLrrV8NYF6yOM+yeuysk82r7xh0y++Ocuwz4Rn5aMCGvUe6ybt9Pc5Cy8ojhMZHrXVreZ/pzQ1LAw5wVAP2MPfJEleDBkDWWCy/3ESNjjYl89VuFBP++e/tPWyzmlhk6wFIe7nYHcpS+LtgRBpqpke45v0578xonYqiwyac7tFmcp8QUBZMTra2KqcEK9nbiu3m0xoYVbJUrmd3EQZcErd5js0//ZRuGHwegHDUDTpwBE8HauBrpQa4tUZpOqdAantWXWEp6ETiu43"/>
    <w:docVar w:name="Encrypted_eDocDataDocumentCaseWorker" w:val="4SpNyWXqItFP+qXTiJRYu0eiQ0U5krXWybAQRP2msVdvL2SQrGl9z0IULowACaAYhfuDxOgguHrwf/ay48AAY3h20Xl4wwDHRl5Jv+NrEyvgGBMrvghjrGw0sXqz6ZOfJAlxUk8w5+9x/9Vnb4Sahe1Z7WVKVjfsi8VQU0cQdyaQRrp1OZz1n3y5foOwREb/n3OxvuNH+qK0iMOIHQxkvlvgGPKtQtffBas/y1xGAuGULy2821WF1HQ3MSdEhIM633OgYH2/Tix1P0D7qVYLkQd4CEOyWIH7J4a1VdP2FN9qPMkflCocclRIASgLu90v4O1AGoKDY15Z+pET42on0h7sonqTRSRrB8wpL7tD5kY="/>
    <w:docVar w:name="Encrypted_eDocDataDocumentCreator" w:val="4SpNyWXqItFP+qXTiJRYu0eiQ0U5krXWybAQRP2msVdvL2SQrGl9z0IULowACaAYhfuDxOgguHrwf/ay48AAY3h20Xl4wwDHRl5Jv+NrEyvgGBMrvghjrGw0sXqz6ZOfOGDd6fp+8ZKzCv1N3ilK/ivqIvBaf0sg8y/UbNsgF3CCAp3B9QSYEI/pb/uYWPkA6T1aEWp4dBEmf6LYVR8L8NwFLgQyuW80rcVf7CXyESMxU3IxDcdu5Ut/910a+EwvF31OwhRIKviBBQ9uDHJVatL3fzAhIK+j13FyXgRDZhOWIhUTyVDMWjAGCGNcUa51uMV2SjxRXTTuQ5cYJ3y0q9w6aQ5ekWiSJSIXPGMLP24fGsK0ZMPPPWHMEr6c3Xqu"/>
    <w:docVar w:name="Encrypted_eDocDataDokumentetsModerprojektNavn" w:val="4SpNyWXqItFP+qXTiJRYu0eiQ0U5krXWybAQRP2msVdY7wbbQ4Wddrcf58sBhDPIouhOs5bZxMnMAhwCpJYYyyzvXDImPWhSdxsSI6Nn5QvcAp0bbWZvR6aWERlCrrX04qvB3e5Rs1wGjJviR3VsDfo4yVO04IszDPMfyjQSrBd9NhDu+upti9CPoP/Sp9Q501NslPVQVK0aKlgI5Vizidj5ccteH22FmYGexeN4tIxvbEhxMhkKIOuojA6KFnfmFgI4QcVHVEiWMtp+1XPhQsTsIBpbWINufoT1lX/zJMZclygMXHPBpDjoX2gd899ROIQS0ce/U7AdkmS0NabwSPN5UL+uBVcp28rshOwG9+THJNDPoQsPqy0HuiwkmcAI"/>
    <w:docVar w:name="Encrypted_eDocDataDokumentetsModerProjektNr" w:val="4SpNyWXqItFP+qXTiJRYu0eiQ0U5krXWybAQRP2msVdY7wbbQ4Wddrcf58sBhDPIouhOs5bZxMnMAhwCpJYYyyzvXDImPWhSdxsSI6Nn5QvcAp0bbWZvR6aWERlCrrX0oxBq3D7Gzdu5HUGklv8LzykaDAbsRKzLLQbmBnVrGkbf8SMfQy421MHLSGiSWRJF1cIENWJjz4E5qwQSl02+s8+ll/7cm28ohqxezBwqAAp3Ka6IGWPis56QES8jCias+p79AG3FFnoZNODmPooTU7UojNAyrK4KGXmXEhlC4TUhKed6W5CIarCteYeaBpmTKGm6puKIY86ftnhu/rJNHHjzziQlT3BZ/QTQBchg+R4="/>
    <w:docVar w:name="Encrypted_eDocDataDokumentetsProjektSagsbehandler" w:val="4SpNyWXqItFP+qXTiJRYu0eiQ0U5krXWybAQRP2msVdY7wbbQ4Wddrcf58sBhDPIouhOs5bZxMnMAhwCpJYYyyzvXDImPWhSdxsSI6Nn5QvcAp0bbWZvR6aWERlCrrX0Y7Td3TEe7m23VPS7hAzgbPu+uHrEEpST5D/OZnd2okkcKqRTyfzkldUc8M4wgTzVpt56oEAUatXO+7Mvxyprj42REQFIZDW2IdG8mzp0N/lRTFzFQo+pwubURewBRWmU++NnlaRSMbNJLTXnc/wRMwOwsTX9uUwwL7yORuq/CvY0DH3hvm3dlPz7cKhbKhqzQXhpGRyr7B9ait5oja+cry/F2CEhiFcbZm0zZSIHBc8="/>
    <w:docVar w:name="Encrypted_eDocDataDokumentetsProjektTitel" w:val="4SpNyWXqItFP+qXTiJRYu0eiQ0U5krXWybAQRP2msVdY7wbbQ4Wddrcf58sBhDPIouhOs5bZxMnMAhwCpJYYyyzvXDImPWhSdxsSI6Nn5QvcAp0bbWZvR6aWERlCrrX0KA8YJYuWjPFVLLH2Od55coNV8N75z0V/fQipj8hD/6+snzzyY7c6uMitDadCYiha2FyIg4A++Pdywk56Gu7rrxpPlrRWQm0t6RdoBgmIpVqRFrYQ1UFpMPsVwNkoOX46g/nyXddHVGw/iHXgTFVusrxtOMLuy0w1UgT89HYXtpnVGyQLNTDz9uaxgv6D+8BpkVGNX7QdeDWk2A45gKe79pcvGTWJOZMv55ey2RmiY8A="/>
    <w:docVar w:name="Encrypted_eDocDataProjectNo" w:val="4SpNyWXqItFP+qXTiJRYu0eiQ0U5krXWybAQRP2msVdY7wbbQ4Wddrcf58sBhDPIouhOs5bZxMnMAhwCpJYYyyzvXDImPWhSdxsSI6Nn5QvcAp0bbWZvR6aWERlCrrX0yCdxhDZpiwD4HCSsap5tG79j1tpVWloUvo0RjXgnGnPqApeLBAHf2jic4rzIaTAW4x+K06w2VYwgvkx6ZR7ih3PtH/HA1jAT45/ZdICQk+dBtBk6Gvy+LwEQ+efdsHv7p+wdgDnEOZAiWxeZSKbZ7Jcjd1QHUtkd9k7FmRlFYHPIDKriiGifoAYX6NSarfQq0Yqy+L84FJEluPY5Td53GgCH9+2ru9IOhnnHkP7p0T8="/>
    <w:docVar w:name="Encrypted_eDocDataPropertyNo" w:val="4SpNyWXqItFP+qXTiJRYu0eiQ0U5krXWybAQRP2msVeZIvKg0wkVeRUp7fkCZDmOzWOUqSpNWRukOfJd4jwEr8f0vB//CFzhtf8oxSf5DqUnkwzWh2F4FwgG8NA+oeBcGiKB4oNUhalM/3Er+HvXuzMbi0tewkLNYkY0z8wrKECOUHHiVOBcn0rDwdN8S4tRoMv8m+6/ziolghXgZhOyIFZDv4tjqTZqTP0beA65eHtxvIQSNtr2yepDGU5EH0IybDPFlg23CDsuBvqRbAaXVD9U+DybJSbPetvZDRlVdczRmCeJSLbw2rD8mrc/9c1N7DZ+qMHDh1s5D0JWCWl7YEaQXYI9SXU3rG6brJGP3/jeOFGUmMxN3rh8OdHRS/RHQSoJIRd/qMWroN+IggBanw=="/>
    <w:docVar w:name="Encrypted_eDocDataReceiverAddress" w:val="4SpNyWXqItFP+qXTiJRYu0eiQ0U5krXWybAQRP2msVdW7S/bBEl7rGQCMHehjx4vAUJbBLqLRPF60kNgZjmC45CjgeGQuikFpvkOgOfEgPEpFBJsGHr3fYM6siQ3YOtJ8vm/V/CMwIvLpqbg+vbuyn5Hft+Zt9Tthc1Sb67SdxDXAY8HJmhJP7rQ+K+jsVdZ173X6tyt7UlbFIPBlaz3UEl4W8vR7CbLG0Q7tmbd7ptysDjeUmOb1xo6ZGUqoBn2Wc5EltLQhvxQnjiNihkpfnBh6E6/MhgXYgoaHwILO53lSsVeVxajnyl7l8XtKLLkFuWiGGaIbgnpLgmQgYO36C+BYoG7T9wCAOKdlkFX3bXKkQJTDjwBj4oH8/YjKuSv"/>
    <w:docVar w:name="Encrypted_eDocDataReceiverCity" w:val="4SpNyWXqItFP+qXTiJRYu0eiQ0U5krXWybAQRP2msVfO2P6RhfiZNv0Itg0oHxDHgtK6AN12OJzwMXao9dFUyxvj41aGD2ByveP6mMK9Bl7Gzz+rJenfcZpl25S+SnO2xw1kMxigOI6DUo58YveF8XHUGxu2sA3kL9Bwj69YRwJBYEs+0bfNHwhbUrc6xHQJhlLAjwtZH4mLvdj7DOLDw5lZ/TcmLHxWTIFMEqBWn0EW0MhpBO/OON4m5F+RRe5mId6GK0DWJsnyC9h+8tToTyPmE05Hb5fEn05oAcIZh0YmhfYaQEZ3rqOHAA4PqxLx8n4Jh44n7kE9jxDgxjuZkB/B8x9eeSkOfyAVz/etVZmlqtkp2oHMvjgw0lFwUIPQ"/>
    <w:docVar w:name="Encrypted_eDocDataReceiverName" w:val="4SpNyWXqItFP+qXTiJRYu0eiQ0U5krXWybAQRP2msVflH85s1r2Y1yFk1XR47gRiC8h+LYh1RMPfhNpo0F7dA4HJcbOHyvSMz4yTRfGT0KR8LDBPpDsYAfDFh7+A/fPcjnAM3U8yS0V84SLC3ceBdj9AUiURrkkuJHjQrWbZtVsqnoETC7ufVlByfg22fvpBWfI0LJH9KwO3NIZw4Us90lGp9wUK947vfer7BbhGkncB3awLOOTrF4LKh84a4e6SnYFgIgCnHS8PFt1wNuGyr4lWHfjDYxhFYaMRslsYNg6T4PB3qdDcxBAa1fCHEpB5qFSiQvCAQCqIrXeaPHPDSRzlR9qMxWjwqlhANlarAnYP3UckRQDIMRUT1BoIIVKT"/>
    <w:docVar w:name="Encrypted_eDocDataReceiverReference" w:val="4SpNyWXqItFP+qXTiJRYu0eiQ0U5krXWybAQRP2msVe+OjBqrEyiwCOO3SNVJ8Rh1ftFeJ5OsnlYxhyUFjuYpHRJdM4vfvsBdo1fXZU3UQUiY4eGwTkdlBCUSaRWWsQj/DMOqfF3qznexxqd6DsbswiFt0/htlRzY+YULcK7fd3aM92KKTRqUX2TzL7s7+d8IAenrbLB0W50ElQe7M5WySJlyO+nXPZnkLcnr9Cl7mfPszyDgFK3ZqvpcqHQzfFF1LZg8nEyoeimtOIN1pxCULJESLvRCpzRvej6ssa+uUBPLDM6p2IssMq5YZYn+C6GRi0L2Mif3W78xmEUoNIqWOgJon+PYksN6ZSDoVwLEo+6HWGfYoOKcCUa5Utan6tK0nNPD+nWd04LJ4aj+DJ4Mg=="/>
    <w:docVar w:name="Encrypted_eDocDataSagensKontaktAdresse" w:val="4SpNyWXqItFP+qXTiJRYu0eiQ0U5krXWybAQRP2msVdW7S/bBEl7rGQCMHehjx4vAUJbBLqLRPF60kNgZjmC45CjgeGQuikFpvkOgOfEgPFjX43obZShcyumAbM0DDGK+cqEwJMvE6My/Exx3tt4YXhLFzxPpBCLJC/KfvYoAjSYigTx9cJHIsQ4uECIq7qkIQfFys+dCnbsldR50+NJWp/5LSYmVr5RWllk7nYihxiS3pRuzWQWhkyr9YjLVaqFTazf1SblSuUPPPoaJ9pzOS346T1jxr+EMhaP0GoLO/+YZFYgjIRENu5PXFI2dm8ST7TPpgK2xgwODKkBTGSdZ/AA0DsISgJiRthkM6FWhn0sQkxevmLdksA3bvbL5180"/>
    <w:docVar w:name="Encrypted_eDocDataSagensKontaktBy" w:val="4SpNyWXqItFP+qXTiJRYu0eiQ0U5krXWybAQRP2msVfO2P6RhfiZNv0Itg0oHxDHgtK6AN12OJzwMXao9dFUyxvj41aGD2ByveP6mMK9Bl7Gzz+rJenfcZpl25S+SnO2sejHD17NMUUFUEb5L6gYKETU0+eMQ/XbFecG5NC8wy6ApLiwfMfEq5djE8+Ld60iA0OXHvw8YzHx9YymsqDJcfyE1WW4I9jbq9M+5oAZWlaUqdX1hDWeGsk+J5YGLaFWn1eJlVHO20stMMSr8gW9I16uuKtTrdQUN+2dQXFaiT2ikEuZfa+xqNnozH+lJ1F7Zfj0YHwVfP1HPLpaDgzmOc58ShF2jJHNWdo58NPhCImv+HbPizONPjAQesjSP12V"/>
    <w:docVar w:name="Encrypted_eDocDataSagensKontaktCPR" w:val="4SpNyWXqItFP+qXTiJRYu0eiQ0U5krXWybAQRP2msVe+OjBqrEyiwCOO3SNVJ8Rh1ftFeJ5OsnlYxhyUFjuYpHRJdM4vfvsBdo1fXZU3UQUkDWcnGNJNRhQ7Tl27SlRm3IMFZi5/q+dcWe9XTA3etmPcKn/JVHpTzpB2P6D5inm8jc4pXvwxx9LX9r3sOfaIOnSJqE4Q2ZJnd/qqbzlULrKcBaddxEzgXsizooML7ePDKu3g8hFDVy8r98eqVIvVnNKT+Fm1REQDh7qLikAOELorcjmyqPE2w2kDY4bX3PcPikQTTOe/H2OaDHi77911qsfB7uVBg+MmXUA8H3wUJz0blCIst8vN0mLTmbNhmX8TpgdpgdAByClCPeLVFfBBsoQUjBABEHLI1nQyG245CQ=="/>
    <w:docVar w:name="Encrypted_eDocDataSagensKontaktNavn" w:val="4SpNyWXqItFP+qXTiJRYu0eiQ0U5krXWybAQRP2msVdjRwe5If5UaU/Xf5RRrxWer9hfiLCnVYaPEsvQH3oW3yDZ2FY2/LdI2OIOVqufsFl9BOf+HEd5kjS6bzJ0D8nPhPdRkgbxgFtSRTdVfMfF172wJCxdD/tXMBzcP2XTu3XO5XRisrB+v0s9k6TDGGvawtQYRPUmi77XPIzzXa2Y7TypiXtt/KGO8q4tv3RS/Ju/huMy2WIfG8rivyDBwIidV77Vwb2prWAhwZWh6fUjiJ3Q1JeR1Tel2DQtW9GXW999AWSJTwUJv2mcip8JLy79Ya7CCzeFVaXPCLJ/SQy0lo4/hjKVk1NhZjDCuD/CD3tRnKI6tNLxAY0tnhJsQVx3"/>
    <w:docVar w:name="Encrypted_eDocDataSagensKontaktPostnr" w:val="4SpNyWXqItFP+qXTiJRYu0eiQ0U5krXWybAQRP2msVcPsNQc4Zu82ZwsvdSSkOkR1tbzlb8ZPxdgU/PxQl21pHhRe+0f7XSY+b2mkAY8FiNDzSEpm/lgtM/8z6hCIl+OUo4Afcq1jik9zN7Vo7IdNL8Q81d6jMCiNkopX/fa22neP6yuV4ZNmbJAEA+b1raPHfMu38FnIu0ZmbB0UhbQOwOMwZMnIlDlUcG3FMMqYVFLAd8VcadOQOfdlYG7NWUpIACuG+Cte45sKl8R6w5KxXgOaHhNdHVciApPj2zuVjsjfl2XdaRRCnchBJL/EpLh9JRKmoBA9lK5SESPhmuu+l+uDpb+lAaeue4wNurEH0XuZCsIZUF+A3hMfllqcwtA"/>
    <w:docVar w:name="Encrypted_eDocDataSagensKontaktPostnrBy" w:val="4SpNyWXqItFP+qXTiJRYu0eiQ0U5krXWybAQRP2msVe5OUDTwpZ9FoY2A6j2zq/7bXT82ovAE//ll6Eza6aiJoFUhvk0/+d7a3QYzzwmkOt+MzVCW08v1VeAcqM38hBEcVaKOekLwkHmqEHD04RGKPbvwGGYfwXPQ828E/vQ6JcuGR6OggSDxz21m+GJ0BmEDbKpI2gDYFtrDycr0b/Rxnwjuqyf4RTaJR3SuuT4J31NaMZ1uPt5N6EDynUkJsx60bNiu0pC9yABHanbSUViC5D9ILw0UEFLaIYYb7cIlBLDFUg8W2b/PyzmfiD2zLTIQdDikhZ3yPiYc58AH6rFiVH5ZboIvBMQ0KWSofXYRokS5IWHI2VG+S6Ks8zzfehy"/>
    <w:docVar w:name="Encrypted_eDocDataSagensModerprojektNavn" w:val="4SpNyWXqItFP+qXTiJRYu0eiQ0U5krXWybAQRP2msVdY7wbbQ4Wddrcf58sBhDPIouhOs5bZxMnMAhwCpJYYyyzvXDImPWhSdxsSI6Nn5Qto9NhnRw0eq0NM3sk7LEROeqH4N9yMNRlXlRlRT9Iygo0ILYySSRlg39AyzZSEheCxQVilH9YRNLxeLN6rCsztHKVEGx+hgIuloDYq4Srpb0SKIzprE+jWuf+2XIYD0ob4CiNe9q2uu4KPjpvL1Ig8lXXxjYeSrNTG7ZsMyoHvX+4KTpnLbRTAn/VuD9Uv9i//Vjd6DlbxVWFUk7/YcXFWol4z3MeIDdFKQ0tcC9xYD9Bq6yuw+iBjbXvmUoX6zXwr8hPH9FRqgQQby71UxH/9"/>
    <w:docVar w:name="Encrypted_eDocDataSagensModerprojektNr" w:val="4SpNyWXqItFP+qXTiJRYu0eiQ0U5krXWybAQRP2msVdY7wbbQ4Wddrcf58sBhDPIouhOs5bZxMnMAhwCpJYYyyzvXDImPWhSdxsSI6Nn5Qto9NhnRw0eq0NM3sk7LEROApvA5sf2WFyBoJrT1cID2k3vnOwGnFDMyws9k53EZubkcKvZwA5Kv3L0X941bQi51KbEsD5WFNEzsJvYe7ypf9RxL4TEAQ+9d1X3GLx7NTJYWMiKZVMtvr6GnQblIx7j3L9XcpUBRsyA6ihzNkTeSO2BjmGdymeU2JToup7BxVxQUFVz9uSf5WtUVYUDM73hFfixOxkHx5y94iSAZmWna90WG4iqFoclJmOoif8JEeTAWlyVL+clVmlqc8N/zsrq"/>
    <w:docVar w:name="Encrypted_eDocDataSagensProjektnummer" w:val="4SpNyWXqItFP+qXTiJRYu0eiQ0U5krXWybAQRP2msVdY7wbbQ4Wddrcf58sBhDPIouhOs5bZxMnMAhwCpJYYyyzvXDImPWhSdxsSI6Nn5Qto9NhnRw0eq0NM3sk7LEROE3SLG1uWLMHCG+bd0+ImDGWRC6oOyOR/LLxK9RdatJoOTyVwsY/+bS5uk6Sn9ETtZHkBw7iPVVctG/KSgLM+uLhiXoj2rhFpKCbT3nO9cejrpgUIVbXa59TrZ/1FL8SB/uuQXjKbhRFjNO9LXzLtiuOOYEUArH7kWc7qvWb2MM0bhbfw8O6Sj415mcqxsojY7XKBJqYKRJKG/kSvOiW8u8g2pHF/+k33oghQ04EUpXU="/>
    <w:docVar w:name="Encrypted_eDocDataSagensProjektSagsbehandler" w:val="4SpNyWXqItFP+qXTiJRYu0eiQ0U5krXWybAQRP2msVdY7wbbQ4Wddrcf58sBhDPIouhOs5bZxMnMAhwCpJYYyyzvXDImPWhSdxsSI6Nn5Qto9NhnRw0eq0NM3sk7LEROSdzAtdg9bbiI2xGfiJ3MvThT21kvuwMRu9I5jJGEDDDEU6eej+S1hmWD1301C728qERPiSWQ8tcAQSvnHEBUy/MYSez3T4P/ZW3Qh5SNXYtBBFllqYPa6NciciNPm/eepwhghEv0yZKmtAh5zRDvIdLLsxaxAlDS7jlw46n+AiEEv6ZC1zXqu2aznhien1AudkOsTqOpqyh4uoWGLMJ4NygJrYSnXyfMeUnCBEt2BCtBjBx+MuLBOLaU+7YDmvAx"/>
    <w:docVar w:name="Encrypted_eDocDataSagensProjektTitel" w:val="4SpNyWXqItFP+qXTiJRYu0eiQ0U5krXWybAQRP2msVdY7wbbQ4Wddrcf58sBhDPIouhOs5bZxMnMAhwCpJYYyyzvXDImPWhSdxsSI6Nn5Qto9NhnRw0eq0NM3sk7LERO4WsJ87BCQ6Z4Qt94LOwxr+WWp+SUWsPKqqbFpn58+29YhZK5/30nyX3FKCzG7ZKPEQ9+wtYO6IDYYD2Pc5LELhHsCjeE3AxwcssbgaiudHN5nHCj3h+IRbzy7H/kTd2wAZsbEgHRXtANh6sDy5zg1g45JDupsHtJ1KTS212NO0ltliZTMTo0GfFnrLgbWIWsYiW0Jvq3Kgaovi6FYaEL5rqsxMHaVsBnc1qLMn6QO5P+xLX62uErwmcJenUhTh6R"/>
    <w:docVar w:name="Encrypted_eDocDataSagenssagsbehandler" w:val="4SpNyWXqItFP+qXTiJRYu0eiQ0U5krXWybAQRP2msVdvL2SQrGl9z0IULowACaAYhfuDxOgguHrwf/ay48AAY3h20Xl4wwDHRl5Jv+NrEyvgGBMrvghjrGw0sXqz6ZOfzQ9rwFsAsfVtiamd+b98gSC90tMNEQmriZVlsvM5AVXRqPmFgDUtxUsCUHmgd74VeSM3LO6bwLTKj51leeIyVCt+3VjTfhqwLuVk0qHkQK87iavyouwFf+X2X/MI3pC0eK4redw6fGEKoRdXwTow4vfDiapN54tiWe4pDbfIUwLbXXOD0e0P/H6IHzruF/PQ04Wcut87oF3yAT7upeOrrKMwGIDY0pBtOA5CyDX/9iw7cQhA3r5Kou+eqKVXK1Bt"/>
    <w:docVar w:name="Encrypted_eDocDataSagensTitel" w:val="4SpNyWXqItFP+qXTiJRYu0eiQ0U5krXWybAQRP2msVc884lxDX7rCOR3yWzseTfYCgIkWJSYLnLKLaSyjO4Cpr2cQfGHxs0d+YG7SRyOt6dyUh5nyuq9KmPhWNM2Amju+eYkXKs65hoi8pHjfPBUZQJtY5RMBbChZ8D7lhErPFPxOyoxxrmzSIkGZncVdgtaMStCOfEWfBTSjTMyA2kewNuho6DCz3seuwmU9g8Wo0EJKTxeUhxsyXQ9nM/+3QH9DISWs+lg6n7tOmu0GRI+F8gxzpGZNjV05C8emLIQ0ZNtyt5UXBWl/ViS/Z+oq572IrTao7uEcUIRzOv3WGvdFSyP66SPTg0G3eiHDprGlenQEpY8r0ClsguvNHmLLieQ6ipEjFn801W7ZUBvLhBEUIavXbVU2k11j9hnkFX1hHXoLPo2P/vLpUueeiNlUbNQjSMI+sgR94f4YVsmv3nSldbbidULchHIadyq2ubijX4="/>
    <w:docVar w:name="Encrypted_eDocDataSagsopretter" w:val="4SpNyWXqItFP+qXTiJRYu0eiQ0U5krXWybAQRP2msVekpht4xOhR3HELoJjyaylIxvmfa9BaT/tfTSemCTfPvRPvFvvZwn73RiDvdVnWXv1whA0L5DXaZlcpYN4gqfy78masUsidgTzPP51YvvYGzEYh8xnXUQg2apm/a03Nf+gqf7Dedl6aPGV7QcFrlJ+2VXOLRXs4dYzw12nynOiZQVNf24dYwVaDnzr//UQAoPQCqneCy8UzqJ/ET71EuDPEIA9+6XXE6DN4MJc5BYncsIXu7pOwFJ0PPzRsgELS46twi/BjdU2wAKf+3BUkv50kh6tQdhNSPhcPssP9/j1BEix1WkIqQG3VvMjCKguOTuQkpL2cgp9ny5bEYZBawmW0qZMraO/8/q/LiVy8c18jug=="/>
    <w:docVar w:name="IntegrationType" w:val="EDoc"/>
  </w:docVars>
  <w:rsids>
    <w:rsidRoot w:val="00EA25C3"/>
    <w:rsid w:val="00004AA3"/>
    <w:rsid w:val="00004F78"/>
    <w:rsid w:val="00013EA4"/>
    <w:rsid w:val="00014751"/>
    <w:rsid w:val="00014A0A"/>
    <w:rsid w:val="00023F51"/>
    <w:rsid w:val="00027C81"/>
    <w:rsid w:val="000304AC"/>
    <w:rsid w:val="00033891"/>
    <w:rsid w:val="00035465"/>
    <w:rsid w:val="0004385B"/>
    <w:rsid w:val="0004516D"/>
    <w:rsid w:val="00053DF0"/>
    <w:rsid w:val="0006150E"/>
    <w:rsid w:val="00067F4E"/>
    <w:rsid w:val="00083C31"/>
    <w:rsid w:val="00084FB3"/>
    <w:rsid w:val="000900FD"/>
    <w:rsid w:val="00094B58"/>
    <w:rsid w:val="00097FC7"/>
    <w:rsid w:val="000A06BE"/>
    <w:rsid w:val="000A0A49"/>
    <w:rsid w:val="000A37B0"/>
    <w:rsid w:val="000A3E38"/>
    <w:rsid w:val="000A70B5"/>
    <w:rsid w:val="000B2218"/>
    <w:rsid w:val="000C2392"/>
    <w:rsid w:val="000C565C"/>
    <w:rsid w:val="000C5D00"/>
    <w:rsid w:val="000D05A2"/>
    <w:rsid w:val="000D0A4A"/>
    <w:rsid w:val="000D115A"/>
    <w:rsid w:val="000D37E5"/>
    <w:rsid w:val="000F1D4D"/>
    <w:rsid w:val="000F7F64"/>
    <w:rsid w:val="001018AE"/>
    <w:rsid w:val="001025F1"/>
    <w:rsid w:val="00111B40"/>
    <w:rsid w:val="00122947"/>
    <w:rsid w:val="00127F2E"/>
    <w:rsid w:val="00130DA6"/>
    <w:rsid w:val="00132880"/>
    <w:rsid w:val="00140279"/>
    <w:rsid w:val="001467C7"/>
    <w:rsid w:val="00157883"/>
    <w:rsid w:val="00162522"/>
    <w:rsid w:val="00174155"/>
    <w:rsid w:val="00180324"/>
    <w:rsid w:val="00183DD3"/>
    <w:rsid w:val="001940DA"/>
    <w:rsid w:val="001952BE"/>
    <w:rsid w:val="00197BA9"/>
    <w:rsid w:val="001A2DCF"/>
    <w:rsid w:val="001A5E82"/>
    <w:rsid w:val="001C1494"/>
    <w:rsid w:val="001C5C28"/>
    <w:rsid w:val="001C752F"/>
    <w:rsid w:val="001D4C45"/>
    <w:rsid w:val="001D5F6D"/>
    <w:rsid w:val="001F1102"/>
    <w:rsid w:val="001F2CC6"/>
    <w:rsid w:val="002038F3"/>
    <w:rsid w:val="00213029"/>
    <w:rsid w:val="00216319"/>
    <w:rsid w:val="00216866"/>
    <w:rsid w:val="00217239"/>
    <w:rsid w:val="0023418B"/>
    <w:rsid w:val="00242B2A"/>
    <w:rsid w:val="00243E8D"/>
    <w:rsid w:val="002446B8"/>
    <w:rsid w:val="00247E20"/>
    <w:rsid w:val="00250E2D"/>
    <w:rsid w:val="00253E7A"/>
    <w:rsid w:val="0025606C"/>
    <w:rsid w:val="002672B5"/>
    <w:rsid w:val="002867D6"/>
    <w:rsid w:val="00286C88"/>
    <w:rsid w:val="00287F78"/>
    <w:rsid w:val="00291C7F"/>
    <w:rsid w:val="00293628"/>
    <w:rsid w:val="002A6120"/>
    <w:rsid w:val="002B099A"/>
    <w:rsid w:val="002B5410"/>
    <w:rsid w:val="002B65D2"/>
    <w:rsid w:val="002C14DA"/>
    <w:rsid w:val="002C3F7F"/>
    <w:rsid w:val="002C5EC3"/>
    <w:rsid w:val="002D4AEF"/>
    <w:rsid w:val="00300B16"/>
    <w:rsid w:val="00304EA2"/>
    <w:rsid w:val="00310F3F"/>
    <w:rsid w:val="00316256"/>
    <w:rsid w:val="003224BD"/>
    <w:rsid w:val="00332004"/>
    <w:rsid w:val="00332DD4"/>
    <w:rsid w:val="00341D36"/>
    <w:rsid w:val="00342ADF"/>
    <w:rsid w:val="00357F5B"/>
    <w:rsid w:val="00375AA8"/>
    <w:rsid w:val="00380D5E"/>
    <w:rsid w:val="00383D23"/>
    <w:rsid w:val="00384425"/>
    <w:rsid w:val="00397E5F"/>
    <w:rsid w:val="003A60E3"/>
    <w:rsid w:val="003B0EDE"/>
    <w:rsid w:val="003B48C5"/>
    <w:rsid w:val="003C052E"/>
    <w:rsid w:val="003C05B9"/>
    <w:rsid w:val="003C17C4"/>
    <w:rsid w:val="003D09DF"/>
    <w:rsid w:val="003D105A"/>
    <w:rsid w:val="003D1DA8"/>
    <w:rsid w:val="003D3E52"/>
    <w:rsid w:val="003E0167"/>
    <w:rsid w:val="003E38B9"/>
    <w:rsid w:val="003F19EB"/>
    <w:rsid w:val="003F5357"/>
    <w:rsid w:val="003F537D"/>
    <w:rsid w:val="003F715A"/>
    <w:rsid w:val="0040143E"/>
    <w:rsid w:val="004022F2"/>
    <w:rsid w:val="00411EF9"/>
    <w:rsid w:val="0041231D"/>
    <w:rsid w:val="004127DF"/>
    <w:rsid w:val="0042390A"/>
    <w:rsid w:val="00443032"/>
    <w:rsid w:val="00447B60"/>
    <w:rsid w:val="00451C3C"/>
    <w:rsid w:val="00453D00"/>
    <w:rsid w:val="004604BD"/>
    <w:rsid w:val="0047573F"/>
    <w:rsid w:val="00476531"/>
    <w:rsid w:val="00477464"/>
    <w:rsid w:val="004800F3"/>
    <w:rsid w:val="004827CC"/>
    <w:rsid w:val="00487831"/>
    <w:rsid w:val="00493743"/>
    <w:rsid w:val="00495ED9"/>
    <w:rsid w:val="00496DDF"/>
    <w:rsid w:val="004A42F9"/>
    <w:rsid w:val="004A5B98"/>
    <w:rsid w:val="004A6D41"/>
    <w:rsid w:val="004C2138"/>
    <w:rsid w:val="004C4C8C"/>
    <w:rsid w:val="004D48EE"/>
    <w:rsid w:val="004D72A9"/>
    <w:rsid w:val="004E2842"/>
    <w:rsid w:val="004E5DBD"/>
    <w:rsid w:val="004E5DE9"/>
    <w:rsid w:val="004F092D"/>
    <w:rsid w:val="004F4A36"/>
    <w:rsid w:val="005014E0"/>
    <w:rsid w:val="0051714E"/>
    <w:rsid w:val="00522FFD"/>
    <w:rsid w:val="005236BD"/>
    <w:rsid w:val="00525731"/>
    <w:rsid w:val="00531AEA"/>
    <w:rsid w:val="005501AF"/>
    <w:rsid w:val="00560D60"/>
    <w:rsid w:val="005624D9"/>
    <w:rsid w:val="00566D20"/>
    <w:rsid w:val="005718E9"/>
    <w:rsid w:val="0057641D"/>
    <w:rsid w:val="00580653"/>
    <w:rsid w:val="0058356B"/>
    <w:rsid w:val="00592941"/>
    <w:rsid w:val="00593890"/>
    <w:rsid w:val="00595613"/>
    <w:rsid w:val="00595903"/>
    <w:rsid w:val="005A3369"/>
    <w:rsid w:val="005A33F5"/>
    <w:rsid w:val="005A4D25"/>
    <w:rsid w:val="005C2D0A"/>
    <w:rsid w:val="005C34E9"/>
    <w:rsid w:val="005C531F"/>
    <w:rsid w:val="005C732F"/>
    <w:rsid w:val="005D4994"/>
    <w:rsid w:val="005D7E74"/>
    <w:rsid w:val="005F39B3"/>
    <w:rsid w:val="005F65B8"/>
    <w:rsid w:val="00602E62"/>
    <w:rsid w:val="006322BD"/>
    <w:rsid w:val="006405D5"/>
    <w:rsid w:val="0064400D"/>
    <w:rsid w:val="00646B17"/>
    <w:rsid w:val="006561A5"/>
    <w:rsid w:val="00656ABA"/>
    <w:rsid w:val="00656D73"/>
    <w:rsid w:val="00660155"/>
    <w:rsid w:val="00664151"/>
    <w:rsid w:val="00666516"/>
    <w:rsid w:val="00673934"/>
    <w:rsid w:val="00690D94"/>
    <w:rsid w:val="0069283A"/>
    <w:rsid w:val="00692B51"/>
    <w:rsid w:val="00693091"/>
    <w:rsid w:val="006A409C"/>
    <w:rsid w:val="006B402E"/>
    <w:rsid w:val="006B6486"/>
    <w:rsid w:val="006B688F"/>
    <w:rsid w:val="006C2796"/>
    <w:rsid w:val="006C419A"/>
    <w:rsid w:val="006C5EFF"/>
    <w:rsid w:val="006D0AC0"/>
    <w:rsid w:val="006D4B69"/>
    <w:rsid w:val="006E0998"/>
    <w:rsid w:val="006E2D6A"/>
    <w:rsid w:val="006E6646"/>
    <w:rsid w:val="006F37C6"/>
    <w:rsid w:val="006F45F9"/>
    <w:rsid w:val="00703EB1"/>
    <w:rsid w:val="00707373"/>
    <w:rsid w:val="007104C2"/>
    <w:rsid w:val="007207EC"/>
    <w:rsid w:val="00730291"/>
    <w:rsid w:val="00730F03"/>
    <w:rsid w:val="007310CC"/>
    <w:rsid w:val="00742180"/>
    <w:rsid w:val="0074345F"/>
    <w:rsid w:val="00750A92"/>
    <w:rsid w:val="00756295"/>
    <w:rsid w:val="00757F8D"/>
    <w:rsid w:val="00773DE8"/>
    <w:rsid w:val="0078196C"/>
    <w:rsid w:val="00782332"/>
    <w:rsid w:val="007831CC"/>
    <w:rsid w:val="00783689"/>
    <w:rsid w:val="00792C3E"/>
    <w:rsid w:val="00792D2E"/>
    <w:rsid w:val="0079604F"/>
    <w:rsid w:val="00796525"/>
    <w:rsid w:val="007A2DBD"/>
    <w:rsid w:val="007A55E2"/>
    <w:rsid w:val="007B0CF0"/>
    <w:rsid w:val="007B0F2E"/>
    <w:rsid w:val="007B2F87"/>
    <w:rsid w:val="007C52A5"/>
    <w:rsid w:val="007C5B2F"/>
    <w:rsid w:val="007D3337"/>
    <w:rsid w:val="007D6808"/>
    <w:rsid w:val="007D707C"/>
    <w:rsid w:val="007E1890"/>
    <w:rsid w:val="007E754C"/>
    <w:rsid w:val="007E7651"/>
    <w:rsid w:val="007F1419"/>
    <w:rsid w:val="0081117C"/>
    <w:rsid w:val="0081326D"/>
    <w:rsid w:val="00815109"/>
    <w:rsid w:val="00821191"/>
    <w:rsid w:val="00823698"/>
    <w:rsid w:val="00825B60"/>
    <w:rsid w:val="00832B91"/>
    <w:rsid w:val="00832C57"/>
    <w:rsid w:val="008330EB"/>
    <w:rsid w:val="008407B7"/>
    <w:rsid w:val="008427D7"/>
    <w:rsid w:val="008455D8"/>
    <w:rsid w:val="00845A45"/>
    <w:rsid w:val="008509C5"/>
    <w:rsid w:val="00854CC5"/>
    <w:rsid w:val="00863BBB"/>
    <w:rsid w:val="00870F56"/>
    <w:rsid w:val="00873729"/>
    <w:rsid w:val="0087665F"/>
    <w:rsid w:val="00877DA0"/>
    <w:rsid w:val="00884211"/>
    <w:rsid w:val="008874A9"/>
    <w:rsid w:val="00893AED"/>
    <w:rsid w:val="00893D9C"/>
    <w:rsid w:val="008A7425"/>
    <w:rsid w:val="008B07F5"/>
    <w:rsid w:val="008B172A"/>
    <w:rsid w:val="008B2178"/>
    <w:rsid w:val="008B2870"/>
    <w:rsid w:val="008B5CF0"/>
    <w:rsid w:val="008B796D"/>
    <w:rsid w:val="008C4161"/>
    <w:rsid w:val="008C50B4"/>
    <w:rsid w:val="008C633B"/>
    <w:rsid w:val="008E331C"/>
    <w:rsid w:val="008E3752"/>
    <w:rsid w:val="008E5BDF"/>
    <w:rsid w:val="008E722E"/>
    <w:rsid w:val="008F3609"/>
    <w:rsid w:val="00903D1F"/>
    <w:rsid w:val="00907C3D"/>
    <w:rsid w:val="009102CF"/>
    <w:rsid w:val="00911B8E"/>
    <w:rsid w:val="00917A37"/>
    <w:rsid w:val="00924C6C"/>
    <w:rsid w:val="0093285E"/>
    <w:rsid w:val="00956A0F"/>
    <w:rsid w:val="00957C13"/>
    <w:rsid w:val="00970035"/>
    <w:rsid w:val="00971D62"/>
    <w:rsid w:val="0098124D"/>
    <w:rsid w:val="009846F6"/>
    <w:rsid w:val="009966DB"/>
    <w:rsid w:val="009A1DB2"/>
    <w:rsid w:val="009A3468"/>
    <w:rsid w:val="009A7D6A"/>
    <w:rsid w:val="009B0B7F"/>
    <w:rsid w:val="009E7976"/>
    <w:rsid w:val="009F30A9"/>
    <w:rsid w:val="009F706D"/>
    <w:rsid w:val="009F7E34"/>
    <w:rsid w:val="00A067A9"/>
    <w:rsid w:val="00A07096"/>
    <w:rsid w:val="00A12CBD"/>
    <w:rsid w:val="00A16845"/>
    <w:rsid w:val="00A33726"/>
    <w:rsid w:val="00A34A66"/>
    <w:rsid w:val="00A42DEF"/>
    <w:rsid w:val="00A51B11"/>
    <w:rsid w:val="00A67E89"/>
    <w:rsid w:val="00A70A3D"/>
    <w:rsid w:val="00A7317F"/>
    <w:rsid w:val="00A7343B"/>
    <w:rsid w:val="00A90874"/>
    <w:rsid w:val="00A948E8"/>
    <w:rsid w:val="00AB09BE"/>
    <w:rsid w:val="00AB0A0E"/>
    <w:rsid w:val="00AB6EFD"/>
    <w:rsid w:val="00AE6829"/>
    <w:rsid w:val="00AF1959"/>
    <w:rsid w:val="00AF5083"/>
    <w:rsid w:val="00AF7275"/>
    <w:rsid w:val="00AF759D"/>
    <w:rsid w:val="00B12BF4"/>
    <w:rsid w:val="00B22DE9"/>
    <w:rsid w:val="00B31A7D"/>
    <w:rsid w:val="00B41D79"/>
    <w:rsid w:val="00B43CCF"/>
    <w:rsid w:val="00B46199"/>
    <w:rsid w:val="00B56394"/>
    <w:rsid w:val="00B62B41"/>
    <w:rsid w:val="00B6351E"/>
    <w:rsid w:val="00B67090"/>
    <w:rsid w:val="00B74A35"/>
    <w:rsid w:val="00B910BE"/>
    <w:rsid w:val="00B939A6"/>
    <w:rsid w:val="00BA155F"/>
    <w:rsid w:val="00BA276B"/>
    <w:rsid w:val="00BA2982"/>
    <w:rsid w:val="00BB3523"/>
    <w:rsid w:val="00BC43BE"/>
    <w:rsid w:val="00BC7669"/>
    <w:rsid w:val="00BD0C4F"/>
    <w:rsid w:val="00BD5E81"/>
    <w:rsid w:val="00BE142E"/>
    <w:rsid w:val="00BF2644"/>
    <w:rsid w:val="00BF755E"/>
    <w:rsid w:val="00C0544A"/>
    <w:rsid w:val="00C144E2"/>
    <w:rsid w:val="00C1782E"/>
    <w:rsid w:val="00C211A8"/>
    <w:rsid w:val="00C42FEA"/>
    <w:rsid w:val="00C4515C"/>
    <w:rsid w:val="00C546F2"/>
    <w:rsid w:val="00C60188"/>
    <w:rsid w:val="00C7330F"/>
    <w:rsid w:val="00C73429"/>
    <w:rsid w:val="00C75A4D"/>
    <w:rsid w:val="00C8131A"/>
    <w:rsid w:val="00C84BA1"/>
    <w:rsid w:val="00C85661"/>
    <w:rsid w:val="00C8639D"/>
    <w:rsid w:val="00C906E0"/>
    <w:rsid w:val="00C960A4"/>
    <w:rsid w:val="00CA0CA3"/>
    <w:rsid w:val="00CA23B0"/>
    <w:rsid w:val="00CB12C9"/>
    <w:rsid w:val="00CB49B2"/>
    <w:rsid w:val="00CD4A42"/>
    <w:rsid w:val="00CE4C0D"/>
    <w:rsid w:val="00CF5F41"/>
    <w:rsid w:val="00D01345"/>
    <w:rsid w:val="00D05E1B"/>
    <w:rsid w:val="00D07962"/>
    <w:rsid w:val="00D102D5"/>
    <w:rsid w:val="00D16CEF"/>
    <w:rsid w:val="00D20371"/>
    <w:rsid w:val="00D2165B"/>
    <w:rsid w:val="00D23A1D"/>
    <w:rsid w:val="00D243C8"/>
    <w:rsid w:val="00D26480"/>
    <w:rsid w:val="00D40F2E"/>
    <w:rsid w:val="00D43C5C"/>
    <w:rsid w:val="00D54556"/>
    <w:rsid w:val="00D57199"/>
    <w:rsid w:val="00D61AFD"/>
    <w:rsid w:val="00D67655"/>
    <w:rsid w:val="00D73D38"/>
    <w:rsid w:val="00D83BD8"/>
    <w:rsid w:val="00D86914"/>
    <w:rsid w:val="00D93FB9"/>
    <w:rsid w:val="00D95705"/>
    <w:rsid w:val="00DA0035"/>
    <w:rsid w:val="00DA40CD"/>
    <w:rsid w:val="00DB5158"/>
    <w:rsid w:val="00DB5F04"/>
    <w:rsid w:val="00DC4D03"/>
    <w:rsid w:val="00DD2A1F"/>
    <w:rsid w:val="00DD5282"/>
    <w:rsid w:val="00DF267A"/>
    <w:rsid w:val="00DF4BD1"/>
    <w:rsid w:val="00E05621"/>
    <w:rsid w:val="00E11D29"/>
    <w:rsid w:val="00E12BFC"/>
    <w:rsid w:val="00E14827"/>
    <w:rsid w:val="00E206CB"/>
    <w:rsid w:val="00E217A4"/>
    <w:rsid w:val="00E230EC"/>
    <w:rsid w:val="00E244B6"/>
    <w:rsid w:val="00E2758E"/>
    <w:rsid w:val="00E32BF5"/>
    <w:rsid w:val="00E343EE"/>
    <w:rsid w:val="00E358F4"/>
    <w:rsid w:val="00E52AC9"/>
    <w:rsid w:val="00E52DE3"/>
    <w:rsid w:val="00E55974"/>
    <w:rsid w:val="00E6066F"/>
    <w:rsid w:val="00E629F0"/>
    <w:rsid w:val="00E63439"/>
    <w:rsid w:val="00E72713"/>
    <w:rsid w:val="00E74238"/>
    <w:rsid w:val="00E769ED"/>
    <w:rsid w:val="00E77288"/>
    <w:rsid w:val="00E77668"/>
    <w:rsid w:val="00E819F5"/>
    <w:rsid w:val="00E81F7B"/>
    <w:rsid w:val="00E9010C"/>
    <w:rsid w:val="00E93AEB"/>
    <w:rsid w:val="00E9669B"/>
    <w:rsid w:val="00E96AFA"/>
    <w:rsid w:val="00EA25C3"/>
    <w:rsid w:val="00EA4E17"/>
    <w:rsid w:val="00EB4CD5"/>
    <w:rsid w:val="00EC463E"/>
    <w:rsid w:val="00EC73BC"/>
    <w:rsid w:val="00EC7E98"/>
    <w:rsid w:val="00EE47F9"/>
    <w:rsid w:val="00EE4FBC"/>
    <w:rsid w:val="00EF25AD"/>
    <w:rsid w:val="00EF2EE1"/>
    <w:rsid w:val="00F01536"/>
    <w:rsid w:val="00F0569C"/>
    <w:rsid w:val="00F07DBF"/>
    <w:rsid w:val="00F15084"/>
    <w:rsid w:val="00F16125"/>
    <w:rsid w:val="00F21587"/>
    <w:rsid w:val="00F23EEC"/>
    <w:rsid w:val="00F26443"/>
    <w:rsid w:val="00F33B9B"/>
    <w:rsid w:val="00F33D96"/>
    <w:rsid w:val="00F36C24"/>
    <w:rsid w:val="00F4361E"/>
    <w:rsid w:val="00F45E7C"/>
    <w:rsid w:val="00F4771A"/>
    <w:rsid w:val="00F5022A"/>
    <w:rsid w:val="00F6742F"/>
    <w:rsid w:val="00F7381A"/>
    <w:rsid w:val="00F75B9E"/>
    <w:rsid w:val="00F805E0"/>
    <w:rsid w:val="00F814DE"/>
    <w:rsid w:val="00F818C8"/>
    <w:rsid w:val="00F84332"/>
    <w:rsid w:val="00F905DA"/>
    <w:rsid w:val="00F95995"/>
    <w:rsid w:val="00F97277"/>
    <w:rsid w:val="00FA02B6"/>
    <w:rsid w:val="00FA7CCD"/>
    <w:rsid w:val="00FB0C95"/>
    <w:rsid w:val="00FC5B74"/>
    <w:rsid w:val="00FC6ACE"/>
    <w:rsid w:val="00FD1B71"/>
    <w:rsid w:val="00FD3564"/>
    <w:rsid w:val="00FD379F"/>
    <w:rsid w:val="00FD48FE"/>
    <w:rsid w:val="00FF61A4"/>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301063"/>
    <o:shapelayout v:ext="edit">
      <o:idmap v:ext="edit" data="1"/>
    </o:shapelayout>
  </w:shapeDefaults>
  <w:decimalSymbol w:val=","/>
  <w:listSeparator w:val=";"/>
  <w14:docId w14:val="1C28B8D7"/>
  <w15:docId w15:val="{B6EE16AF-78EA-402E-AB97-7BE223A34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351E"/>
    <w:pPr>
      <w:spacing w:after="0" w:line="260" w:lineRule="atLeast"/>
    </w:pPr>
    <w:rPr>
      <w:rFonts w:ascii="Times New Roman" w:hAnsi="Times New Roman"/>
      <w:sz w:val="24"/>
    </w:rPr>
  </w:style>
  <w:style w:type="paragraph" w:styleId="Overskrift1">
    <w:name w:val="heading 1"/>
    <w:basedOn w:val="Normal"/>
    <w:next w:val="Normal"/>
    <w:link w:val="Overskrift1Tegn"/>
    <w:uiPriority w:val="9"/>
    <w:qFormat/>
    <w:rsid w:val="00907C3D"/>
    <w:pPr>
      <w:spacing w:after="300"/>
      <w:outlineLvl w:val="0"/>
    </w:pPr>
    <w:rPr>
      <w:b/>
    </w:rPr>
  </w:style>
  <w:style w:type="paragraph" w:styleId="Overskrift2">
    <w:name w:val="heading 2"/>
    <w:basedOn w:val="Normal"/>
    <w:next w:val="Normal"/>
    <w:link w:val="Overskrift2Tegn"/>
    <w:uiPriority w:val="9"/>
    <w:semiHidden/>
    <w:unhideWhenUsed/>
    <w:rsid w:val="009F30A9"/>
    <w:pPr>
      <w:keepNext/>
      <w:keepLines/>
      <w:spacing w:after="200" w:line="240" w:lineRule="auto"/>
      <w:outlineLvl w:val="1"/>
    </w:pPr>
    <w:rPr>
      <w:rFonts w:eastAsiaTheme="majorEastAsia" w:cstheme="majorBidi"/>
      <w:bCs/>
      <w:szCs w:val="26"/>
      <w:u w:val="singl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DF4BD1"/>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F4BD1"/>
    <w:rPr>
      <w:rFonts w:ascii="Tahoma" w:hAnsi="Tahoma" w:cs="Tahoma"/>
      <w:color w:val="003F75"/>
      <w:sz w:val="16"/>
      <w:szCs w:val="16"/>
    </w:rPr>
  </w:style>
  <w:style w:type="paragraph" w:styleId="Sidehoved">
    <w:name w:val="header"/>
    <w:basedOn w:val="Normal"/>
    <w:link w:val="SidehovedTegn"/>
    <w:uiPriority w:val="99"/>
    <w:unhideWhenUsed/>
    <w:rsid w:val="00291C7F"/>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291C7F"/>
    <w:rPr>
      <w:rFonts w:ascii="Georgia" w:hAnsi="Georgia"/>
      <w:sz w:val="20"/>
    </w:rPr>
  </w:style>
  <w:style w:type="paragraph" w:styleId="Sidefod">
    <w:name w:val="footer"/>
    <w:basedOn w:val="Normal"/>
    <w:link w:val="SidefodTegn"/>
    <w:uiPriority w:val="99"/>
    <w:unhideWhenUsed/>
    <w:rsid w:val="00291C7F"/>
    <w:pPr>
      <w:tabs>
        <w:tab w:val="center" w:pos="4819"/>
        <w:tab w:val="right" w:pos="9638"/>
      </w:tabs>
      <w:spacing w:line="240" w:lineRule="auto"/>
    </w:pPr>
  </w:style>
  <w:style w:type="character" w:customStyle="1" w:styleId="SidefodTegn">
    <w:name w:val="Sidefod Tegn"/>
    <w:basedOn w:val="Standardskrifttypeiafsnit"/>
    <w:link w:val="Sidefod"/>
    <w:uiPriority w:val="99"/>
    <w:rsid w:val="00291C7F"/>
    <w:rPr>
      <w:rFonts w:ascii="Georgia" w:hAnsi="Georgia"/>
      <w:sz w:val="20"/>
    </w:rPr>
  </w:style>
  <w:style w:type="table" w:styleId="Tabel-Gitter">
    <w:name w:val="Table Grid"/>
    <w:basedOn w:val="Tabel-Normal"/>
    <w:uiPriority w:val="59"/>
    <w:rsid w:val="00291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9F30A9"/>
    <w:rPr>
      <w:color w:val="808080"/>
    </w:rPr>
  </w:style>
  <w:style w:type="character" w:customStyle="1" w:styleId="Overskrift1Tegn">
    <w:name w:val="Overskrift 1 Tegn"/>
    <w:basedOn w:val="Standardskrifttypeiafsnit"/>
    <w:link w:val="Overskrift1"/>
    <w:uiPriority w:val="9"/>
    <w:rsid w:val="00907C3D"/>
    <w:rPr>
      <w:rFonts w:ascii="Times New Roman" w:hAnsi="Times New Roman"/>
      <w:b/>
      <w:sz w:val="24"/>
    </w:rPr>
  </w:style>
  <w:style w:type="character" w:customStyle="1" w:styleId="Overskrift2Tegn">
    <w:name w:val="Overskrift 2 Tegn"/>
    <w:basedOn w:val="Standardskrifttypeiafsnit"/>
    <w:link w:val="Overskrift2"/>
    <w:uiPriority w:val="9"/>
    <w:semiHidden/>
    <w:rsid w:val="009F30A9"/>
    <w:rPr>
      <w:rFonts w:ascii="Georgia" w:eastAsiaTheme="majorEastAsia" w:hAnsi="Georgia" w:cstheme="majorBidi"/>
      <w:bCs/>
      <w:sz w:val="20"/>
      <w:szCs w:val="26"/>
      <w:u w:val="single"/>
    </w:rPr>
  </w:style>
  <w:style w:type="character" w:styleId="Kommentarhenvisning">
    <w:name w:val="annotation reference"/>
    <w:basedOn w:val="Standardskrifttypeiafsnit"/>
    <w:uiPriority w:val="99"/>
    <w:unhideWhenUsed/>
    <w:rsid w:val="00873729"/>
    <w:rPr>
      <w:sz w:val="16"/>
      <w:szCs w:val="16"/>
    </w:rPr>
  </w:style>
  <w:style w:type="paragraph" w:styleId="Kommentartekst">
    <w:name w:val="annotation text"/>
    <w:basedOn w:val="Normal"/>
    <w:link w:val="KommentartekstTegn"/>
    <w:uiPriority w:val="99"/>
    <w:unhideWhenUsed/>
    <w:rsid w:val="00873729"/>
    <w:pPr>
      <w:spacing w:line="240" w:lineRule="auto"/>
    </w:pPr>
    <w:rPr>
      <w:szCs w:val="20"/>
    </w:rPr>
  </w:style>
  <w:style w:type="character" w:customStyle="1" w:styleId="KommentartekstTegn">
    <w:name w:val="Kommentartekst Tegn"/>
    <w:basedOn w:val="Standardskrifttypeiafsnit"/>
    <w:link w:val="Kommentartekst"/>
    <w:uiPriority w:val="99"/>
    <w:rsid w:val="00873729"/>
    <w:rPr>
      <w:rFonts w:ascii="Georgia" w:hAnsi="Georgia"/>
      <w:sz w:val="20"/>
      <w:szCs w:val="20"/>
    </w:rPr>
  </w:style>
  <w:style w:type="paragraph" w:styleId="Kommentaremne">
    <w:name w:val="annotation subject"/>
    <w:basedOn w:val="Kommentartekst"/>
    <w:next w:val="Kommentartekst"/>
    <w:link w:val="KommentaremneTegn"/>
    <w:uiPriority w:val="99"/>
    <w:semiHidden/>
    <w:unhideWhenUsed/>
    <w:rsid w:val="00873729"/>
    <w:rPr>
      <w:b/>
      <w:bCs/>
    </w:rPr>
  </w:style>
  <w:style w:type="character" w:customStyle="1" w:styleId="KommentaremneTegn">
    <w:name w:val="Kommentaremne Tegn"/>
    <w:basedOn w:val="KommentartekstTegn"/>
    <w:link w:val="Kommentaremne"/>
    <w:uiPriority w:val="99"/>
    <w:semiHidden/>
    <w:rsid w:val="00873729"/>
    <w:rPr>
      <w:rFonts w:ascii="Georgia" w:hAnsi="Georgia"/>
      <w:b/>
      <w:bCs/>
      <w:sz w:val="20"/>
      <w:szCs w:val="20"/>
    </w:rPr>
  </w:style>
  <w:style w:type="paragraph" w:customStyle="1" w:styleId="Default">
    <w:name w:val="Default"/>
    <w:rsid w:val="00B43CCF"/>
    <w:pPr>
      <w:autoSpaceDE w:val="0"/>
      <w:autoSpaceDN w:val="0"/>
      <w:adjustRightInd w:val="0"/>
      <w:spacing w:after="0" w:line="240" w:lineRule="auto"/>
    </w:pPr>
    <w:rPr>
      <w:rFonts w:ascii="Segoe UI" w:hAnsi="Segoe UI" w:cs="Segoe UI"/>
      <w:color w:val="000000"/>
      <w:sz w:val="24"/>
      <w:szCs w:val="24"/>
    </w:rPr>
  </w:style>
  <w:style w:type="paragraph" w:customStyle="1" w:styleId="KommuneTekst">
    <w:name w:val="KommuneTekst"/>
    <w:basedOn w:val="Normal"/>
    <w:rsid w:val="00F23EEC"/>
    <w:rPr>
      <w:rFonts w:ascii="Gill Sans MT" w:hAnsi="Gill Sans MT"/>
      <w:b/>
      <w:caps/>
      <w:color w:val="092869"/>
      <w:sz w:val="20"/>
    </w:rPr>
  </w:style>
  <w:style w:type="paragraph" w:customStyle="1" w:styleId="ForvaltningCenter">
    <w:name w:val="ForvaltningCenter"/>
    <w:basedOn w:val="Normal"/>
    <w:rsid w:val="00F23EEC"/>
    <w:rPr>
      <w:rFonts w:ascii="Gill Sans MT" w:hAnsi="Gill Sans MT"/>
      <w:color w:val="092869"/>
      <w:sz w:val="20"/>
    </w:rPr>
  </w:style>
  <w:style w:type="paragraph" w:customStyle="1" w:styleId="Kolofon">
    <w:name w:val="Kolofon"/>
    <w:basedOn w:val="Normal"/>
    <w:rsid w:val="00773DE8"/>
    <w:rPr>
      <w:rFonts w:ascii="Gill Sans MT" w:hAnsi="Gill Sans MT"/>
      <w:sz w:val="20"/>
    </w:rPr>
  </w:style>
  <w:style w:type="paragraph" w:customStyle="1" w:styleId="KolofonEnhed">
    <w:name w:val="KolofonEnhed"/>
    <w:basedOn w:val="Kolofon"/>
    <w:rsid w:val="00595613"/>
    <w:rPr>
      <w:b/>
    </w:rPr>
  </w:style>
  <w:style w:type="paragraph" w:customStyle="1" w:styleId="Sidenummer">
    <w:name w:val="Sidenummer"/>
    <w:basedOn w:val="Normal"/>
    <w:rsid w:val="00C0544A"/>
    <w:rPr>
      <w:rFonts w:ascii="Gill Sans MT" w:hAnsi="Gill Sans MT"/>
      <w:sz w:val="20"/>
    </w:rPr>
  </w:style>
  <w:style w:type="paragraph" w:customStyle="1" w:styleId="Type">
    <w:name w:val="Type"/>
    <w:basedOn w:val="KolofonEnhed"/>
    <w:rsid w:val="00217239"/>
    <w:rPr>
      <w:caps/>
    </w:rPr>
  </w:style>
  <w:style w:type="paragraph" w:customStyle="1" w:styleId="Punkt">
    <w:name w:val="Punkt"/>
    <w:basedOn w:val="Normal"/>
    <w:qFormat/>
    <w:rsid w:val="009A7D6A"/>
    <w:pPr>
      <w:numPr>
        <w:numId w:val="1"/>
      </w:numPr>
      <w:spacing w:after="240"/>
      <w:ind w:left="357" w:hanging="357"/>
    </w:pPr>
  </w:style>
  <w:style w:type="paragraph" w:customStyle="1" w:styleId="KKadresse">
    <w:name w:val="KK_adresse"/>
    <w:basedOn w:val="Normal"/>
    <w:rsid w:val="007B2F87"/>
    <w:pPr>
      <w:spacing w:after="20" w:line="240" w:lineRule="auto"/>
    </w:pPr>
    <w:rPr>
      <w:rFonts w:eastAsia="Times New Roman" w:cs="Times New Roman"/>
      <w:szCs w:val="20"/>
      <w:lang w:eastAsia="da-DK"/>
    </w:rPr>
  </w:style>
  <w:style w:type="paragraph" w:styleId="Fodnotetekst">
    <w:name w:val="footnote text"/>
    <w:basedOn w:val="Normal"/>
    <w:link w:val="FodnotetekstTegn"/>
    <w:unhideWhenUsed/>
    <w:rsid w:val="007B2F87"/>
    <w:pPr>
      <w:overflowPunct w:val="0"/>
      <w:autoSpaceDE w:val="0"/>
      <w:autoSpaceDN w:val="0"/>
      <w:adjustRightInd w:val="0"/>
      <w:spacing w:line="240" w:lineRule="auto"/>
    </w:pPr>
    <w:rPr>
      <w:rFonts w:ascii="CG Times" w:eastAsia="Times New Roman" w:hAnsi="CG Times" w:cs="Times New Roman"/>
      <w:sz w:val="20"/>
      <w:szCs w:val="20"/>
      <w:lang w:eastAsia="da-DK"/>
    </w:rPr>
  </w:style>
  <w:style w:type="character" w:customStyle="1" w:styleId="FodnotetekstTegn">
    <w:name w:val="Fodnotetekst Tegn"/>
    <w:basedOn w:val="Standardskrifttypeiafsnit"/>
    <w:link w:val="Fodnotetekst"/>
    <w:rsid w:val="007B2F87"/>
    <w:rPr>
      <w:rFonts w:ascii="CG Times" w:eastAsia="Times New Roman" w:hAnsi="CG Times" w:cs="Times New Roman"/>
      <w:sz w:val="20"/>
      <w:szCs w:val="20"/>
      <w:lang w:eastAsia="da-DK"/>
    </w:rPr>
  </w:style>
  <w:style w:type="character" w:styleId="Fodnotehenvisning">
    <w:name w:val="footnote reference"/>
    <w:basedOn w:val="Standardskrifttypeiafsnit"/>
    <w:unhideWhenUsed/>
    <w:rsid w:val="007B2F87"/>
    <w:rPr>
      <w:vertAlign w:val="superscript"/>
    </w:rPr>
  </w:style>
  <w:style w:type="character" w:styleId="Hyperlink">
    <w:name w:val="Hyperlink"/>
    <w:basedOn w:val="Standardskrifttypeiafsnit"/>
    <w:uiPriority w:val="99"/>
    <w:unhideWhenUsed/>
    <w:rsid w:val="007B2F87"/>
    <w:rPr>
      <w:color w:val="0000FF" w:themeColor="hyperlink"/>
      <w:u w:val="single"/>
    </w:rPr>
  </w:style>
  <w:style w:type="paragraph" w:customStyle="1" w:styleId="Vilkr-autonummerering">
    <w:name w:val="Vilkår - auto nummerering"/>
    <w:basedOn w:val="Normal"/>
    <w:rsid w:val="00004F78"/>
    <w:pPr>
      <w:numPr>
        <w:ilvl w:val="1"/>
        <w:numId w:val="2"/>
      </w:numPr>
      <w:spacing w:after="240" w:line="240" w:lineRule="auto"/>
      <w:jc w:val="both"/>
    </w:pPr>
    <w:rPr>
      <w:rFonts w:eastAsia="Times New Roman" w:cs="Times New Roman"/>
      <w:szCs w:val="20"/>
      <w:lang w:eastAsia="da-DK"/>
    </w:rPr>
  </w:style>
  <w:style w:type="paragraph" w:styleId="Brdtekstindrykning">
    <w:name w:val="Body Text Indent"/>
    <w:basedOn w:val="Normal"/>
    <w:link w:val="BrdtekstindrykningTegn"/>
    <w:rsid w:val="00004F78"/>
    <w:pPr>
      <w:spacing w:after="120" w:line="240" w:lineRule="auto"/>
      <w:ind w:left="283"/>
      <w:jc w:val="both"/>
    </w:pPr>
    <w:rPr>
      <w:rFonts w:eastAsia="Times New Roman" w:cs="Times New Roman"/>
      <w:szCs w:val="20"/>
      <w:lang w:eastAsia="da-DK"/>
    </w:rPr>
  </w:style>
  <w:style w:type="character" w:customStyle="1" w:styleId="BrdtekstindrykningTegn">
    <w:name w:val="Brødtekstindrykning Tegn"/>
    <w:basedOn w:val="Standardskrifttypeiafsnit"/>
    <w:link w:val="Brdtekstindrykning"/>
    <w:rsid w:val="00004F78"/>
    <w:rPr>
      <w:rFonts w:ascii="Times New Roman" w:eastAsia="Times New Roman" w:hAnsi="Times New Roman" w:cs="Times New Roman"/>
      <w:sz w:val="24"/>
      <w:szCs w:val="20"/>
      <w:lang w:eastAsia="da-DK"/>
    </w:rPr>
  </w:style>
  <w:style w:type="paragraph" w:styleId="Listeafsnit">
    <w:name w:val="List Paragraph"/>
    <w:basedOn w:val="Normal"/>
    <w:uiPriority w:val="34"/>
    <w:qFormat/>
    <w:rsid w:val="00004F78"/>
    <w:pPr>
      <w:spacing w:line="240" w:lineRule="auto"/>
      <w:ind w:left="720"/>
      <w:contextualSpacing/>
      <w:jc w:val="both"/>
    </w:pPr>
    <w:rPr>
      <w:rFonts w:eastAsia="Times New Roman" w:cs="Times New Roman"/>
      <w:szCs w:val="20"/>
      <w:lang w:eastAsia="da-DK"/>
    </w:rPr>
  </w:style>
  <w:style w:type="paragraph" w:styleId="Brdtekst">
    <w:name w:val="Body Text"/>
    <w:basedOn w:val="Normal"/>
    <w:link w:val="BrdtekstTegn"/>
    <w:unhideWhenUsed/>
    <w:rsid w:val="00004F78"/>
    <w:pPr>
      <w:spacing w:line="240" w:lineRule="auto"/>
      <w:jc w:val="both"/>
    </w:pPr>
    <w:rPr>
      <w:rFonts w:eastAsia="Times New Roman" w:cs="Times New Roman"/>
      <w:b/>
      <w:szCs w:val="20"/>
      <w:lang w:eastAsia="da-DK"/>
    </w:rPr>
  </w:style>
  <w:style w:type="character" w:customStyle="1" w:styleId="BrdtekstTegn">
    <w:name w:val="Brødtekst Tegn"/>
    <w:basedOn w:val="Standardskrifttypeiafsnit"/>
    <w:link w:val="Brdtekst"/>
    <w:rsid w:val="00004F78"/>
    <w:rPr>
      <w:rFonts w:ascii="Times New Roman" w:eastAsia="Times New Roman" w:hAnsi="Times New Roman" w:cs="Times New Roman"/>
      <w:b/>
      <w:sz w:val="24"/>
      <w:szCs w:val="20"/>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6305339">
      <w:bodyDiv w:val="1"/>
      <w:marLeft w:val="0"/>
      <w:marRight w:val="0"/>
      <w:marTop w:val="0"/>
      <w:marBottom w:val="0"/>
      <w:divBdr>
        <w:top w:val="none" w:sz="0" w:space="0" w:color="auto"/>
        <w:left w:val="none" w:sz="0" w:space="0" w:color="auto"/>
        <w:bottom w:val="none" w:sz="0" w:space="0" w:color="auto"/>
        <w:right w:val="none" w:sz="0" w:space="0" w:color="auto"/>
      </w:divBdr>
    </w:div>
    <w:div w:id="186220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miljoe@tmf.kk.dk" TargetMode="External"/><Relationship Id="rId2" Type="http://schemas.openxmlformats.org/officeDocument/2006/relationships/customXml" Target="../customXml/item2.xml"/><Relationship Id="rId16" Type="http://schemas.openxmlformats.org/officeDocument/2006/relationships/hyperlink" Target="mailto:spildevand@tmf.kk.dk"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s://dma.mst.dk/" TargetMode="External"/><Relationship Id="rId14" Type="http://schemas.openxmlformats.org/officeDocument/2006/relationships/header" Target="header3.xml"/><Relationship Id="rId22"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k-edoc-fil01\Docprod\templates\Notat_eDoc.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59E1AB7D6454B0A925C85155A4335A7"/>
        <w:category>
          <w:name w:val="Generelt"/>
          <w:gallery w:val="placeholder"/>
        </w:category>
        <w:types>
          <w:type w:val="bbPlcHdr"/>
        </w:types>
        <w:behaviors>
          <w:behavior w:val="content"/>
        </w:behaviors>
        <w:guid w:val="{7E5E7ECB-5A89-4479-AFDE-95FB3470D042}"/>
      </w:docPartPr>
      <w:docPartBody>
        <w:p w:rsidR="00E919B1" w:rsidRDefault="00E919B1"/>
      </w:docPartBody>
    </w:docPart>
    <w:docPart>
      <w:docPartPr>
        <w:name w:val="010A8590710646838A69A991605B3EC2"/>
        <w:category>
          <w:name w:val="Generelt"/>
          <w:gallery w:val="placeholder"/>
        </w:category>
        <w:types>
          <w:type w:val="bbPlcHdr"/>
        </w:types>
        <w:behaviors>
          <w:behavior w:val="content"/>
        </w:behaviors>
        <w:guid w:val="{2661856C-D8CD-4C08-B2FF-0844F6811F8D}"/>
      </w:docPartPr>
      <w:docPartBody>
        <w:p w:rsidR="00E919B1" w:rsidRDefault="00E919B1"/>
      </w:docPartBody>
    </w:docPart>
    <w:docPart>
      <w:docPartPr>
        <w:name w:val="6B01E6058EC74BE2AC39B7B54E6CDDEF"/>
        <w:category>
          <w:name w:val="Generelt"/>
          <w:gallery w:val="placeholder"/>
        </w:category>
        <w:types>
          <w:type w:val="bbPlcHdr"/>
        </w:types>
        <w:behaviors>
          <w:behavior w:val="content"/>
        </w:behaviors>
        <w:guid w:val="{5AF65A21-C351-4211-86F6-34ADA10F6B47}"/>
      </w:docPartPr>
      <w:docPartBody>
        <w:p w:rsidR="00E919B1" w:rsidRDefault="00E919B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89E"/>
    <w:rsid w:val="0002177B"/>
    <w:rsid w:val="0015528C"/>
    <w:rsid w:val="003C5464"/>
    <w:rsid w:val="003D0E9C"/>
    <w:rsid w:val="0057589E"/>
    <w:rsid w:val="006F05D4"/>
    <w:rsid w:val="0099323C"/>
    <w:rsid w:val="00A84B6D"/>
    <w:rsid w:val="00BB417C"/>
    <w:rsid w:val="00BD2784"/>
    <w:rsid w:val="00CB6B28"/>
    <w:rsid w:val="00D57DE3"/>
    <w:rsid w:val="00E46AF1"/>
    <w:rsid w:val="00E919B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589E"/>
    <w:rPr>
      <w:rFonts w:cs="Times New Roman"/>
      <w:sz w:val="3276"/>
      <w:szCs w:val="327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CB6B28"/>
    <w:rPr>
      <w:color w:val="808080"/>
    </w:rPr>
  </w:style>
  <w:style w:type="paragraph" w:customStyle="1" w:styleId="12E1C57220EE4E34B88BE920C2F871E2">
    <w:name w:val="12E1C57220EE4E34B88BE920C2F871E2"/>
    <w:rsid w:val="0057589E"/>
  </w:style>
  <w:style w:type="paragraph" w:customStyle="1" w:styleId="534681D39789487C9A2ADF801C5763B7">
    <w:name w:val="534681D39789487C9A2ADF801C5763B7"/>
    <w:rsid w:val="0002177B"/>
  </w:style>
  <w:style w:type="paragraph" w:customStyle="1" w:styleId="CE0DECFF670148FABD5109368E02667A">
    <w:name w:val="CE0DECFF670148FABD5109368E02667A"/>
    <w:rsid w:val="0002177B"/>
  </w:style>
  <w:style w:type="paragraph" w:customStyle="1" w:styleId="C3940F49174A4D0D9C7CD255849256A7">
    <w:name w:val="C3940F49174A4D0D9C7CD255849256A7"/>
    <w:rsid w:val="00BD2784"/>
  </w:style>
  <w:style w:type="paragraph" w:customStyle="1" w:styleId="5D5FFADED6B143A28F09ECA1882A7C5C">
    <w:name w:val="5D5FFADED6B143A28F09ECA1882A7C5C"/>
    <w:rsid w:val="00BD2784"/>
  </w:style>
  <w:style w:type="paragraph" w:customStyle="1" w:styleId="C6878ADA9C2A4981B8D3DBF431DFAD62">
    <w:name w:val="C6878ADA9C2A4981B8D3DBF431DFAD62"/>
    <w:rsid w:val="00BD2784"/>
  </w:style>
  <w:style w:type="paragraph" w:customStyle="1" w:styleId="D2224C06DD724092A616F1BDAFCD33BC">
    <w:name w:val="D2224C06DD724092A616F1BDAFCD33BC"/>
    <w:rsid w:val="00BD2784"/>
  </w:style>
  <w:style w:type="paragraph" w:customStyle="1" w:styleId="A1BD3D03BCD34E7294C011EB3D720EE0">
    <w:name w:val="A1BD3D03BCD34E7294C011EB3D720EE0"/>
    <w:rsid w:val="00BD2784"/>
  </w:style>
  <w:style w:type="paragraph" w:customStyle="1" w:styleId="E38BDF9C5A664719BC9E8EF52282D0A9">
    <w:name w:val="E38BDF9C5A664719BC9E8EF52282D0A9"/>
    <w:rsid w:val="00BD2784"/>
  </w:style>
  <w:style w:type="paragraph" w:customStyle="1" w:styleId="15A10B5601614864B5BCC0140D457BFF">
    <w:name w:val="15A10B5601614864B5BCC0140D457BFF"/>
    <w:rsid w:val="00BD2784"/>
  </w:style>
  <w:style w:type="paragraph" w:customStyle="1" w:styleId="53025F5658B54BA9A75801CDD1DF8796">
    <w:name w:val="53025F5658B54BA9A75801CDD1DF8796"/>
    <w:rsid w:val="00BD2784"/>
  </w:style>
  <w:style w:type="paragraph" w:customStyle="1" w:styleId="B4D80A38056C4E48923DF254EDE31E5A">
    <w:name w:val="B4D80A38056C4E48923DF254EDE31E5A"/>
    <w:rsid w:val="00BD2784"/>
  </w:style>
  <w:style w:type="paragraph" w:customStyle="1" w:styleId="79BEF7366F454149851836EF7893CA2B">
    <w:name w:val="79BEF7366F454149851836EF7893CA2B"/>
    <w:rsid w:val="00BD2784"/>
  </w:style>
  <w:style w:type="paragraph" w:customStyle="1" w:styleId="9EC42DDD92F149B79AA5DE0F83835072">
    <w:name w:val="9EC42DDD92F149B79AA5DE0F83835072"/>
    <w:rsid w:val="00BD2784"/>
  </w:style>
  <w:style w:type="paragraph" w:customStyle="1" w:styleId="1AF8DCA1FC694C3489274552CE66603E">
    <w:name w:val="1AF8DCA1FC694C3489274552CE66603E"/>
    <w:rsid w:val="00BD2784"/>
  </w:style>
  <w:style w:type="paragraph" w:customStyle="1" w:styleId="5D5FFADED6B143A28F09ECA1882A7C5C1">
    <w:name w:val="5D5FFADED6B143A28F09ECA1882A7C5C1"/>
    <w:rsid w:val="00BD2784"/>
    <w:pPr>
      <w:spacing w:after="0" w:line="260" w:lineRule="atLeast"/>
    </w:pPr>
    <w:rPr>
      <w:rFonts w:ascii="Times New Roman" w:eastAsiaTheme="minorHAnsi" w:hAnsi="Times New Roman"/>
      <w:sz w:val="24"/>
      <w:lang w:eastAsia="en-US"/>
    </w:rPr>
  </w:style>
  <w:style w:type="paragraph" w:customStyle="1" w:styleId="C6878ADA9C2A4981B8D3DBF431DFAD621">
    <w:name w:val="C6878ADA9C2A4981B8D3DBF431DFAD621"/>
    <w:rsid w:val="00BD2784"/>
    <w:pPr>
      <w:spacing w:after="0" w:line="260" w:lineRule="atLeast"/>
    </w:pPr>
    <w:rPr>
      <w:rFonts w:ascii="Times New Roman" w:eastAsiaTheme="minorHAnsi" w:hAnsi="Times New Roman"/>
      <w:sz w:val="24"/>
      <w:lang w:eastAsia="en-US"/>
    </w:rPr>
  </w:style>
  <w:style w:type="paragraph" w:customStyle="1" w:styleId="5D5FFADED6B143A28F09ECA1882A7C5C2">
    <w:name w:val="5D5FFADED6B143A28F09ECA1882A7C5C2"/>
    <w:rsid w:val="00BD2784"/>
    <w:pPr>
      <w:spacing w:after="0" w:line="260" w:lineRule="atLeast"/>
    </w:pPr>
    <w:rPr>
      <w:rFonts w:ascii="Times New Roman" w:eastAsiaTheme="minorHAnsi" w:hAnsi="Times New Roman"/>
      <w:sz w:val="24"/>
      <w:lang w:eastAsia="en-US"/>
    </w:rPr>
  </w:style>
  <w:style w:type="paragraph" w:customStyle="1" w:styleId="C6878ADA9C2A4981B8D3DBF431DFAD622">
    <w:name w:val="C6878ADA9C2A4981B8D3DBF431DFAD622"/>
    <w:rsid w:val="00BD2784"/>
    <w:pPr>
      <w:spacing w:after="0" w:line="260" w:lineRule="atLeast"/>
    </w:pPr>
    <w:rPr>
      <w:rFonts w:ascii="Times New Roman" w:eastAsiaTheme="minorHAnsi" w:hAnsi="Times New Roman"/>
      <w:sz w:val="24"/>
      <w:lang w:eastAsia="en-US"/>
    </w:rPr>
  </w:style>
  <w:style w:type="paragraph" w:customStyle="1" w:styleId="0E03E828B46946AC87DD3C5BA289D292">
    <w:name w:val="0E03E828B46946AC87DD3C5BA289D292"/>
    <w:rsid w:val="00E46A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21584645" gbs:entity="Document" gbs:templateDesignerVersion="3.1 F">
  <gbs:Title gbs:loadFromGrowBusiness="OnProduce" gbs:saveInGrowBusiness="False" gbs:connected="true" gbs:recno="" gbs:entity="" gbs:datatype="string" gbs:key="10000" gbs:removeContentControl="0">Tilsynsrapport: SMOKA I/S.</gbs:Title>
  <gbs:ToCase.Name gbs:loadFromGrowBusiness="OnProduce" gbs:saveInGrowBusiness="False" gbs:connected="true" gbs:recno="" gbs:entity="" gbs:datatype="string" gbs:key="10001" gbs:removeContentControl="0">2018-0228389</gbs:ToCase.Name>
  <gbs:DocumentNumber gbs:loadFromGrowBusiness="OnProduce" gbs:saveInGrowBusiness="False" gbs:connected="true" gbs:recno="" gbs:entity="" gbs:datatype="string" gbs:key="10002" gbs:removeContentControl="0">2018-0228389-3</gbs:DocumentNumber>
  <gbs:ToCase.OurRef.Name gbs:loadFromGrowBusiness="OnProduce" gbs:saveInGrowBusiness="False" gbs:connected="true" gbs:recno="" gbs:entity="" gbs:datatype="string" gbs:key="10003" gbs:removeContentControl="0">Lisa Bizzarro</gbs:ToCase.OurRef.Name>
  <gbs:OurRef.Name gbs:loadFromGrowBusiness="OnProduce" gbs:saveInGrowBusiness="False" gbs:connected="true" gbs:recno="" gbs:entity="" gbs:datatype="string" gbs:key="10004" gbs:removeContentControl="0">Lisa Bizzarro</gbs:OurRef.Name>
  <gbs:ToCreatedBy.ToContact.Name gbs:loadFromGrowBusiness="OnProduce" gbs:saveInGrowBusiness="False" gbs:connected="true" gbs:recno="" gbs:entity="" gbs:datatype="string" gbs:key="10005" gbs:removeContentControl="0">Lisa Bizzarro</gbs:ToCreatedBy.ToContact.Name>
  <gbs:ToProject.Name gbs:loadFromGrowBusiness="OnProduce" gbs:saveInGrowBusiness="False" gbs:connected="true" gbs:recno="" gbs:entity="" gbs:datatype="string" gbs:key="10006" gbs:removeContentControl="0">
  </gbs:ToProject.Name>
  <gbs:ToActivityContactJOINEX.Referencenumber gbs:loadFromGrowBusiness="OnProduce" gbs:saveInGrowBusiness="False" gbs:connected="true" gbs:recno="" gbs:entity="" gbs:datatype="string" gbs:key="10007" gbs:removeContentControl="0" gbs:dispatchrecipient="true" gbs:joinex="[JOINEX=[ToRole] {!OJEX!}=6]">35433430</gbs:ToActivityContactJOINEX.Referencenumber>
  <gbs:ToActivityContactJOINEX.Name gbs:loadFromGrowBusiness="OnProduce" gbs:saveInGrowBusiness="False" gbs:connected="true" gbs:recno="" gbs:entity="" gbs:datatype="string" gbs:key="10008" gbs:removeContentControl="0" gbs:dispatchrecipient="true" gbs:joinex="[JOINEX=[ToRole] {!OJEX!}=6]">SMOKA I/S</gbs:ToActivityContactJOINEX.Name>
  <gbs:ToActivityContactJOINEX.Address gbs:loadFromGrowBusiness="OnProduce" gbs:saveInGrowBusiness="False" gbs:connected="true" gbs:recno="" gbs:entity="" gbs:datatype="string" gbs:key="10009" gbs:dispatchrecipient="true" gbs:removeContentControl="0" gbs:joinex="[JOINEX=[ToRole] {!OJEX!}=6]">U-Vej 7</gbs:ToActivityContactJOINEX.Address>
  <gbs:ToActivityContactJOINEX.Zip gbs:loadFromGrowBusiness="OnProduce" gbs:saveInGrowBusiness="False" gbs:connected="true" gbs:recno="" gbs:entity="" gbs:datatype="string" gbs:key="10010" gbs:removeContentControl="0" gbs:dispatchrecipient="true" gbs:joinex="[JOINEX=[ToRole] {!OJEX!}=6]">2300 København S</gbs:ToActivityContactJOINEX.Zip>
  <gbs:ToActivityContactJOINEX.ZipPlace gbs:loadFromGrowBusiness="OnProduce" gbs:saveInGrowBusiness="False" gbs:connected="true" gbs:recno="" gbs:entity="" gbs:datatype="string" gbs:key="10011" gbs:removeContentControl="0" gbs:dispatchrecipient="true" gbs:joinex="[JOINEX=[ToRole] {!OJEX!}=6]">København S</gbs:ToActivityContactJOINEX.ZipPlace>
  <gbs:ToCase.ToCreatedBy.ToContact.Name gbs:loadFromGrowBusiness="OnProduce" gbs:saveInGrowBusiness="False" gbs:connected="true" gbs:recno="" gbs:entity="" gbs:datatype="string" gbs:key="10012">KS-eDoc sys GeoEnviron</gbs:ToCase.ToCreatedBy.ToContact.Name>
  <gbs:ToCase.ToEstates.CF_LandParcelIdentifier gbs:loadFromGrowBusiness="OnProduce" gbs:saveInGrowBusiness="False" gbs:connected="true" gbs:recno="" gbs:entity="" gbs:datatype="relation" gbs:key="10013" gbs:removeContentControl="0">529</gbs:ToCase.ToEstates.CF_LandParcelIdentifier>
  <gbs:ToCase.ToEstates.CF_municipalrealpropertyidentifier gbs:loadFromGrowBusiness="OnProduce" gbs:saveInGrowBusiness="False" gbs:connected="true" gbs:recno="" gbs:entity="" gbs:datatype="relation" gbs:key="10014" gbs:removeContentControl="0">507670</gbs:ToCase.ToEstates.CF_municipalrealpropertyidentifier>
  <gbs:ToCase.Project.Name gbs:loadFromGrowBusiness="OnProduce" gbs:saveInGrowBusiness="False" gbs:connected="true" gbs:recno="" gbs:entity="" gbs:datatype="string" gbs:key="10015">
  </gbs:ToCase.Project.Name>
  <gbs:ToCase.Project.Description gbs:loadFromGrowBusiness="OnProduce" gbs:saveInGrowBusiness="False" gbs:connected="true" gbs:recno="" gbs:entity="" gbs:datatype="string" gbs:key="10016">
  </gbs:ToCase.Project.Description>
  <gbs:ToCase.Project.OurRef.Name gbs:loadFromGrowBusiness="OnProduce" gbs:saveInGrowBusiness="False" gbs:connected="true" gbs:recno="" gbs:entity="" gbs:datatype="string" gbs:key="10017" gbs:removeContentControl="0">
  </gbs:ToCase.Project.OurRef.Name>
  <gbs:ToProject.Description gbs:loadFromGrowBusiness="OnProduce" gbs:saveInGrowBusiness="False" gbs:connected="true" gbs:recno="" gbs:entity="" gbs:datatype="string" gbs:key="10018">
  </gbs:ToProject.Description>
  <gbs:ToProject.OurRef.Name gbs:loadFromGrowBusiness="OnProduce" gbs:saveInGrowBusiness="False" gbs:connected="true" gbs:recno="" gbs:entity="" gbs:datatype="string" gbs:key="10019">
  </gbs:ToProject.OurRef.Name>
  <gbs:ToCase.Description gbs:loadFromGrowBusiness="OnProduce" gbs:saveInGrowBusiness="False" gbs:connected="true" gbs:recno="" gbs:entity="" gbs:datatype="string" gbs:key="10020">U-Vej 7, Prøvestenen. SMOKA A/S. Mijløtilsyn 2018. Opfølgning på revideret miljøgodkendelse.</gbs:ToCase.Description>
  <gbs:ToActivityContact.Email gbs:loadFromGrowBusiness="OnProduce" gbs:saveInGrowBusiness="False" gbs:connected="true" gbs:recno="" gbs:entity="" gbs:datatype="string" gbs:key="10021">smoka@smoka.dk                                                                                                                                                                                                                                            </gbs:ToActivityContact.Email>
  <gbs:ToProject.Parent.Name gbs:loadFromGrowBusiness="OnProduce" gbs:saveInGrowBusiness="False" gbs:connected="true" gbs:recno="" gbs:entity="" gbs:datatype="string" gbs:key="10022">
  </gbs:ToProject.Parent.Name>
  <gbs:ToProject.Parent.Description gbs:loadFromGrowBusiness="OnProduce" gbs:saveInGrowBusiness="False" gbs:connected="true" gbs:recno="" gbs:entity="" gbs:datatype="string" gbs:key="10023" gbs:removeContentControl="0">
  </gbs:ToProject.Parent.Description>
  <gbs:ToCase.Project.Parent.Name gbs:loadFromGrowBusiness="OnProduce" gbs:saveInGrowBusiness="False" gbs:connected="true" gbs:recno="" gbs:entity="" gbs:datatype="string" gbs:key="10024">
  </gbs:ToCase.Project.Parent.Name>
  <gbs:ToCase.Project.Parent.Description gbs:loadFromGrowBusiness="OnProduce" gbs:saveInGrowBusiness="False" gbs:connected="true" gbs:recno="" gbs:entity="" gbs:datatype="string" gbs:key="10025">
  </gbs:ToCase.Project.Parent.Description>
  <gbs:ToCase.ToCaseContact.Referencenumber gbs:loadFromGrowBusiness="OnProduce" gbs:saveInGrowBusiness="False" gbs:connected="true" gbs:recno="" gbs:entity="" gbs:datatype="string" gbs:key="10026">35433430</gbs:ToCase.ToCaseContact.Referencenumber>
  <gbs:ToCase.ToCaseContact.Name gbs:loadFromGrowBusiness="OnProduce" gbs:saveInGrowBusiness="False" gbs:connected="true" gbs:recno="" gbs:entity="" gbs:datatype="string" gbs:key="10027">SMOKA I/S  </gbs:ToCase.ToCaseContact.Name>
  <gbs:ToCase.ToCaseContact.Address gbs:loadFromGrowBusiness="OnProduce" gbs:saveInGrowBusiness="False" gbs:connected="true" gbs:recno="" gbs:entity="" gbs:datatype="string" gbs:key="10028">U-Vej 7</gbs:ToCase.ToCaseContact.Address>
  <gbs:ToCase.ToCaseContact.Zip gbs:loadFromGrowBusiness="OnProduce" gbs:saveInGrowBusiness="False" gbs:connected="true" gbs:recno="" gbs:entity="" gbs:datatype="string" gbs:key="10029">2300 København S</gbs:ToCase.ToCaseContact.Zip>
  <gbs:ToCase.ToCaseContact.ZipCode gbs:loadFromGrowBusiness="OnProduce" gbs:saveInGrowBusiness="False" gbs:connected="true" gbs:recno="" gbs:entity="" gbs:datatype="string" gbs:key="10030">2300</gbs:ToCase.ToCaseContact.ZipCode>
  <gbs:ToCase.ToCaseContact.ZipPlace gbs:loadFromGrowBusiness="OnProduce" gbs:saveInGrowBusiness="False" gbs:connected="true" gbs:recno="" gbs:entity="" gbs:datatype="string" gbs:key="10031">København S</gbs:ToCase.ToCaseContact.ZipPlace>
</gbs:GrowBusinessDocumen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825E8-CC84-4088-AAC6-DF5BB1EF1B74}">
  <ds:schemaRefs/>
</ds:datastoreItem>
</file>

<file path=customXml/itemProps2.xml><?xml version="1.0" encoding="utf-8"?>
<ds:datastoreItem xmlns:ds="http://schemas.openxmlformats.org/officeDocument/2006/customXml" ds:itemID="{5ED18CD4-6BDD-4159-A584-FCE6A4280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Notat_eDoc.dotm</Template>
  <TotalTime>1</TotalTime>
  <Pages>16</Pages>
  <Words>4377</Words>
  <Characters>26701</Characters>
  <Application>Microsoft Office Word</Application>
  <DocSecurity>0</DocSecurity>
  <Lines>222</Lines>
  <Paragraphs>62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Bizzarro</dc:creator>
  <cp:lastModifiedBy>Lisa Bizzarro</cp:lastModifiedBy>
  <cp:revision>2</cp:revision>
  <cp:lastPrinted>2018-10-02T06:28:00Z</cp:lastPrinted>
  <dcterms:created xsi:type="dcterms:W3CDTF">2018-10-12T08:52:00Z</dcterms:created>
  <dcterms:modified xsi:type="dcterms:W3CDTF">2018-10-12T08:52:00Z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FilePath">
    <vt:lpwstr>\\KK-edoc-FIL01\Docprod\templates\Notat_eDoc.dotm</vt:lpwstr>
  </property>
  <property fmtid="{D5CDD505-2E9C-101B-9397-08002B2CF9AE}" pid="3" name="filePathOneNote">
    <vt:lpwstr>\\KK-edoc-FIL01\eDocUsers\onenote\kk\es0i\</vt:lpwstr>
  </property>
  <property fmtid="{D5CDD505-2E9C-101B-9397-08002B2CF9AE}" pid="4" name="comment">
    <vt:lpwstr>Udkast_tilsynsnotat. SMOKA. Miljøtilsyn 08-10-2018</vt:lpwstr>
  </property>
  <property fmtid="{D5CDD505-2E9C-101B-9397-08002B2CF9AE}" pid="5" name="sipTrackRevision">
    <vt:lpwstr>false</vt:lpwstr>
  </property>
  <property fmtid="{D5CDD505-2E9C-101B-9397-08002B2CF9AE}" pid="6" name="docId">
    <vt:lpwstr>21584645</vt:lpwstr>
  </property>
  <property fmtid="{D5CDD505-2E9C-101B-9397-08002B2CF9AE}" pid="7" name="fileVersionId">
    <vt:lpwstr>
    </vt:lpwstr>
  </property>
  <property fmtid="{D5CDD505-2E9C-101B-9397-08002B2CF9AE}" pid="8" name="sourceId">
    <vt:lpwstr>
    </vt:lpwstr>
  </property>
  <property fmtid="{D5CDD505-2E9C-101B-9397-08002B2CF9AE}" pid="9" name="templateId">
    <vt:lpwstr>500233</vt:lpwstr>
  </property>
  <property fmtid="{D5CDD505-2E9C-101B-9397-08002B2CF9AE}" pid="10" name="module">
    <vt:lpwstr>
    </vt:lpwstr>
  </property>
  <property fmtid="{D5CDD505-2E9C-101B-9397-08002B2CF9AE}" pid="11" name="customParams">
    <vt:lpwstr>
    </vt:lpwstr>
  </property>
  <property fmtid="{D5CDD505-2E9C-101B-9397-08002B2CF9AE}" pid="12" name="external">
    <vt:lpwstr>0</vt:lpwstr>
  </property>
  <property fmtid="{D5CDD505-2E9C-101B-9397-08002B2CF9AE}" pid="13" name="ExternalControlledCheckOut">
    <vt:lpwstr>
    </vt:lpwstr>
  </property>
  <property fmtid="{D5CDD505-2E9C-101B-9397-08002B2CF9AE}" pid="14" name="createdBy">
    <vt:lpwstr>Lisa Bizzarro</vt:lpwstr>
  </property>
  <property fmtid="{D5CDD505-2E9C-101B-9397-08002B2CF9AE}" pid="15" name="modifiedBy">
    <vt:lpwstr>Lisa Bizzarro</vt:lpwstr>
  </property>
  <property fmtid="{D5CDD505-2E9C-101B-9397-08002B2CF9AE}" pid="16" name="action">
    <vt:lpwstr>edit</vt:lpwstr>
  </property>
  <property fmtid="{D5CDD505-2E9C-101B-9397-08002B2CF9AE}" pid="17" name="serverName">
    <vt:lpwstr>kkedoc4:8080</vt:lpwstr>
  </property>
  <property fmtid="{D5CDD505-2E9C-101B-9397-08002B2CF9AE}" pid="18" name="externalUser">
    <vt:lpwstr>
    </vt:lpwstr>
  </property>
  <property fmtid="{D5CDD505-2E9C-101B-9397-08002B2CF9AE}" pid="19" name="currentVerId">
    <vt:lpwstr>20922499</vt:lpwstr>
  </property>
  <property fmtid="{D5CDD505-2E9C-101B-9397-08002B2CF9AE}" pid="20" name="Operation">
    <vt:lpwstr>CheckoutFile</vt:lpwstr>
  </property>
  <property fmtid="{D5CDD505-2E9C-101B-9397-08002B2CF9AE}" pid="21" name="BackOfficeType">
    <vt:lpwstr>growBusiness Solutions</vt:lpwstr>
  </property>
  <property fmtid="{D5CDD505-2E9C-101B-9397-08002B2CF9AE}" pid="22" name="Server">
    <vt:lpwstr>kkedoc4:8080</vt:lpwstr>
  </property>
  <property fmtid="{D5CDD505-2E9C-101B-9397-08002B2CF9AE}" pid="23" name="Protocol">
    <vt:lpwstr>off</vt:lpwstr>
  </property>
  <property fmtid="{D5CDD505-2E9C-101B-9397-08002B2CF9AE}" pid="24" name="Site">
    <vt:lpwstr>/locator.aspx</vt:lpwstr>
  </property>
  <property fmtid="{D5CDD505-2E9C-101B-9397-08002B2CF9AE}" pid="25" name="FileID">
    <vt:lpwstr>29449846</vt:lpwstr>
  </property>
  <property fmtid="{D5CDD505-2E9C-101B-9397-08002B2CF9AE}" pid="26" name="VerID">
    <vt:lpwstr>0</vt:lpwstr>
  </property>
  <property fmtid="{D5CDD505-2E9C-101B-9397-08002B2CF9AE}" pid="27" name="FilePath">
    <vt:lpwstr>\\KK-edoc-FIL01\eDocUsers\work\kk\es0i</vt:lpwstr>
  </property>
  <property fmtid="{D5CDD505-2E9C-101B-9397-08002B2CF9AE}" pid="28" name="FileName">
    <vt:lpwstr>2018-0228389-3 Udkast_tilsynsnotat. SMOKA 29449846_20922499_0.DOCX</vt:lpwstr>
  </property>
  <property fmtid="{D5CDD505-2E9C-101B-9397-08002B2CF9AE}" pid="29" name="FullFileName">
    <vt:lpwstr>\\KK-edoc-FIL01\eDocUsers\work\kk\es0i\2018-0228389-3 Udkast_tilsynsnotat. SMOKA 29449846_20922499_0.DOCX</vt:lpwstr>
  </property>
</Properties>
</file>