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F3" w:rsidRDefault="005E7226" w:rsidP="008767AC">
      <w:pPr>
        <w:ind w:right="197"/>
      </w:pPr>
      <w:bookmarkStart w:id="0" w:name="_GoBack"/>
      <w:bookmarkEnd w:id="0"/>
      <w:r>
        <w:t>HJ Hansen</w:t>
      </w:r>
      <w:r w:rsidR="00C232DE">
        <w:t xml:space="preserve">        </w:t>
      </w:r>
    </w:p>
    <w:tbl>
      <w:tblPr>
        <w:tblW w:w="9982" w:type="dxa"/>
        <w:tblInd w:w="2" w:type="dxa"/>
        <w:tblLayout w:type="fixed"/>
        <w:tblCellMar>
          <w:left w:w="0" w:type="dxa"/>
          <w:right w:w="0" w:type="dxa"/>
        </w:tblCellMar>
        <w:tblLook w:val="01E0" w:firstRow="1" w:lastRow="1" w:firstColumn="1" w:lastColumn="1" w:noHBand="0" w:noVBand="0"/>
      </w:tblPr>
      <w:tblGrid>
        <w:gridCol w:w="7629"/>
        <w:gridCol w:w="2353"/>
      </w:tblGrid>
      <w:tr w:rsidR="002F7A55" w:rsidRPr="00625D0F" w:rsidTr="00DF1CF3">
        <w:trPr>
          <w:trHeight w:val="2851"/>
        </w:trPr>
        <w:tc>
          <w:tcPr>
            <w:tcW w:w="7629" w:type="dxa"/>
            <w:tcMar>
              <w:left w:w="0" w:type="dxa"/>
              <w:right w:w="0" w:type="dxa"/>
            </w:tcMar>
          </w:tcPr>
          <w:p w:rsidR="002F7A55" w:rsidRDefault="000A3E3E">
            <w:r>
              <w:rPr>
                <w:noProof/>
              </w:rPr>
              <w:t>Norvangen 19</w:t>
            </w:r>
          </w:p>
          <w:p w:rsidR="00B33F7D" w:rsidRDefault="000A3E3E" w:rsidP="00B33F7D">
            <w:r>
              <w:rPr>
                <w:noProof/>
              </w:rPr>
              <w:t>4220  Korsør</w:t>
            </w:r>
          </w:p>
          <w:p w:rsidR="00B33F7D" w:rsidRDefault="00B33F7D" w:rsidP="00B33F7D"/>
          <w:p w:rsidR="00A77902" w:rsidRDefault="00A77902" w:rsidP="00B33F7D"/>
          <w:p w:rsidR="00A77902" w:rsidRDefault="00A77902" w:rsidP="00B33F7D"/>
          <w:p w:rsidR="00B33F7D" w:rsidRPr="006F6AFC" w:rsidRDefault="00B33F7D" w:rsidP="00A77902"/>
        </w:tc>
        <w:tc>
          <w:tcPr>
            <w:tcW w:w="2353" w:type="dxa"/>
          </w:tcPr>
          <w:p w:rsidR="002F7A55" w:rsidRPr="000A5E7C" w:rsidRDefault="002F7A55" w:rsidP="00901DDD">
            <w:pPr>
              <w:pStyle w:val="Lille"/>
            </w:pPr>
          </w:p>
          <w:p w:rsidR="002F7A55" w:rsidRPr="000A5E7C" w:rsidRDefault="002F7A55" w:rsidP="00901DDD">
            <w:pPr>
              <w:pStyle w:val="Lille"/>
            </w:pPr>
          </w:p>
          <w:p w:rsidR="002F7A55" w:rsidRPr="00D732A5" w:rsidRDefault="000A3E3E" w:rsidP="00901DDD">
            <w:pPr>
              <w:pStyle w:val="Lille"/>
            </w:pPr>
            <w:r>
              <w:rPr>
                <w:noProof/>
              </w:rPr>
              <w:t>Center for Teknik og Miljø</w:t>
            </w:r>
          </w:p>
          <w:p w:rsidR="002F7A55" w:rsidRPr="000A5E7C" w:rsidRDefault="000A3E3E" w:rsidP="00901DDD">
            <w:pPr>
              <w:pStyle w:val="Lille"/>
            </w:pPr>
            <w:r>
              <w:rPr>
                <w:noProof/>
              </w:rPr>
              <w:t>Virksomheder og Landbrug</w:t>
            </w:r>
          </w:p>
          <w:p w:rsidR="002F7A55" w:rsidRPr="000A5E7C" w:rsidRDefault="000A3E3E" w:rsidP="00901DDD">
            <w:pPr>
              <w:pStyle w:val="Lille"/>
            </w:pPr>
            <w:r>
              <w:rPr>
                <w:noProof/>
              </w:rPr>
              <w:t>Dahlsvej 3</w:t>
            </w:r>
          </w:p>
          <w:p w:rsidR="002F7A55" w:rsidRPr="000A5E7C" w:rsidRDefault="000A3E3E" w:rsidP="00901DDD">
            <w:pPr>
              <w:pStyle w:val="Lille"/>
            </w:pPr>
            <w:r>
              <w:rPr>
                <w:noProof/>
              </w:rPr>
              <w:t>4220 Korsør</w:t>
            </w:r>
          </w:p>
          <w:p w:rsidR="002F7A55" w:rsidRPr="000A5E7C" w:rsidRDefault="002F7A55" w:rsidP="00901DDD">
            <w:pPr>
              <w:pStyle w:val="Lille"/>
            </w:pPr>
          </w:p>
          <w:p w:rsidR="002F7A55" w:rsidRPr="000A5E7C" w:rsidRDefault="000643F4" w:rsidP="00901DDD">
            <w:pPr>
              <w:pStyle w:val="Lille"/>
            </w:pPr>
            <w:r>
              <w:t>Tlf. 58 57 36 00</w:t>
            </w:r>
          </w:p>
          <w:p w:rsidR="002F7A55" w:rsidRPr="000A5E7C" w:rsidRDefault="000A3E3E" w:rsidP="00901DDD">
            <w:pPr>
              <w:pStyle w:val="Lille"/>
            </w:pPr>
            <w:r>
              <w:rPr>
                <w:noProof/>
              </w:rPr>
              <w:t>teknik@slagelse.dk</w:t>
            </w:r>
          </w:p>
          <w:p w:rsidR="002F7A55" w:rsidRPr="000A5E7C" w:rsidRDefault="002F7A55" w:rsidP="00901DDD">
            <w:pPr>
              <w:pStyle w:val="Lille"/>
            </w:pPr>
            <w:r w:rsidRPr="000A5E7C">
              <w:t>www.slagelse.dk</w:t>
            </w:r>
          </w:p>
        </w:tc>
      </w:tr>
      <w:tr w:rsidR="00647095" w:rsidRPr="00625D0F" w:rsidTr="00647095">
        <w:tc>
          <w:tcPr>
            <w:tcW w:w="7629" w:type="dxa"/>
            <w:tcMar>
              <w:left w:w="0" w:type="dxa"/>
              <w:right w:w="0" w:type="dxa"/>
            </w:tcMar>
          </w:tcPr>
          <w:p w:rsidR="00647095" w:rsidRPr="00647095" w:rsidRDefault="005E7226" w:rsidP="00647095">
            <w:pPr>
              <w:rPr>
                <w:b/>
              </w:rPr>
            </w:pPr>
            <w:r>
              <w:rPr>
                <w:b/>
              </w:rPr>
              <w:t>Tillægsgodkendelse til ændrede oplagsmængder</w:t>
            </w:r>
          </w:p>
        </w:tc>
        <w:tc>
          <w:tcPr>
            <w:tcW w:w="2353" w:type="dxa"/>
          </w:tcPr>
          <w:p w:rsidR="00647095" w:rsidRPr="000A5E7C" w:rsidRDefault="00647095" w:rsidP="00901DDD">
            <w:pPr>
              <w:pStyle w:val="Lille"/>
            </w:pPr>
          </w:p>
        </w:tc>
      </w:tr>
    </w:tbl>
    <w:p w:rsidR="002F7A55" w:rsidRPr="00857087" w:rsidRDefault="002F7A55" w:rsidP="00964AB3">
      <w:pPr>
        <w:pStyle w:val="Lille"/>
        <w:framePr w:w="2217" w:h="3810" w:hRule="exact" w:hSpace="181" w:wrap="auto" w:vAnchor="page" w:hAnchor="page" w:x="8880" w:y="5852" w:anchorLock="1"/>
      </w:pPr>
    </w:p>
    <w:p w:rsidR="002F7A55" w:rsidRDefault="00C64F2D" w:rsidP="00964AB3">
      <w:pPr>
        <w:pStyle w:val="Lille"/>
        <w:framePr w:w="2217" w:h="3810" w:hRule="exact" w:hSpace="181" w:wrap="auto" w:vAnchor="page" w:hAnchor="page" w:x="8880" w:y="5852" w:anchorLock="1"/>
      </w:pPr>
      <w:r>
        <w:rPr>
          <w:noProof/>
        </w:rPr>
        <w:t>18</w:t>
      </w:r>
      <w:r w:rsidR="000A3E3E">
        <w:rPr>
          <w:noProof/>
        </w:rPr>
        <w:t>. april 2017</w:t>
      </w:r>
    </w:p>
    <w:p w:rsidR="00601B48" w:rsidRPr="00857087" w:rsidRDefault="004350C3" w:rsidP="00964AB3">
      <w:pPr>
        <w:pStyle w:val="Lille"/>
        <w:framePr w:w="2217" w:h="3810" w:hRule="exact" w:hSpace="181" w:wrap="auto" w:vAnchor="page" w:hAnchor="page" w:x="8880" w:y="5852" w:anchorLock="1"/>
      </w:pPr>
      <w:r>
        <w:t xml:space="preserve">Sagsnr.: </w:t>
      </w:r>
      <w:r>
        <w:rPr>
          <w:noProof/>
        </w:rPr>
        <w:t>330-2016-63496</w:t>
      </w: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r w:rsidRPr="006F6AFC">
        <w:t>Kontaktperson:</w:t>
      </w:r>
    </w:p>
    <w:p w:rsidR="002F7A55" w:rsidRPr="006F6AFC" w:rsidRDefault="000A3E3E" w:rsidP="00964AB3">
      <w:pPr>
        <w:pStyle w:val="Lille"/>
        <w:framePr w:w="2217" w:h="3810" w:hRule="exact" w:hSpace="181" w:wrap="auto" w:vAnchor="page" w:hAnchor="page" w:x="8880" w:y="5852" w:anchorLock="1"/>
      </w:pPr>
      <w:r>
        <w:rPr>
          <w:noProof/>
        </w:rPr>
        <w:t>Monique Roslind Pedersen</w:t>
      </w:r>
    </w:p>
    <w:p w:rsidR="002F7A55" w:rsidRDefault="002F7A55" w:rsidP="00964AB3">
      <w:pPr>
        <w:pStyle w:val="Lille"/>
        <w:framePr w:w="2217" w:h="3810" w:hRule="exact" w:hSpace="181" w:wrap="auto" w:vAnchor="page" w:hAnchor="page" w:x="8880" w:y="5852" w:anchorLock="1"/>
      </w:pPr>
      <w:r>
        <w:t xml:space="preserve">Direkte tlf. </w:t>
      </w:r>
      <w:r>
        <w:rPr>
          <w:noProof/>
        </w:rPr>
        <w:t>58 57 31 66</w:t>
      </w:r>
    </w:p>
    <w:p w:rsidR="002F7A55" w:rsidRDefault="002F7A55" w:rsidP="00964AB3">
      <w:pPr>
        <w:pStyle w:val="Lille"/>
        <w:framePr w:w="2217" w:h="3810" w:hRule="exact" w:hSpace="181" w:wrap="auto" w:vAnchor="page" w:hAnchor="page" w:x="8880" w:y="5852" w:anchorLock="1"/>
      </w:pPr>
    </w:p>
    <w:p w:rsidR="002F7A55" w:rsidRDefault="002F7A55" w:rsidP="00964AB3">
      <w:pPr>
        <w:pStyle w:val="Lille"/>
        <w:framePr w:w="2217" w:h="3810" w:hRule="exact" w:hSpace="181" w:wrap="auto" w:vAnchor="page" w:hAnchor="page" w:x="8880" w:y="5852" w:anchorLock="1"/>
      </w:pPr>
    </w:p>
    <w:p w:rsidR="002F7A55" w:rsidRDefault="002F7A55" w:rsidP="00964AB3">
      <w:pPr>
        <w:pStyle w:val="Lille"/>
        <w:framePr w:w="2217" w:h="3810" w:hRule="exact" w:hSpace="181" w:wrap="auto" w:vAnchor="page" w:hAnchor="page" w:x="8880" w:y="5852" w:anchorLock="1"/>
      </w:pPr>
      <w:r>
        <w:t xml:space="preserve">Fax. </w:t>
      </w: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2F7A55" w:rsidRPr="006F6AFC" w:rsidRDefault="002F7A55" w:rsidP="00964AB3">
      <w:pPr>
        <w:pStyle w:val="Lille"/>
        <w:framePr w:w="2217" w:h="3810" w:hRule="exact" w:hSpace="181" w:wrap="auto" w:vAnchor="page" w:hAnchor="page" w:x="8880" w:y="5852" w:anchorLock="1"/>
      </w:pPr>
    </w:p>
    <w:p w:rsidR="000A3E3E" w:rsidRDefault="000A3E3E" w:rsidP="00F00CD8">
      <w:pPr>
        <w:spacing w:line="360" w:lineRule="auto"/>
      </w:pPr>
      <w:bookmarkStart w:id="1" w:name="autoopen"/>
      <w:bookmarkEnd w:id="1"/>
    </w:p>
    <w:p w:rsidR="005E7226" w:rsidRDefault="005E7226" w:rsidP="00F00CD8">
      <w:pPr>
        <w:spacing w:line="360" w:lineRule="auto"/>
      </w:pPr>
      <w:r>
        <w:t>Slagelse kommune meddeler hermed godkendelse til ændrede oplagsmængder af affaldstyper til genanvendelse på HJ Hansens oplagsplads på Norvangen 19, 4220 Korsør.</w:t>
      </w:r>
    </w:p>
    <w:p w:rsidR="00ED2A91" w:rsidRDefault="005E7226" w:rsidP="00F00CD8">
      <w:pPr>
        <w:spacing w:line="360" w:lineRule="auto"/>
      </w:pPr>
      <w:r>
        <w:t>Vilkårsændringen meddeles jævnfør § 33 i Miljøbeskyttelsesloven</w:t>
      </w:r>
      <w:r>
        <w:rPr>
          <w:rStyle w:val="Fodnotehenvisning"/>
        </w:rPr>
        <w:footnoteReference w:id="1"/>
      </w:r>
      <w:r>
        <w:t xml:space="preserve"> i eksisterende miljøgodkendelse af 12 april 2013</w:t>
      </w:r>
      <w:r w:rsidR="00ED2A91">
        <w:t>.</w:t>
      </w:r>
      <w:r w:rsidR="00E87F6E">
        <w:t xml:space="preserve"> </w:t>
      </w:r>
    </w:p>
    <w:p w:rsidR="005E7226" w:rsidRDefault="00ED2A91" w:rsidP="00F00CD8">
      <w:pPr>
        <w:spacing w:line="360" w:lineRule="auto"/>
      </w:pPr>
      <w:r>
        <w:t>T</w:t>
      </w:r>
      <w:r w:rsidR="0090456F">
        <w:t>ilhørende</w:t>
      </w:r>
      <w:r w:rsidR="00E87F6E">
        <w:t xml:space="preserve"> vilkårsænd</w:t>
      </w:r>
      <w:r w:rsidR="006841F7">
        <w:t>r</w:t>
      </w:r>
      <w:r w:rsidR="00E87F6E">
        <w:t>ing af 19. december 2016</w:t>
      </w:r>
      <w:r>
        <w:t xml:space="preserve"> bortfalder</w:t>
      </w:r>
      <w:r w:rsidR="00F96582">
        <w:t xml:space="preserve"> hermed</w:t>
      </w:r>
      <w:r>
        <w:t xml:space="preserve"> og erstattes af følgende:</w:t>
      </w:r>
    </w:p>
    <w:p w:rsidR="005E7226" w:rsidRDefault="005E7226" w:rsidP="00F00CD8">
      <w:pPr>
        <w:spacing w:line="360" w:lineRule="auto"/>
      </w:pPr>
    </w:p>
    <w:p w:rsidR="00ED2A91" w:rsidRPr="00ED2A91" w:rsidRDefault="00ED2A91" w:rsidP="00F00CD8">
      <w:pPr>
        <w:spacing w:line="360" w:lineRule="auto"/>
        <w:rPr>
          <w:b/>
        </w:rPr>
      </w:pPr>
      <w:r>
        <w:rPr>
          <w:b/>
        </w:rPr>
        <w:t>Vilkår 3:</w:t>
      </w:r>
    </w:p>
    <w:p w:rsidR="005E7226" w:rsidRDefault="005E7226" w:rsidP="00F00CD8">
      <w:pPr>
        <w:spacing w:line="360" w:lineRule="auto"/>
        <w:jc w:val="both"/>
        <w:rPr>
          <w:bCs/>
        </w:rPr>
      </w:pPr>
      <w:r>
        <w:rPr>
          <w:rFonts w:cs="Arial"/>
          <w:color w:val="000000"/>
        </w:rPr>
        <w:t xml:space="preserve">Virksomheden må modtage og opbevare de i tabel 1 nævnte affaldstyper/ -fraktioner. </w:t>
      </w:r>
    </w:p>
    <w:p w:rsidR="005E7226" w:rsidRDefault="005E7226" w:rsidP="00F00CD8">
      <w:pPr>
        <w:spacing w:line="360" w:lineRule="auto"/>
      </w:pPr>
      <w:r>
        <w:t>Tabel 1</w:t>
      </w:r>
    </w:p>
    <w:tbl>
      <w:tblPr>
        <w:tblStyle w:val="Tabel-Gitter"/>
        <w:tblW w:w="0" w:type="auto"/>
        <w:tblLook w:val="04A0" w:firstRow="1" w:lastRow="0" w:firstColumn="1" w:lastColumn="0" w:noHBand="0" w:noVBand="1"/>
      </w:tblPr>
      <w:tblGrid>
        <w:gridCol w:w="1865"/>
        <w:gridCol w:w="1127"/>
        <w:gridCol w:w="1180"/>
        <w:gridCol w:w="3471"/>
      </w:tblGrid>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pPr>
              <w:jc w:val="center"/>
            </w:pPr>
            <w:r>
              <w:t>Varetype</w:t>
            </w:r>
          </w:p>
        </w:tc>
        <w:tc>
          <w:tcPr>
            <w:tcW w:w="1128" w:type="dxa"/>
            <w:tcBorders>
              <w:top w:val="single" w:sz="4" w:space="0" w:color="auto"/>
              <w:left w:val="single" w:sz="4" w:space="0" w:color="auto"/>
              <w:bottom w:val="single" w:sz="4" w:space="0" w:color="auto"/>
              <w:right w:val="single" w:sz="4" w:space="0" w:color="auto"/>
            </w:tcBorders>
            <w:hideMark/>
          </w:tcPr>
          <w:p w:rsidR="005E7226" w:rsidRDefault="005E7226">
            <w:pPr>
              <w:jc w:val="center"/>
            </w:pPr>
            <w:r>
              <w:t>EAK-kode</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9F32B3">
            <w:pPr>
              <w:jc w:val="center"/>
            </w:pPr>
            <w:r>
              <w:t>Maksimalt</w:t>
            </w:r>
          </w:p>
          <w:p w:rsidR="005E7226" w:rsidRDefault="005E7226">
            <w:pPr>
              <w:jc w:val="center"/>
            </w:pPr>
            <w:r>
              <w:t>oplag</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pPr>
              <w:jc w:val="center"/>
            </w:pPr>
            <w:r>
              <w:t>Opbevaring</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Jern (formaterialer, herunder miljøbehandlede biler)</w:t>
            </w:r>
          </w:p>
        </w:tc>
        <w:tc>
          <w:tcPr>
            <w:tcW w:w="1128" w:type="dxa"/>
            <w:tcBorders>
              <w:top w:val="single" w:sz="4" w:space="0" w:color="auto"/>
              <w:left w:val="single" w:sz="4" w:space="0" w:color="auto"/>
              <w:bottom w:val="single" w:sz="4" w:space="0" w:color="auto"/>
              <w:right w:val="single" w:sz="4" w:space="0" w:color="auto"/>
            </w:tcBorders>
            <w:hideMark/>
          </w:tcPr>
          <w:p w:rsidR="005E7226" w:rsidRDefault="005E7226">
            <w:pPr>
              <w:jc w:val="both"/>
            </w:pPr>
            <w:r>
              <w:t>12 01 01</w:t>
            </w:r>
          </w:p>
          <w:p w:rsidR="005E7226" w:rsidRDefault="005E7226">
            <w:pPr>
              <w:jc w:val="both"/>
            </w:pPr>
            <w:r>
              <w:t>16 01 06</w:t>
            </w:r>
          </w:p>
          <w:p w:rsidR="005E7226" w:rsidRDefault="005E7226">
            <w:pPr>
              <w:jc w:val="both"/>
            </w:pPr>
            <w:r>
              <w:t>16 01 17</w:t>
            </w:r>
          </w:p>
          <w:p w:rsidR="005E7226" w:rsidRDefault="005E7226">
            <w:pPr>
              <w:jc w:val="both"/>
            </w:pPr>
            <w:r>
              <w:t>17 04 05</w:t>
            </w:r>
          </w:p>
          <w:p w:rsidR="005E7226" w:rsidRDefault="005E7226">
            <w:pPr>
              <w:jc w:val="both"/>
            </w:pPr>
            <w:r>
              <w:t>19 10 01</w:t>
            </w:r>
          </w:p>
          <w:p w:rsidR="005E7226" w:rsidRDefault="005E7226">
            <w:r>
              <w:t>19 12 02</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1.500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Varer, der kan afgive olie eller væsker, opbevares på betonarealet.</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Metaller</w:t>
            </w:r>
          </w:p>
        </w:tc>
        <w:tc>
          <w:tcPr>
            <w:tcW w:w="1128" w:type="dxa"/>
            <w:tcBorders>
              <w:top w:val="single" w:sz="4" w:space="0" w:color="auto"/>
              <w:left w:val="single" w:sz="4" w:space="0" w:color="auto"/>
              <w:bottom w:val="single" w:sz="4" w:space="0" w:color="auto"/>
              <w:right w:val="single" w:sz="4" w:space="0" w:color="auto"/>
            </w:tcBorders>
            <w:hideMark/>
          </w:tcPr>
          <w:p w:rsidR="005E7226" w:rsidRDefault="005E7226">
            <w:pPr>
              <w:jc w:val="both"/>
            </w:pPr>
            <w:r>
              <w:t>09 01 99</w:t>
            </w:r>
          </w:p>
          <w:p w:rsidR="005E7226" w:rsidRDefault="005E7226">
            <w:pPr>
              <w:jc w:val="both"/>
            </w:pPr>
            <w:r>
              <w:t>10 03 16</w:t>
            </w:r>
          </w:p>
          <w:p w:rsidR="005E7226" w:rsidRDefault="005E7226">
            <w:pPr>
              <w:jc w:val="both"/>
            </w:pPr>
            <w:r>
              <w:t>12 01 03</w:t>
            </w:r>
          </w:p>
          <w:p w:rsidR="005E7226" w:rsidRDefault="005E7226">
            <w:pPr>
              <w:jc w:val="both"/>
            </w:pPr>
            <w:r>
              <w:t>17 04 01</w:t>
            </w:r>
          </w:p>
          <w:p w:rsidR="005E7226" w:rsidRDefault="005E7226">
            <w:pPr>
              <w:jc w:val="both"/>
            </w:pPr>
            <w:r>
              <w:t>17 04 02</w:t>
            </w:r>
          </w:p>
          <w:p w:rsidR="005E7226" w:rsidRDefault="005E7226">
            <w:pPr>
              <w:jc w:val="both"/>
            </w:pPr>
            <w:r>
              <w:t>17 04 03</w:t>
            </w:r>
          </w:p>
          <w:p w:rsidR="005E7226" w:rsidRDefault="005E7226">
            <w:pPr>
              <w:jc w:val="both"/>
            </w:pPr>
            <w:r>
              <w:t>17 04 04</w:t>
            </w:r>
          </w:p>
          <w:p w:rsidR="005E7226" w:rsidRDefault="005E7226">
            <w:pPr>
              <w:jc w:val="both"/>
            </w:pPr>
            <w:r>
              <w:t>17 04 06</w:t>
            </w:r>
          </w:p>
          <w:p w:rsidR="005E7226" w:rsidRDefault="005E7226">
            <w:pPr>
              <w:jc w:val="both"/>
            </w:pPr>
            <w:r>
              <w:lastRenderedPageBreak/>
              <w:t>17 04 07</w:t>
            </w:r>
          </w:p>
          <w:p w:rsidR="005E7226" w:rsidRDefault="005E7226">
            <w:pPr>
              <w:jc w:val="both"/>
            </w:pPr>
            <w:r>
              <w:t>17 04 08</w:t>
            </w:r>
          </w:p>
          <w:p w:rsidR="005E7226" w:rsidRDefault="005E7226">
            <w:pPr>
              <w:jc w:val="both"/>
            </w:pPr>
            <w:r>
              <w:t>17 04 11</w:t>
            </w:r>
          </w:p>
          <w:p w:rsidR="005E7226" w:rsidRDefault="005E7226">
            <w:pPr>
              <w:jc w:val="both"/>
            </w:pPr>
            <w:r>
              <w:t>19 10 02</w:t>
            </w:r>
          </w:p>
          <w:p w:rsidR="005E7226" w:rsidRDefault="005E7226">
            <w:pPr>
              <w:jc w:val="both"/>
            </w:pPr>
            <w:r>
              <w:t>19 12 03</w:t>
            </w:r>
          </w:p>
          <w:p w:rsidR="005E7226" w:rsidRDefault="005E7226">
            <w:r>
              <w:t>20 01 40</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lastRenderedPageBreak/>
              <w:t>100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Ved risiko for afgivelse af olie sker opbevaring på betonarealet. Ved ingen risiko for afgivelse af olie sker opbevaring på asfaltarealet. Alternativt opbevares metaller i containere eller plastkasser i metalhallen.</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Akkumulatorer</w:t>
            </w:r>
          </w:p>
        </w:tc>
        <w:tc>
          <w:tcPr>
            <w:tcW w:w="1128" w:type="dxa"/>
            <w:tcBorders>
              <w:top w:val="single" w:sz="4" w:space="0" w:color="auto"/>
              <w:left w:val="single" w:sz="4" w:space="0" w:color="auto"/>
              <w:bottom w:val="single" w:sz="4" w:space="0" w:color="auto"/>
              <w:right w:val="single" w:sz="4" w:space="0" w:color="auto"/>
            </w:tcBorders>
            <w:hideMark/>
          </w:tcPr>
          <w:p w:rsidR="005E7226" w:rsidRPr="00292CD9" w:rsidRDefault="005E7226">
            <w:pPr>
              <w:rPr>
                <w:b/>
              </w:rPr>
            </w:pPr>
            <w:r w:rsidRPr="00292CD9">
              <w:rPr>
                <w:b/>
                <w:i/>
              </w:rPr>
              <w:t>160601</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30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i plastkasser, som er modstandsdygtige over</w:t>
            </w:r>
            <w:r w:rsidR="009F32B3">
              <w:t xml:space="preserve"> for syren i batterierne. Akk</w:t>
            </w:r>
            <w:r>
              <w:t>ukasser placeres i metalhallen eller udendørs enten under halvtag eller med låg.</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Ni-Cd batterier</w:t>
            </w:r>
          </w:p>
        </w:tc>
        <w:tc>
          <w:tcPr>
            <w:tcW w:w="1128" w:type="dxa"/>
            <w:tcBorders>
              <w:top w:val="single" w:sz="4" w:space="0" w:color="auto"/>
              <w:left w:val="single" w:sz="4" w:space="0" w:color="auto"/>
              <w:bottom w:val="single" w:sz="4" w:space="0" w:color="auto"/>
              <w:right w:val="single" w:sz="4" w:space="0" w:color="auto"/>
            </w:tcBorders>
            <w:hideMark/>
          </w:tcPr>
          <w:p w:rsidR="005E7226" w:rsidRPr="00292CD9" w:rsidRDefault="005E7226">
            <w:pPr>
              <w:rPr>
                <w:b/>
              </w:rPr>
            </w:pPr>
            <w:r w:rsidRPr="00292CD9">
              <w:rPr>
                <w:b/>
                <w:i/>
              </w:rPr>
              <w:t>160602</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100 kg</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Overdækket</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Drejespåner</w:t>
            </w:r>
          </w:p>
        </w:tc>
        <w:tc>
          <w:tcPr>
            <w:tcW w:w="1128" w:type="dxa"/>
            <w:tcBorders>
              <w:top w:val="single" w:sz="4" w:space="0" w:color="auto"/>
              <w:left w:val="single" w:sz="4" w:space="0" w:color="auto"/>
              <w:bottom w:val="single" w:sz="4" w:space="0" w:color="auto"/>
              <w:right w:val="single" w:sz="4" w:space="0" w:color="auto"/>
            </w:tcBorders>
            <w:hideMark/>
          </w:tcPr>
          <w:p w:rsidR="005E7226" w:rsidRDefault="005E7226">
            <w:r>
              <w:rPr>
                <w:i/>
              </w:rPr>
              <w:t>120101</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30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i overdækket container med mulighed for opsamling af bore-skære-væske.</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Elektronikskrot</w:t>
            </w:r>
          </w:p>
        </w:tc>
        <w:tc>
          <w:tcPr>
            <w:tcW w:w="1128" w:type="dxa"/>
            <w:tcBorders>
              <w:top w:val="single" w:sz="4" w:space="0" w:color="auto"/>
              <w:left w:val="single" w:sz="4" w:space="0" w:color="auto"/>
              <w:bottom w:val="single" w:sz="4" w:space="0" w:color="auto"/>
              <w:right w:val="single" w:sz="4" w:space="0" w:color="auto"/>
            </w:tcBorders>
            <w:hideMark/>
          </w:tcPr>
          <w:p w:rsidR="005E7226" w:rsidRPr="00292CD9" w:rsidRDefault="005E7226">
            <w:pPr>
              <w:rPr>
                <w:b/>
              </w:rPr>
            </w:pPr>
            <w:r w:rsidRPr="00292CD9">
              <w:rPr>
                <w:b/>
                <w:i/>
              </w:rPr>
              <w:t>160213</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5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i bure i metalhallen eller udendørs under overdækning.</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Kabler</w:t>
            </w:r>
          </w:p>
        </w:tc>
        <w:tc>
          <w:tcPr>
            <w:tcW w:w="1128" w:type="dxa"/>
            <w:tcBorders>
              <w:top w:val="single" w:sz="4" w:space="0" w:color="auto"/>
              <w:left w:val="single" w:sz="4" w:space="0" w:color="auto"/>
              <w:bottom w:val="single" w:sz="4" w:space="0" w:color="auto"/>
              <w:right w:val="single" w:sz="4" w:space="0" w:color="auto"/>
            </w:tcBorders>
          </w:tcPr>
          <w:p w:rsidR="005E7226" w:rsidRDefault="00861483">
            <w:r>
              <w:t>160216</w:t>
            </w:r>
          </w:p>
          <w:p w:rsidR="00623CD0" w:rsidRDefault="00623CD0">
            <w:r>
              <w:t>170411</w:t>
            </w:r>
          </w:p>
          <w:p w:rsidR="00861483" w:rsidRDefault="00F648BE">
            <w:r>
              <w:t>200136</w:t>
            </w:r>
          </w:p>
          <w:p w:rsidR="00623CD0" w:rsidRDefault="00623CD0">
            <w:r>
              <w:t>200199</w:t>
            </w:r>
          </w:p>
          <w:p w:rsidR="00F648BE" w:rsidRPr="00F648BE" w:rsidRDefault="00623CD0">
            <w:r>
              <w:t>200399</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50 ton</w:t>
            </w:r>
          </w:p>
        </w:tc>
        <w:tc>
          <w:tcPr>
            <w:tcW w:w="3484" w:type="dxa"/>
            <w:tcBorders>
              <w:top w:val="single" w:sz="4" w:space="0" w:color="auto"/>
              <w:left w:val="single" w:sz="4" w:space="0" w:color="auto"/>
              <w:bottom w:val="single" w:sz="4" w:space="0" w:color="auto"/>
              <w:right w:val="single" w:sz="4" w:space="0" w:color="auto"/>
            </w:tcBorders>
            <w:hideMark/>
          </w:tcPr>
          <w:p w:rsidR="00F648BE" w:rsidRPr="008A495C" w:rsidRDefault="005E7226">
            <w:r>
              <w:t>Opbevares udendørs i containere eller i båse enten på beton eller asfalt.</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Dæk</w:t>
            </w:r>
          </w:p>
        </w:tc>
        <w:tc>
          <w:tcPr>
            <w:tcW w:w="1128" w:type="dxa"/>
            <w:tcBorders>
              <w:top w:val="single" w:sz="4" w:space="0" w:color="auto"/>
              <w:left w:val="single" w:sz="4" w:space="0" w:color="auto"/>
              <w:bottom w:val="single" w:sz="4" w:space="0" w:color="auto"/>
              <w:right w:val="single" w:sz="4" w:space="0" w:color="auto"/>
            </w:tcBorders>
            <w:hideMark/>
          </w:tcPr>
          <w:p w:rsidR="005E7226" w:rsidRDefault="005E7226">
            <w:r>
              <w:rPr>
                <w:i/>
              </w:rPr>
              <w:t>160103</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10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udendørs i containere eller båse på asfaltareal.</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Kølemøbler</w:t>
            </w:r>
          </w:p>
        </w:tc>
        <w:tc>
          <w:tcPr>
            <w:tcW w:w="1128" w:type="dxa"/>
            <w:tcBorders>
              <w:top w:val="single" w:sz="4" w:space="0" w:color="auto"/>
              <w:left w:val="single" w:sz="4" w:space="0" w:color="auto"/>
              <w:bottom w:val="single" w:sz="4" w:space="0" w:color="auto"/>
              <w:right w:val="single" w:sz="4" w:space="0" w:color="auto"/>
            </w:tcBorders>
            <w:hideMark/>
          </w:tcPr>
          <w:p w:rsidR="005E7226" w:rsidRPr="00292CD9" w:rsidRDefault="00292CD9">
            <w:pPr>
              <w:jc w:val="both"/>
              <w:rPr>
                <w:b/>
                <w:i/>
              </w:rPr>
            </w:pPr>
            <w:r>
              <w:rPr>
                <w:b/>
                <w:i/>
              </w:rPr>
              <w:t>2001</w:t>
            </w:r>
            <w:r w:rsidR="005E7226" w:rsidRPr="00292CD9">
              <w:rPr>
                <w:b/>
                <w:i/>
              </w:rPr>
              <w:t>23</w:t>
            </w:r>
          </w:p>
          <w:p w:rsidR="005E7226" w:rsidRPr="00292CD9" w:rsidRDefault="00292CD9">
            <w:pPr>
              <w:rPr>
                <w:b/>
              </w:rPr>
            </w:pPr>
            <w:r>
              <w:rPr>
                <w:b/>
                <w:i/>
              </w:rPr>
              <w:t>2001</w:t>
            </w:r>
            <w:r w:rsidR="005E7226" w:rsidRPr="00292CD9">
              <w:rPr>
                <w:b/>
                <w:i/>
              </w:rPr>
              <w:t>35</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5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i containere placeret på areal med asfalt eller beton.</w:t>
            </w:r>
          </w:p>
        </w:tc>
      </w:tr>
      <w:tr w:rsidR="005E7226" w:rsidTr="005E7226">
        <w:tc>
          <w:tcPr>
            <w:tcW w:w="1865" w:type="dxa"/>
            <w:tcBorders>
              <w:top w:val="single" w:sz="4" w:space="0" w:color="auto"/>
              <w:left w:val="single" w:sz="4" w:space="0" w:color="auto"/>
              <w:bottom w:val="single" w:sz="4" w:space="0" w:color="auto"/>
              <w:right w:val="single" w:sz="4" w:space="0" w:color="auto"/>
            </w:tcBorders>
            <w:hideMark/>
          </w:tcPr>
          <w:p w:rsidR="005E7226" w:rsidRDefault="005E7226">
            <w:r>
              <w:t>Hvidevarer</w:t>
            </w:r>
          </w:p>
        </w:tc>
        <w:tc>
          <w:tcPr>
            <w:tcW w:w="1128" w:type="dxa"/>
            <w:tcBorders>
              <w:top w:val="single" w:sz="4" w:space="0" w:color="auto"/>
              <w:left w:val="single" w:sz="4" w:space="0" w:color="auto"/>
              <w:bottom w:val="single" w:sz="4" w:space="0" w:color="auto"/>
              <w:right w:val="single" w:sz="4" w:space="0" w:color="auto"/>
            </w:tcBorders>
            <w:hideMark/>
          </w:tcPr>
          <w:p w:rsidR="005E7226" w:rsidRPr="00292CD9" w:rsidRDefault="00292CD9">
            <w:pPr>
              <w:rPr>
                <w:b/>
              </w:rPr>
            </w:pPr>
            <w:r w:rsidRPr="00292CD9">
              <w:rPr>
                <w:b/>
              </w:rPr>
              <w:t>2001</w:t>
            </w:r>
            <w:r w:rsidR="005E7226" w:rsidRPr="00292CD9">
              <w:rPr>
                <w:b/>
              </w:rPr>
              <w:t xml:space="preserve">35 </w:t>
            </w:r>
          </w:p>
          <w:p w:rsidR="005E7226" w:rsidRDefault="005E7226">
            <w:r>
              <w:t>20 01 36</w:t>
            </w:r>
          </w:p>
        </w:tc>
        <w:tc>
          <w:tcPr>
            <w:tcW w:w="1144" w:type="dxa"/>
            <w:tcBorders>
              <w:top w:val="single" w:sz="4" w:space="0" w:color="auto"/>
              <w:left w:val="single" w:sz="4" w:space="0" w:color="auto"/>
              <w:bottom w:val="single" w:sz="4" w:space="0" w:color="auto"/>
              <w:right w:val="single" w:sz="4" w:space="0" w:color="auto"/>
            </w:tcBorders>
            <w:hideMark/>
          </w:tcPr>
          <w:p w:rsidR="005E7226" w:rsidRDefault="005E7226">
            <w:r>
              <w:t>50 ton</w:t>
            </w:r>
          </w:p>
        </w:tc>
        <w:tc>
          <w:tcPr>
            <w:tcW w:w="3484" w:type="dxa"/>
            <w:tcBorders>
              <w:top w:val="single" w:sz="4" w:space="0" w:color="auto"/>
              <w:left w:val="single" w:sz="4" w:space="0" w:color="auto"/>
              <w:bottom w:val="single" w:sz="4" w:space="0" w:color="auto"/>
              <w:right w:val="single" w:sz="4" w:space="0" w:color="auto"/>
            </w:tcBorders>
            <w:hideMark/>
          </w:tcPr>
          <w:p w:rsidR="005E7226" w:rsidRDefault="005E7226">
            <w:r>
              <w:t>Opbevares i bunken med formaterialer eller i containere placeret på areal med asfalt eller beton.</w:t>
            </w:r>
          </w:p>
        </w:tc>
      </w:tr>
    </w:tbl>
    <w:p w:rsidR="005E7226" w:rsidRDefault="005E7226" w:rsidP="00F00CD8">
      <w:pPr>
        <w:spacing w:line="360" w:lineRule="auto"/>
      </w:pPr>
    </w:p>
    <w:p w:rsidR="005E7226" w:rsidRDefault="005E7226" w:rsidP="00F00CD8">
      <w:pPr>
        <w:spacing w:line="360" w:lineRule="auto"/>
        <w:rPr>
          <w:b/>
        </w:rPr>
      </w:pPr>
      <w:r>
        <w:rPr>
          <w:b/>
        </w:rPr>
        <w:t>Baggrund</w:t>
      </w:r>
    </w:p>
    <w:p w:rsidR="00E87F6E" w:rsidRDefault="004B5BBE" w:rsidP="00F00CD8">
      <w:pPr>
        <w:spacing w:line="360" w:lineRule="auto"/>
        <w:rPr>
          <w:sz w:val="18"/>
          <w:szCs w:val="18"/>
        </w:rPr>
      </w:pPr>
      <w:r>
        <w:rPr>
          <w:sz w:val="18"/>
          <w:szCs w:val="18"/>
        </w:rPr>
        <w:t>HJ Hansen</w:t>
      </w:r>
      <w:r w:rsidR="00E87F6E">
        <w:rPr>
          <w:sz w:val="18"/>
          <w:szCs w:val="18"/>
        </w:rPr>
        <w:t xml:space="preserve"> fik d. 19. december 2016 meddelt en vilkår</w:t>
      </w:r>
      <w:r w:rsidR="0090456F">
        <w:rPr>
          <w:sz w:val="18"/>
          <w:szCs w:val="18"/>
        </w:rPr>
        <w:t>sændring, som tillod forøget maks</w:t>
      </w:r>
      <w:r w:rsidR="00E87F6E">
        <w:rPr>
          <w:sz w:val="18"/>
          <w:szCs w:val="18"/>
        </w:rPr>
        <w:t>imalt oplag af forskellige affaldsfraktioner til genanvendelse. I forbindelse med vilkårsændringen blev pladsen indrettet med båse til opbevaring af forskellige affaldsfraktioner, en hal til opbevaring af metaller</w:t>
      </w:r>
      <w:r>
        <w:rPr>
          <w:sz w:val="18"/>
          <w:szCs w:val="18"/>
        </w:rPr>
        <w:t xml:space="preserve"> mv.</w:t>
      </w:r>
      <w:r w:rsidR="00E87F6E">
        <w:rPr>
          <w:sz w:val="18"/>
          <w:szCs w:val="18"/>
        </w:rPr>
        <w:t xml:space="preserve"> og en brovægt. Herudover blev der ansat en </w:t>
      </w:r>
      <w:r>
        <w:rPr>
          <w:sz w:val="18"/>
          <w:szCs w:val="18"/>
        </w:rPr>
        <w:t>pladsansvarlig.</w:t>
      </w:r>
      <w:r w:rsidR="00E87F6E">
        <w:rPr>
          <w:sz w:val="18"/>
          <w:szCs w:val="18"/>
        </w:rPr>
        <w:t xml:space="preserve"> </w:t>
      </w:r>
      <w:r w:rsidR="005E7226">
        <w:rPr>
          <w:sz w:val="18"/>
          <w:szCs w:val="18"/>
        </w:rPr>
        <w:t xml:space="preserve"> </w:t>
      </w:r>
    </w:p>
    <w:p w:rsidR="00E87F6E" w:rsidRDefault="004B5BBE" w:rsidP="00F00CD8">
      <w:pPr>
        <w:spacing w:line="360" w:lineRule="auto"/>
        <w:rPr>
          <w:sz w:val="18"/>
          <w:szCs w:val="18"/>
        </w:rPr>
      </w:pPr>
      <w:r>
        <w:rPr>
          <w:sz w:val="18"/>
          <w:szCs w:val="18"/>
        </w:rPr>
        <w:t>Virksomheden har efterfølgende erfaret, at der er behov for endnu en vilkårsændring, der justerer oplagsmængderne.</w:t>
      </w:r>
    </w:p>
    <w:p w:rsidR="005E7226" w:rsidRDefault="005E7226" w:rsidP="005E7226">
      <w:pPr>
        <w:rPr>
          <w:sz w:val="18"/>
          <w:szCs w:val="18"/>
        </w:rPr>
      </w:pPr>
      <w:r>
        <w:rPr>
          <w:sz w:val="18"/>
          <w:szCs w:val="18"/>
        </w:rPr>
        <w:br/>
      </w:r>
    </w:p>
    <w:p w:rsidR="004B5BBE" w:rsidRDefault="004B5BBE" w:rsidP="005E7226">
      <w:pPr>
        <w:rPr>
          <w:sz w:val="18"/>
          <w:szCs w:val="18"/>
        </w:rPr>
      </w:pPr>
    </w:p>
    <w:p w:rsidR="00ED2A91" w:rsidRDefault="00ED2A91" w:rsidP="005E7226"/>
    <w:p w:rsidR="005E7226" w:rsidRDefault="005E7226" w:rsidP="00F00CD8">
      <w:pPr>
        <w:spacing w:line="360" w:lineRule="auto"/>
        <w:rPr>
          <w:b/>
        </w:rPr>
      </w:pPr>
      <w:r>
        <w:rPr>
          <w:b/>
        </w:rPr>
        <w:lastRenderedPageBreak/>
        <w:t>Slagelse kommunes begrundelse og vurdering</w:t>
      </w:r>
    </w:p>
    <w:p w:rsidR="005E7226" w:rsidRDefault="005E7226" w:rsidP="00F00CD8">
      <w:pPr>
        <w:spacing w:line="360" w:lineRule="auto"/>
        <w:rPr>
          <w:b/>
        </w:rPr>
      </w:pPr>
    </w:p>
    <w:p w:rsidR="005E7226" w:rsidRDefault="005E7226" w:rsidP="00F00CD8">
      <w:pPr>
        <w:spacing w:line="360" w:lineRule="auto"/>
        <w:rPr>
          <w:b/>
        </w:rPr>
      </w:pPr>
      <w:r>
        <w:rPr>
          <w:b/>
        </w:rPr>
        <w:t>Planforhold</w:t>
      </w:r>
    </w:p>
    <w:p w:rsidR="005E7226" w:rsidRDefault="005E7226" w:rsidP="00F00CD8">
      <w:pPr>
        <w:spacing w:line="360" w:lineRule="auto"/>
        <w:jc w:val="both"/>
        <w:rPr>
          <w:bCs/>
        </w:rPr>
      </w:pPr>
      <w:r>
        <w:rPr>
          <w:bCs/>
        </w:rPr>
        <w:t xml:space="preserve">Oplagspladsen er beliggende i planområde nr. 2.2E1 for Korsør. Området er udlagt til erhverv specifikt for havneaktiviteter. </w:t>
      </w:r>
    </w:p>
    <w:p w:rsidR="005E7226" w:rsidRDefault="005E7226" w:rsidP="00F00CD8">
      <w:pPr>
        <w:spacing w:line="360" w:lineRule="auto"/>
        <w:jc w:val="both"/>
        <w:rPr>
          <w:bCs/>
        </w:rPr>
      </w:pPr>
      <w:r>
        <w:rPr>
          <w:bCs/>
        </w:rPr>
        <w:t>Der er tale om en plads, som er afgrænset af betonelementer, men åben mod kaj. Pladsen er asfalteret</w:t>
      </w:r>
      <w:r w:rsidR="00623CD0">
        <w:rPr>
          <w:bCs/>
        </w:rPr>
        <w:t xml:space="preserve"> i den sydlige ende og beklædt med beton på den del, der vender ud mod havnen. Pladsen</w:t>
      </w:r>
      <w:r>
        <w:rPr>
          <w:bCs/>
        </w:rPr>
        <w:t xml:space="preserve"> afvandes via sandfang og olieudskiller med efterfølgende udledning direkte til Korsør </w:t>
      </w:r>
      <w:r w:rsidR="00623CD0">
        <w:rPr>
          <w:bCs/>
        </w:rPr>
        <w:t>Nor. Det vurderes, at overflade</w:t>
      </w:r>
      <w:r>
        <w:rPr>
          <w:bCs/>
        </w:rPr>
        <w:t xml:space="preserve">vand fra virksomheden ikke udgør en væsentlig risiko for forurening. </w:t>
      </w:r>
    </w:p>
    <w:p w:rsidR="005E7226" w:rsidRDefault="005E7226" w:rsidP="00F00CD8">
      <w:pPr>
        <w:spacing w:line="360" w:lineRule="auto"/>
        <w:rPr>
          <w:b/>
        </w:rPr>
      </w:pPr>
    </w:p>
    <w:p w:rsidR="005E7226" w:rsidRDefault="005E7226" w:rsidP="00F00CD8">
      <w:pPr>
        <w:spacing w:line="360" w:lineRule="auto"/>
        <w:rPr>
          <w:b/>
        </w:rPr>
      </w:pPr>
      <w:r>
        <w:rPr>
          <w:b/>
        </w:rPr>
        <w:t>Forhold vedr. VVM</w:t>
      </w:r>
    </w:p>
    <w:p w:rsidR="005E7226" w:rsidRDefault="005E7226" w:rsidP="00F00CD8">
      <w:pPr>
        <w:spacing w:line="360" w:lineRule="auto"/>
      </w:pPr>
      <w:r>
        <w:t xml:space="preserve">I forbindelse med miljøgodkendelsen af 12. april 2013, blev der d. 8. april 2013 gennemført en VVM screening for virksomheden og dens aktiviteter. VVM screeningen fandt ikke, at virksomhedens aktiviteter ville påvirke miljøet væsentligt. </w:t>
      </w:r>
    </w:p>
    <w:p w:rsidR="005E7226" w:rsidRDefault="005E7226" w:rsidP="00F00CD8">
      <w:pPr>
        <w:spacing w:line="360" w:lineRule="auto"/>
      </w:pPr>
      <w:r>
        <w:t xml:space="preserve">Da </w:t>
      </w:r>
      <w:r w:rsidR="007007AA">
        <w:t>virksomheden kun søger om at ændre</w:t>
      </w:r>
      <w:r>
        <w:t xml:space="preserve"> oplagsmængderne på pladsen, har Slagelse kommune valgt at tage udgangspunkt i eksisterende VVM screening til vurderingen af vilkårsændringen.</w:t>
      </w:r>
    </w:p>
    <w:p w:rsidR="005E7226" w:rsidRDefault="005E7226" w:rsidP="00F00CD8">
      <w:pPr>
        <w:spacing w:line="360" w:lineRule="auto"/>
      </w:pPr>
    </w:p>
    <w:p w:rsidR="005E7226" w:rsidRDefault="005E7226" w:rsidP="00F00CD8">
      <w:pPr>
        <w:spacing w:line="360" w:lineRule="auto"/>
      </w:pPr>
      <w:r>
        <w:t>Kommunen har i sin vurdering lagt vægt på:</w:t>
      </w:r>
    </w:p>
    <w:p w:rsidR="005E7226" w:rsidRDefault="005E7226" w:rsidP="00F00CD8">
      <w:pPr>
        <w:numPr>
          <w:ilvl w:val="0"/>
          <w:numId w:val="1"/>
        </w:numPr>
        <w:spacing w:line="360" w:lineRule="auto"/>
      </w:pPr>
      <w:r>
        <w:t>At ændringen vedrører mængder og ikke aktiviteter, som vil fortsætte som hidtil i henhold til miljøgodkendelsen.</w:t>
      </w:r>
    </w:p>
    <w:p w:rsidR="005E7226" w:rsidRDefault="005E7226" w:rsidP="00F00CD8">
      <w:pPr>
        <w:numPr>
          <w:ilvl w:val="0"/>
          <w:numId w:val="1"/>
        </w:numPr>
        <w:spacing w:line="360" w:lineRule="auto"/>
      </w:pPr>
      <w:r>
        <w:t>At virksomheden i forbindelse med vilkårsændringen</w:t>
      </w:r>
      <w:r w:rsidR="004B5BBE">
        <w:t xml:space="preserve"> af 19. december 2016 har i</w:t>
      </w:r>
      <w:r w:rsidR="001F5496">
        <w:t>ndført en effektiv sortering og en sikker opbevaring af affaldsfraktioner samt fast bemanding af pladsen</w:t>
      </w:r>
      <w:r>
        <w:t xml:space="preserve">. </w:t>
      </w:r>
    </w:p>
    <w:p w:rsidR="005E7226" w:rsidRDefault="005E7226" w:rsidP="00F00CD8">
      <w:pPr>
        <w:spacing w:line="360" w:lineRule="auto"/>
        <w:rPr>
          <w:b/>
        </w:rPr>
      </w:pPr>
    </w:p>
    <w:p w:rsidR="005E7226" w:rsidRDefault="005E7226" w:rsidP="00F00CD8">
      <w:pPr>
        <w:spacing w:line="360" w:lineRule="auto"/>
        <w:rPr>
          <w:b/>
        </w:rPr>
      </w:pPr>
      <w:r>
        <w:rPr>
          <w:b/>
        </w:rPr>
        <w:t>Forhold vedr. internationale beskyttelsesområder</w:t>
      </w:r>
    </w:p>
    <w:p w:rsidR="005E7226" w:rsidRDefault="005E7226" w:rsidP="00F00CD8">
      <w:pPr>
        <w:spacing w:line="360" w:lineRule="auto"/>
      </w:pPr>
      <w:r>
        <w:t xml:space="preserve">Pladsen har kaj kant ud til Korsør Nor, hvor der ikke er beskyttet natur. </w:t>
      </w:r>
    </w:p>
    <w:p w:rsidR="00F00CD8" w:rsidRDefault="005E7226" w:rsidP="00F00CD8">
      <w:pPr>
        <w:spacing w:line="360" w:lineRule="auto"/>
        <w:rPr>
          <w:color w:val="000000"/>
          <w:sz w:val="20"/>
          <w:szCs w:val="20"/>
        </w:rPr>
      </w:pPr>
      <w:r>
        <w:t xml:space="preserve">På modsatte side af Korsør by (ca. 850 m – 1000 m fra Norvangen 19) findes </w:t>
      </w:r>
      <w:r>
        <w:rPr>
          <w:color w:val="000000"/>
          <w:sz w:val="20"/>
          <w:szCs w:val="20"/>
        </w:rPr>
        <w:t>Natura 2000 område 116 ”Centrale Storebælt og Vresen, Habitatområde H100 og Fuglebeskyttelsesområde F73 og F985. Udpegningsgrundlaget for habitatområdet er naturtype 1170, rev. Fuglebeskyttelsen drejer sig om edderfugl og splitterne. Derudover er udpegningsgrundlaget marsvin, som også er på habitatdirektivets Bilag IV.</w:t>
      </w:r>
    </w:p>
    <w:p w:rsidR="005E7226" w:rsidRDefault="005E7226" w:rsidP="00F00CD8">
      <w:pPr>
        <w:spacing w:line="360" w:lineRule="auto"/>
        <w:rPr>
          <w:color w:val="000000"/>
          <w:sz w:val="20"/>
          <w:szCs w:val="20"/>
        </w:rPr>
      </w:pPr>
      <w:r>
        <w:rPr>
          <w:color w:val="000000"/>
          <w:sz w:val="20"/>
          <w:szCs w:val="20"/>
        </w:rPr>
        <w:lastRenderedPageBreak/>
        <w:t>H.J. Hansens aktiviteter vurderes ikke at komme til at påvirke de beskyttede områder væsentligt på baggrund af følgende:</w:t>
      </w:r>
    </w:p>
    <w:p w:rsidR="005E7226" w:rsidRDefault="005E7226" w:rsidP="00F00CD8">
      <w:pPr>
        <w:numPr>
          <w:ilvl w:val="0"/>
          <w:numId w:val="2"/>
        </w:numPr>
        <w:spacing w:line="360" w:lineRule="auto"/>
      </w:pPr>
      <w:r>
        <w:rPr>
          <w:color w:val="000000"/>
          <w:sz w:val="20"/>
          <w:szCs w:val="20"/>
        </w:rPr>
        <w:t>Pladsen ligger ikke direkte ud til de beskyttede områder.</w:t>
      </w:r>
    </w:p>
    <w:p w:rsidR="005E7226" w:rsidRDefault="005E7226" w:rsidP="00F00CD8">
      <w:pPr>
        <w:numPr>
          <w:ilvl w:val="0"/>
          <w:numId w:val="2"/>
        </w:numPr>
        <w:spacing w:line="360" w:lineRule="auto"/>
      </w:pPr>
      <w:r>
        <w:rPr>
          <w:color w:val="000000"/>
          <w:sz w:val="20"/>
          <w:szCs w:val="20"/>
        </w:rPr>
        <w:t xml:space="preserve">Det vand, der udledes fra pladsen, føres gennem sandfang og olieudskiller, inden det ledes ud i noret. </w:t>
      </w:r>
    </w:p>
    <w:p w:rsidR="005E7226" w:rsidRPr="001F5496" w:rsidRDefault="005E7226" w:rsidP="00F00CD8">
      <w:pPr>
        <w:numPr>
          <w:ilvl w:val="0"/>
          <w:numId w:val="2"/>
        </w:numPr>
        <w:spacing w:line="360" w:lineRule="auto"/>
      </w:pPr>
      <w:r>
        <w:rPr>
          <w:color w:val="000000"/>
          <w:sz w:val="20"/>
          <w:szCs w:val="20"/>
        </w:rPr>
        <w:t>Virksomheden har i sin miljøgodkendelse vilkår om, at indholdet af forurenende stoffer i det udledte vand ikke må overskride visse koncentrationer. For at kontrollere dette, skal virksomheden en gang årligt lade udtage og analysere prøver af det afledte vand.</w:t>
      </w:r>
    </w:p>
    <w:p w:rsidR="00ED2A91" w:rsidRDefault="00ED2A91" w:rsidP="00F00CD8">
      <w:pPr>
        <w:spacing w:line="360" w:lineRule="auto"/>
        <w:rPr>
          <w:b/>
        </w:rPr>
      </w:pPr>
    </w:p>
    <w:p w:rsidR="005E7226" w:rsidRDefault="005E7226" w:rsidP="00F00CD8">
      <w:pPr>
        <w:spacing w:line="360" w:lineRule="auto"/>
        <w:rPr>
          <w:b/>
        </w:rPr>
      </w:pPr>
      <w:r>
        <w:rPr>
          <w:b/>
        </w:rPr>
        <w:t>Lugt, støv, støj og egenkontrol</w:t>
      </w:r>
    </w:p>
    <w:p w:rsidR="005E7226" w:rsidRDefault="005E7226" w:rsidP="00F00CD8">
      <w:pPr>
        <w:spacing w:line="360" w:lineRule="auto"/>
        <w:rPr>
          <w:b/>
        </w:rPr>
      </w:pPr>
    </w:p>
    <w:p w:rsidR="005E7226" w:rsidRDefault="005E7226" w:rsidP="00F00CD8">
      <w:pPr>
        <w:spacing w:line="360" w:lineRule="auto"/>
      </w:pPr>
      <w:r>
        <w:rPr>
          <w:b/>
        </w:rPr>
        <w:t>Lugt:</w:t>
      </w:r>
      <w:r>
        <w:t xml:space="preserve"> </w:t>
      </w:r>
    </w:p>
    <w:p w:rsidR="005E7226" w:rsidRDefault="005E7226" w:rsidP="00F00CD8">
      <w:pPr>
        <w:spacing w:line="360" w:lineRule="auto"/>
      </w:pPr>
      <w:r>
        <w:t>Virksomhedens aktiviteter giver ikke anledning til lugt.</w:t>
      </w:r>
    </w:p>
    <w:p w:rsidR="005E7226" w:rsidRDefault="005E7226" w:rsidP="00F00CD8">
      <w:pPr>
        <w:spacing w:line="360" w:lineRule="auto"/>
        <w:rPr>
          <w:rFonts w:cs="Tahoma"/>
          <w:b/>
          <w:sz w:val="18"/>
          <w:szCs w:val="18"/>
          <w:lang w:eastAsia="da-DK"/>
        </w:rPr>
      </w:pPr>
    </w:p>
    <w:p w:rsidR="005E7226" w:rsidRDefault="005E7226" w:rsidP="00F00CD8">
      <w:pPr>
        <w:spacing w:line="360" w:lineRule="auto"/>
        <w:rPr>
          <w:rFonts w:cs="Tahoma"/>
          <w:sz w:val="18"/>
          <w:szCs w:val="18"/>
          <w:lang w:eastAsia="da-DK"/>
        </w:rPr>
      </w:pPr>
      <w:r>
        <w:rPr>
          <w:rFonts w:cs="Tahoma"/>
          <w:b/>
          <w:sz w:val="18"/>
          <w:szCs w:val="18"/>
          <w:lang w:eastAsia="da-DK"/>
        </w:rPr>
        <w:t>Støv:</w:t>
      </w:r>
      <w:r>
        <w:rPr>
          <w:rFonts w:cs="Tahoma"/>
          <w:sz w:val="18"/>
          <w:szCs w:val="18"/>
          <w:lang w:eastAsia="da-DK"/>
        </w:rPr>
        <w:t xml:space="preserve"> </w:t>
      </w:r>
    </w:p>
    <w:p w:rsidR="005E7226" w:rsidRDefault="005E7226" w:rsidP="00F00CD8">
      <w:pPr>
        <w:spacing w:line="360" w:lineRule="auto"/>
        <w:rPr>
          <w:rFonts w:cs="Tahoma"/>
          <w:sz w:val="18"/>
          <w:szCs w:val="18"/>
          <w:lang w:eastAsia="da-DK"/>
        </w:rPr>
      </w:pPr>
      <w:r>
        <w:rPr>
          <w:rFonts w:cs="Tahoma"/>
          <w:sz w:val="18"/>
          <w:szCs w:val="18"/>
          <w:lang w:eastAsia="da-DK"/>
        </w:rPr>
        <w:t>Forholdet er reguleret i vilkår 12 i eksisterende miljøgodkendelse. I vilkåret står der, at tilsynsmyndigheden kan kræve, at støvende oplag overdækkes eller befugtes, eller at der etableres afskærmning eller befugtning af knusnings-, presnings-, eller neddelingsaktiviteter, hvis der konstateres væsentlige støvgener.</w:t>
      </w:r>
    </w:p>
    <w:p w:rsidR="005E7226" w:rsidRDefault="005E7226" w:rsidP="00F00CD8">
      <w:pPr>
        <w:spacing w:line="360" w:lineRule="auto"/>
        <w:rPr>
          <w:rFonts w:cs="Tahoma"/>
          <w:b/>
          <w:sz w:val="18"/>
          <w:szCs w:val="18"/>
          <w:lang w:eastAsia="da-DK"/>
        </w:rPr>
      </w:pPr>
    </w:p>
    <w:p w:rsidR="005E7226" w:rsidRDefault="005E7226" w:rsidP="00F00CD8">
      <w:pPr>
        <w:spacing w:line="360" w:lineRule="auto"/>
        <w:rPr>
          <w:rFonts w:cs="Tahoma"/>
          <w:b/>
          <w:sz w:val="18"/>
          <w:szCs w:val="18"/>
          <w:lang w:eastAsia="da-DK"/>
        </w:rPr>
      </w:pPr>
      <w:r>
        <w:rPr>
          <w:rFonts w:cs="Tahoma"/>
          <w:b/>
          <w:sz w:val="18"/>
          <w:szCs w:val="18"/>
          <w:lang w:eastAsia="da-DK"/>
        </w:rPr>
        <w:t xml:space="preserve">Støj: </w:t>
      </w:r>
    </w:p>
    <w:p w:rsidR="005E7226" w:rsidRDefault="005E7226" w:rsidP="00F00CD8">
      <w:pPr>
        <w:spacing w:line="360" w:lineRule="auto"/>
        <w:rPr>
          <w:rFonts w:cs="Tahoma"/>
          <w:sz w:val="18"/>
          <w:szCs w:val="18"/>
          <w:lang w:eastAsia="da-DK"/>
        </w:rPr>
      </w:pPr>
      <w:r>
        <w:rPr>
          <w:rFonts w:cs="Tahoma"/>
          <w:sz w:val="18"/>
          <w:szCs w:val="18"/>
          <w:lang w:eastAsia="da-DK"/>
        </w:rPr>
        <w:t xml:space="preserve">Forholdet er reguleret i vilkår 13, 14 og 15 i eksisterende miljøgodkendelse. </w:t>
      </w:r>
    </w:p>
    <w:p w:rsidR="005E7226" w:rsidRDefault="005E7226" w:rsidP="00F00CD8">
      <w:pPr>
        <w:spacing w:line="360" w:lineRule="auto"/>
        <w:rPr>
          <w:rFonts w:cs="Tahoma"/>
          <w:sz w:val="18"/>
          <w:szCs w:val="18"/>
          <w:lang w:eastAsia="da-DK"/>
        </w:rPr>
      </w:pPr>
      <w:r>
        <w:rPr>
          <w:rFonts w:cs="Tahoma"/>
          <w:sz w:val="18"/>
          <w:szCs w:val="18"/>
          <w:lang w:eastAsia="da-DK"/>
        </w:rPr>
        <w:t>Vilkårene opstiller grænseværdier for virksomhedens støjbelastning på forskellige tider af døgnet.</w:t>
      </w:r>
    </w:p>
    <w:p w:rsidR="005E7226" w:rsidRDefault="005E7226" w:rsidP="00F00CD8">
      <w:pPr>
        <w:pStyle w:val="Kommentartekst"/>
        <w:spacing w:line="360" w:lineRule="auto"/>
        <w:rPr>
          <w:b/>
        </w:rPr>
      </w:pPr>
    </w:p>
    <w:p w:rsidR="005E7226" w:rsidRPr="005920AE" w:rsidRDefault="005E7226" w:rsidP="00F00CD8">
      <w:pPr>
        <w:pStyle w:val="Kommentartekst"/>
        <w:spacing w:line="360" w:lineRule="auto"/>
        <w:rPr>
          <w:b/>
          <w:sz w:val="18"/>
          <w:szCs w:val="18"/>
        </w:rPr>
      </w:pPr>
      <w:r w:rsidRPr="005920AE">
        <w:rPr>
          <w:b/>
          <w:sz w:val="18"/>
          <w:szCs w:val="18"/>
        </w:rPr>
        <w:t>Egenkontrol:</w:t>
      </w:r>
    </w:p>
    <w:p w:rsidR="005E7226" w:rsidRPr="005920AE" w:rsidRDefault="005E7226" w:rsidP="00F00CD8">
      <w:pPr>
        <w:pStyle w:val="Kommentartekst"/>
        <w:spacing w:line="360" w:lineRule="auto"/>
        <w:rPr>
          <w:sz w:val="18"/>
          <w:szCs w:val="18"/>
        </w:rPr>
      </w:pPr>
      <w:r w:rsidRPr="005920AE">
        <w:rPr>
          <w:sz w:val="18"/>
          <w:szCs w:val="18"/>
        </w:rPr>
        <w:t>Forhold vedr. spildevand (olieudskiller) og egenkontrol er reguleret i vilkår 24 – 39 i eksisterende miljøgodkendelse.</w:t>
      </w:r>
    </w:p>
    <w:p w:rsidR="005E7226" w:rsidRPr="005920AE" w:rsidRDefault="005E7226" w:rsidP="00F00CD8">
      <w:pPr>
        <w:pStyle w:val="Kommentartekst"/>
        <w:spacing w:line="360" w:lineRule="auto"/>
        <w:rPr>
          <w:sz w:val="18"/>
          <w:szCs w:val="18"/>
        </w:rPr>
      </w:pPr>
    </w:p>
    <w:p w:rsidR="005E7226" w:rsidRPr="005920AE" w:rsidRDefault="005E7226" w:rsidP="00F00CD8">
      <w:pPr>
        <w:pStyle w:val="Kommentartekst"/>
        <w:spacing w:line="360" w:lineRule="auto"/>
        <w:rPr>
          <w:b/>
          <w:sz w:val="18"/>
          <w:szCs w:val="18"/>
        </w:rPr>
      </w:pPr>
      <w:r w:rsidRPr="005920AE">
        <w:rPr>
          <w:b/>
          <w:sz w:val="18"/>
          <w:szCs w:val="18"/>
        </w:rPr>
        <w:t>Samlet vurdering</w:t>
      </w:r>
    </w:p>
    <w:p w:rsidR="005E7226" w:rsidRPr="005920AE" w:rsidRDefault="005E7226" w:rsidP="00F00CD8">
      <w:pPr>
        <w:pStyle w:val="Kommentartekst"/>
        <w:spacing w:line="360" w:lineRule="auto"/>
        <w:rPr>
          <w:sz w:val="18"/>
          <w:szCs w:val="18"/>
        </w:rPr>
      </w:pPr>
      <w:r w:rsidRPr="005920AE">
        <w:rPr>
          <w:sz w:val="18"/>
          <w:szCs w:val="18"/>
        </w:rPr>
        <w:t>Slagelse kommune vurderer, at oplaget kan drives uden væsentlige indvirkninger på miljøet, såfremt vilkårene i godkendelsen overholdes.</w:t>
      </w:r>
    </w:p>
    <w:p w:rsidR="00F00CD8" w:rsidRDefault="00F00CD8" w:rsidP="00F00CD8">
      <w:pPr>
        <w:pStyle w:val="Overskrift3"/>
        <w:spacing w:line="360" w:lineRule="auto"/>
        <w:rPr>
          <w:sz w:val="18"/>
          <w:szCs w:val="18"/>
        </w:rPr>
      </w:pPr>
      <w:bookmarkStart w:id="2" w:name="_Toc430867305"/>
      <w:bookmarkStart w:id="3" w:name="_Toc426534477"/>
      <w:bookmarkStart w:id="4" w:name="_Toc419109886"/>
      <w:bookmarkStart w:id="5" w:name="_Toc419109814"/>
      <w:bookmarkStart w:id="6" w:name="_Toc372871859"/>
    </w:p>
    <w:p w:rsidR="00F00CD8" w:rsidRPr="00F00CD8" w:rsidRDefault="00F00CD8" w:rsidP="00F00CD8"/>
    <w:p w:rsidR="005E7226" w:rsidRPr="005920AE" w:rsidRDefault="005E7226" w:rsidP="00F00CD8">
      <w:pPr>
        <w:pStyle w:val="Overskrift3"/>
        <w:spacing w:line="360" w:lineRule="auto"/>
        <w:rPr>
          <w:sz w:val="18"/>
          <w:szCs w:val="18"/>
        </w:rPr>
      </w:pPr>
      <w:r w:rsidRPr="005920AE">
        <w:rPr>
          <w:sz w:val="18"/>
          <w:szCs w:val="18"/>
        </w:rPr>
        <w:lastRenderedPageBreak/>
        <w:t>Offentliggørelse</w:t>
      </w:r>
      <w:bookmarkEnd w:id="2"/>
      <w:bookmarkEnd w:id="3"/>
      <w:bookmarkEnd w:id="4"/>
      <w:bookmarkEnd w:id="5"/>
      <w:bookmarkEnd w:id="6"/>
    </w:p>
    <w:p w:rsidR="005E7226" w:rsidRDefault="00F00CD8" w:rsidP="00F00CD8">
      <w:pPr>
        <w:pStyle w:val="Overskrift3"/>
        <w:spacing w:line="360" w:lineRule="auto"/>
        <w:rPr>
          <w:rFonts w:cs="Calibri"/>
          <w:b w:val="0"/>
          <w:color w:val="FF0000"/>
          <w:sz w:val="18"/>
          <w:szCs w:val="18"/>
        </w:rPr>
      </w:pPr>
      <w:bookmarkStart w:id="7" w:name="_Toc430867306"/>
      <w:bookmarkStart w:id="8" w:name="_Toc426534478"/>
      <w:bookmarkStart w:id="9" w:name="_Toc419109887"/>
      <w:bookmarkStart w:id="10" w:name="_Toc419109815"/>
      <w:r w:rsidRPr="005920AE">
        <w:rPr>
          <w:rFonts w:cs="Calibri"/>
          <w:b w:val="0"/>
          <w:sz w:val="18"/>
          <w:szCs w:val="18"/>
        </w:rPr>
        <w:t>Miljøgodkendelsen bliver offentliggjort på www.dma.mst.dk</w:t>
      </w:r>
      <w:r w:rsidRPr="005920AE">
        <w:rPr>
          <w:rFonts w:cs="Calibri"/>
          <w:b w:val="0"/>
          <w:color w:val="FF0000"/>
          <w:sz w:val="18"/>
          <w:szCs w:val="18"/>
        </w:rPr>
        <w:t xml:space="preserve"> </w:t>
      </w:r>
      <w:r w:rsidRPr="00225C6A">
        <w:rPr>
          <w:rFonts w:cs="Calibri"/>
          <w:b w:val="0"/>
          <w:sz w:val="18"/>
          <w:szCs w:val="18"/>
        </w:rPr>
        <w:t>den</w:t>
      </w:r>
      <w:r w:rsidR="00225C6A">
        <w:rPr>
          <w:rFonts w:cs="Calibri"/>
          <w:b w:val="0"/>
          <w:sz w:val="18"/>
          <w:szCs w:val="18"/>
        </w:rPr>
        <w:t xml:space="preserve"> 18. april</w:t>
      </w:r>
      <w:r w:rsidRPr="00225C6A">
        <w:rPr>
          <w:rFonts w:cs="Calibri"/>
          <w:b w:val="0"/>
          <w:sz w:val="18"/>
          <w:szCs w:val="18"/>
        </w:rPr>
        <w:t xml:space="preserve"> </w:t>
      </w:r>
      <w:r w:rsidR="00225C6A">
        <w:rPr>
          <w:rFonts w:cs="Calibri"/>
          <w:b w:val="0"/>
          <w:sz w:val="18"/>
          <w:szCs w:val="18"/>
        </w:rPr>
        <w:t>20</w:t>
      </w:r>
      <w:r w:rsidRPr="00225C6A">
        <w:rPr>
          <w:rFonts w:cs="Calibri"/>
          <w:b w:val="0"/>
          <w:sz w:val="18"/>
          <w:szCs w:val="18"/>
        </w:rPr>
        <w:t>17.</w:t>
      </w:r>
    </w:p>
    <w:p w:rsidR="00F00CD8" w:rsidRPr="00F00CD8" w:rsidRDefault="00F00CD8" w:rsidP="00F00CD8">
      <w:pPr>
        <w:spacing w:line="360" w:lineRule="auto"/>
      </w:pPr>
    </w:p>
    <w:p w:rsidR="00B55681" w:rsidRPr="005920AE" w:rsidRDefault="00B55681" w:rsidP="00F00CD8">
      <w:pPr>
        <w:pStyle w:val="Overskrift1"/>
        <w:spacing w:line="360" w:lineRule="auto"/>
        <w:rPr>
          <w:rFonts w:asciiTheme="minorHAnsi" w:hAnsiTheme="minorHAnsi" w:cs="Calibri"/>
          <w:sz w:val="18"/>
          <w:szCs w:val="18"/>
        </w:rPr>
      </w:pPr>
      <w:bookmarkStart w:id="11" w:name="_Toc476830051"/>
      <w:bookmarkStart w:id="12" w:name="_Toc430867308"/>
      <w:bookmarkStart w:id="13" w:name="_Toc426534479"/>
      <w:bookmarkStart w:id="14" w:name="_Toc419109889"/>
      <w:bookmarkStart w:id="15" w:name="_Toc419109817"/>
      <w:bookmarkEnd w:id="7"/>
      <w:bookmarkEnd w:id="8"/>
      <w:bookmarkEnd w:id="9"/>
      <w:bookmarkEnd w:id="10"/>
      <w:r w:rsidRPr="005920AE">
        <w:rPr>
          <w:rFonts w:cs="Calibri"/>
          <w:sz w:val="18"/>
          <w:szCs w:val="18"/>
        </w:rPr>
        <w:t>Klagevejledning</w:t>
      </w:r>
      <w:bookmarkEnd w:id="11"/>
      <w:r w:rsidRPr="005920AE">
        <w:rPr>
          <w:rFonts w:cs="Calibri"/>
          <w:b w:val="0"/>
          <w:sz w:val="18"/>
          <w:szCs w:val="18"/>
        </w:rPr>
        <w:br/>
      </w:r>
      <w:r w:rsidRPr="005920AE">
        <w:rPr>
          <w:rFonts w:cs="Calibri"/>
          <w:b w:val="0"/>
          <w:color w:val="000000"/>
          <w:sz w:val="18"/>
          <w:szCs w:val="18"/>
        </w:rPr>
        <w:t xml:space="preserve">Afgørelsen om miljøgodkendelse og ikke VVM-pligt kan påklages til Miljø- og Fødevareklagenævnet. </w:t>
      </w:r>
      <w:r w:rsidRPr="005920AE">
        <w:rPr>
          <w:rFonts w:cs="Calibri"/>
          <w:b w:val="0"/>
          <w:sz w:val="18"/>
          <w:szCs w:val="18"/>
        </w:rPr>
        <w:br/>
      </w:r>
      <w:r w:rsidRPr="005920AE">
        <w:rPr>
          <w:rFonts w:cs="Calibri"/>
          <w:b w:val="0"/>
          <w:color w:val="000000"/>
          <w:sz w:val="18"/>
          <w:szCs w:val="18"/>
        </w:rPr>
        <w:t>Du finder Klageportalen på internettet via www.</w:t>
      </w:r>
      <w:r w:rsidRPr="005920AE">
        <w:rPr>
          <w:rFonts w:cs="Calibri"/>
          <w:b w:val="0"/>
          <w:sz w:val="18"/>
          <w:szCs w:val="18"/>
        </w:rPr>
        <w:t>borger.dk</w:t>
      </w:r>
      <w:r w:rsidRPr="005920AE">
        <w:rPr>
          <w:rFonts w:cs="Calibri"/>
          <w:b w:val="0"/>
          <w:color w:val="000000"/>
          <w:sz w:val="18"/>
          <w:szCs w:val="18"/>
        </w:rPr>
        <w:t xml:space="preserve"> eller</w:t>
      </w:r>
      <w:r w:rsidRPr="005920AE">
        <w:rPr>
          <w:rFonts w:cs="Calibri"/>
          <w:b w:val="0"/>
          <w:sz w:val="18"/>
          <w:szCs w:val="18"/>
        </w:rPr>
        <w:t xml:space="preserve"> www.virk.dk</w:t>
      </w:r>
      <w:r w:rsidRPr="005920AE">
        <w:rPr>
          <w:rFonts w:cs="Calibri"/>
          <w:b w:val="0"/>
          <w:color w:val="000000"/>
          <w:sz w:val="18"/>
          <w:szCs w:val="18"/>
        </w:rPr>
        <w:t>. Søg efter ”Klageportal”.</w:t>
      </w:r>
    </w:p>
    <w:p w:rsidR="00B55681" w:rsidRPr="005920AE" w:rsidRDefault="00B55681" w:rsidP="00F00CD8">
      <w:pPr>
        <w:spacing w:line="360" w:lineRule="auto"/>
        <w:rPr>
          <w:rFonts w:cs="Calibri"/>
          <w:b/>
          <w:bCs/>
          <w:sz w:val="18"/>
          <w:szCs w:val="18"/>
        </w:rPr>
      </w:pPr>
    </w:p>
    <w:p w:rsidR="00B55681" w:rsidRPr="005920AE" w:rsidRDefault="00B55681" w:rsidP="00F00CD8">
      <w:pPr>
        <w:spacing w:line="360" w:lineRule="auto"/>
        <w:rPr>
          <w:rFonts w:cs="Calibri"/>
          <w:b/>
          <w:bCs/>
          <w:sz w:val="18"/>
          <w:szCs w:val="18"/>
        </w:rPr>
      </w:pPr>
      <w:r w:rsidRPr="005920AE">
        <w:rPr>
          <w:rFonts w:cs="Calibri"/>
          <w:b/>
          <w:bCs/>
          <w:sz w:val="18"/>
          <w:szCs w:val="18"/>
        </w:rPr>
        <w:t>Gebyr</w:t>
      </w:r>
    </w:p>
    <w:p w:rsidR="00B55681" w:rsidRPr="005920AE" w:rsidRDefault="00B55681" w:rsidP="00F00CD8">
      <w:pPr>
        <w:spacing w:line="360" w:lineRule="auto"/>
        <w:rPr>
          <w:rFonts w:cs="Calibri"/>
          <w:b/>
          <w:bCs/>
          <w:sz w:val="18"/>
          <w:szCs w:val="18"/>
        </w:rPr>
      </w:pPr>
      <w:r w:rsidRPr="005920AE">
        <w:rPr>
          <w:rFonts w:cs="Calibri"/>
          <w:sz w:val="18"/>
          <w:szCs w:val="18"/>
        </w:rPr>
        <w:t>I henhold til § 18 i loven om Miljø- og Fødevareklagenævnet</w:t>
      </w:r>
      <w:r w:rsidRPr="005920AE">
        <w:rPr>
          <w:rStyle w:val="Fodnotehenvisning"/>
          <w:rFonts w:cs="Calibri"/>
          <w:sz w:val="18"/>
          <w:szCs w:val="18"/>
        </w:rPr>
        <w:footnoteReference w:id="2"/>
      </w:r>
      <w:r w:rsidRPr="005920AE">
        <w:rPr>
          <w:rFonts w:cs="Calibri"/>
          <w:sz w:val="18"/>
          <w:szCs w:val="18"/>
        </w:rPr>
        <w:t xml:space="preserve"> skal den, der klager over en afgørelse betale et gebyr for behandling af en klage, der indbringes for nævnet. Privatpersoner skal betale et gebyr på 900 kr. For virksomheder og organisationer er gebyret på 1.800 kr. Betaling af klagegebyr sker ved elektronisk overførsel eller ved giroindbetaling til Nævnenes Hus. </w:t>
      </w:r>
    </w:p>
    <w:p w:rsidR="00B55681" w:rsidRPr="005920AE" w:rsidRDefault="00B55681" w:rsidP="00F00CD8">
      <w:pPr>
        <w:spacing w:line="360" w:lineRule="auto"/>
        <w:rPr>
          <w:rFonts w:cs="Calibri"/>
          <w:b/>
          <w:bCs/>
          <w:sz w:val="18"/>
          <w:szCs w:val="18"/>
        </w:rPr>
      </w:pPr>
    </w:p>
    <w:p w:rsidR="00B55681" w:rsidRPr="005920AE" w:rsidRDefault="00B55681" w:rsidP="00F00CD8">
      <w:pPr>
        <w:spacing w:line="360" w:lineRule="auto"/>
        <w:rPr>
          <w:rFonts w:cs="Calibri"/>
          <w:b/>
          <w:bCs/>
          <w:sz w:val="18"/>
          <w:szCs w:val="18"/>
        </w:rPr>
      </w:pPr>
      <w:r w:rsidRPr="005920AE">
        <w:rPr>
          <w:rFonts w:cs="Calibri"/>
          <w:b/>
          <w:bCs/>
          <w:sz w:val="18"/>
          <w:szCs w:val="18"/>
        </w:rPr>
        <w:t>Frist</w:t>
      </w:r>
    </w:p>
    <w:p w:rsidR="00B55681" w:rsidRPr="005920AE" w:rsidRDefault="00B55681" w:rsidP="00F00CD8">
      <w:pPr>
        <w:spacing w:line="360" w:lineRule="auto"/>
        <w:rPr>
          <w:rFonts w:cs="Calibri"/>
          <w:b/>
          <w:bCs/>
          <w:sz w:val="18"/>
          <w:szCs w:val="18"/>
        </w:rPr>
      </w:pPr>
      <w:r w:rsidRPr="005920AE">
        <w:rPr>
          <w:rFonts w:cs="Calibri"/>
          <w:sz w:val="18"/>
          <w:szCs w:val="18"/>
        </w:rPr>
        <w:t xml:space="preserve">Fristen for at klage til Miljø- og Fødevareklagenævnet er senest 4 uger efter afgørelsen er meddelt. Klagefristen udløber således d. </w:t>
      </w:r>
      <w:r w:rsidR="00DA4D5E" w:rsidRPr="00DA4D5E">
        <w:rPr>
          <w:rFonts w:cs="Calibri"/>
          <w:sz w:val="18"/>
          <w:szCs w:val="18"/>
        </w:rPr>
        <w:t xml:space="preserve">16. maj </w:t>
      </w:r>
      <w:r w:rsidRPr="00DA4D5E">
        <w:rPr>
          <w:rFonts w:cs="Calibri"/>
          <w:sz w:val="18"/>
          <w:szCs w:val="18"/>
        </w:rPr>
        <w:t>2017.</w:t>
      </w:r>
    </w:p>
    <w:p w:rsidR="00B55681" w:rsidRPr="005920AE" w:rsidRDefault="00B55681" w:rsidP="00F00CD8">
      <w:pPr>
        <w:spacing w:line="360" w:lineRule="auto"/>
        <w:rPr>
          <w:rFonts w:cs="Calibri"/>
          <w:b/>
          <w:bCs/>
          <w:sz w:val="18"/>
          <w:szCs w:val="18"/>
        </w:rPr>
      </w:pPr>
    </w:p>
    <w:p w:rsidR="00B55681" w:rsidRPr="005920AE" w:rsidRDefault="00B55681" w:rsidP="00F00CD8">
      <w:pPr>
        <w:spacing w:line="360" w:lineRule="auto"/>
        <w:rPr>
          <w:rFonts w:cs="Calibri"/>
          <w:b/>
          <w:bCs/>
          <w:sz w:val="18"/>
          <w:szCs w:val="18"/>
        </w:rPr>
      </w:pPr>
      <w:r w:rsidRPr="005920AE">
        <w:rPr>
          <w:rFonts w:cs="Calibri"/>
          <w:b/>
          <w:bCs/>
          <w:sz w:val="18"/>
          <w:szCs w:val="18"/>
        </w:rPr>
        <w:t>Søgsmål</w:t>
      </w:r>
    </w:p>
    <w:p w:rsidR="00B55681" w:rsidRPr="005920AE" w:rsidRDefault="00B55681" w:rsidP="00F00CD8">
      <w:pPr>
        <w:spacing w:line="360" w:lineRule="auto"/>
        <w:rPr>
          <w:rFonts w:cs="Calibri"/>
          <w:b/>
          <w:bCs/>
          <w:sz w:val="18"/>
          <w:szCs w:val="18"/>
        </w:rPr>
      </w:pPr>
      <w:r w:rsidRPr="005920AE">
        <w:rPr>
          <w:rFonts w:cs="Calibri"/>
          <w:sz w:val="18"/>
          <w:szCs w:val="18"/>
        </w:rPr>
        <w:t>I henhold til § 101 i miljøbeskyttelsesloven</w:t>
      </w:r>
      <w:r w:rsidRPr="005920AE">
        <w:rPr>
          <w:rStyle w:val="Fodnotehenvisning"/>
          <w:rFonts w:cs="Calibri"/>
          <w:sz w:val="18"/>
          <w:szCs w:val="18"/>
        </w:rPr>
        <w:footnoteReference w:id="3"/>
      </w:r>
      <w:r w:rsidRPr="005920AE">
        <w:rPr>
          <w:rFonts w:cs="Calibri"/>
          <w:sz w:val="18"/>
          <w:szCs w:val="18"/>
        </w:rPr>
        <w:t xml:space="preserve"> kan afgørelsen prøves ved domstolene. Sagen skal være anlagt senest 6 måneder efter, at afgørelsen er meddelt. Fristen for at anlægge søgsmål udløber således den </w:t>
      </w:r>
      <w:r w:rsidR="00DA4D5E">
        <w:rPr>
          <w:rFonts w:cs="Calibri"/>
          <w:sz w:val="18"/>
          <w:szCs w:val="18"/>
        </w:rPr>
        <w:t>18. oktober</w:t>
      </w:r>
      <w:r w:rsidRPr="00DA4D5E">
        <w:rPr>
          <w:rFonts w:cs="Calibri"/>
          <w:sz w:val="18"/>
          <w:szCs w:val="18"/>
        </w:rPr>
        <w:t xml:space="preserve"> 2017</w:t>
      </w:r>
      <w:r w:rsidRPr="005920AE">
        <w:rPr>
          <w:rFonts w:cs="Calibri"/>
          <w:sz w:val="18"/>
          <w:szCs w:val="18"/>
        </w:rPr>
        <w:t>.</w:t>
      </w:r>
    </w:p>
    <w:bookmarkEnd w:id="12"/>
    <w:bookmarkEnd w:id="13"/>
    <w:bookmarkEnd w:id="14"/>
    <w:bookmarkEnd w:id="15"/>
    <w:p w:rsidR="005E7226" w:rsidRPr="005920AE" w:rsidRDefault="005E7226" w:rsidP="00F00CD8">
      <w:pPr>
        <w:spacing w:line="360" w:lineRule="auto"/>
        <w:rPr>
          <w:sz w:val="18"/>
          <w:szCs w:val="18"/>
        </w:rPr>
      </w:pPr>
    </w:p>
    <w:p w:rsidR="005E7226" w:rsidRPr="005920AE" w:rsidRDefault="005E7226" w:rsidP="00F00CD8">
      <w:pPr>
        <w:pStyle w:val="Overskrift3"/>
        <w:spacing w:line="360" w:lineRule="auto"/>
        <w:rPr>
          <w:rFonts w:cs="Times New Roman"/>
          <w:sz w:val="18"/>
          <w:szCs w:val="18"/>
        </w:rPr>
      </w:pPr>
      <w:r w:rsidRPr="005920AE">
        <w:rPr>
          <w:rFonts w:cs="Times New Roman"/>
          <w:sz w:val="18"/>
          <w:szCs w:val="18"/>
        </w:rPr>
        <w:t>Øvrige forhold</w:t>
      </w:r>
    </w:p>
    <w:p w:rsidR="009F32B3" w:rsidRDefault="005E7226" w:rsidP="00DA4D5E">
      <w:pPr>
        <w:spacing w:line="360" w:lineRule="auto"/>
        <w:rPr>
          <w:sz w:val="18"/>
          <w:szCs w:val="18"/>
        </w:rPr>
      </w:pPr>
      <w:r w:rsidRPr="005920AE">
        <w:rPr>
          <w:sz w:val="18"/>
          <w:szCs w:val="18"/>
        </w:rPr>
        <w:t>Der er med denne miljøgodkendelse udelukkende taget stilling til forhold i henhold til Miljøbeskyttelsesloven. Der er således ikke taget stilling til eventuel god</w:t>
      </w:r>
      <w:r w:rsidRPr="005920AE">
        <w:rPr>
          <w:sz w:val="18"/>
          <w:szCs w:val="18"/>
        </w:rPr>
        <w:softHyphen/>
        <w:t>kendelse efter anden lovgiv</w:t>
      </w:r>
      <w:r w:rsidRPr="005920AE">
        <w:rPr>
          <w:sz w:val="18"/>
          <w:szCs w:val="18"/>
        </w:rPr>
        <w:softHyphen/>
        <w:t>ning, f.eks. Byggeloven, Jordforureningsloven, Arbejdsmiljøloven eller Bered</w:t>
      </w:r>
      <w:r w:rsidRPr="005920AE">
        <w:rPr>
          <w:sz w:val="18"/>
          <w:szCs w:val="18"/>
        </w:rPr>
        <w:softHyphen/>
        <w:t>skabsloven.</w:t>
      </w:r>
    </w:p>
    <w:p w:rsidR="00DA4D5E" w:rsidRPr="00DA4D5E" w:rsidRDefault="00DA4D5E" w:rsidP="00DA4D5E">
      <w:pPr>
        <w:spacing w:line="360" w:lineRule="auto"/>
        <w:rPr>
          <w:sz w:val="18"/>
          <w:szCs w:val="18"/>
        </w:rPr>
      </w:pPr>
    </w:p>
    <w:p w:rsidR="005E7226" w:rsidRPr="005920AE" w:rsidRDefault="005E7226" w:rsidP="00F00CD8">
      <w:pPr>
        <w:pStyle w:val="Overskrift8"/>
        <w:spacing w:line="360" w:lineRule="auto"/>
        <w:rPr>
          <w:rFonts w:ascii="Verdana" w:hAnsi="Verdana"/>
          <w:b/>
          <w:color w:val="auto"/>
          <w:sz w:val="18"/>
          <w:szCs w:val="18"/>
        </w:rPr>
      </w:pPr>
      <w:r w:rsidRPr="005920AE">
        <w:rPr>
          <w:rFonts w:ascii="Verdana" w:hAnsi="Verdana"/>
          <w:b/>
          <w:color w:val="auto"/>
          <w:sz w:val="18"/>
          <w:szCs w:val="18"/>
        </w:rPr>
        <w:t>Grundlag for afgørelsen</w:t>
      </w:r>
    </w:p>
    <w:p w:rsidR="005E7226" w:rsidRPr="005920AE" w:rsidRDefault="00B55681" w:rsidP="00F00CD8">
      <w:pPr>
        <w:numPr>
          <w:ilvl w:val="0"/>
          <w:numId w:val="3"/>
        </w:numPr>
        <w:tabs>
          <w:tab w:val="left" w:pos="540"/>
        </w:tabs>
        <w:spacing w:line="360" w:lineRule="auto"/>
        <w:jc w:val="both"/>
        <w:rPr>
          <w:rFonts w:cs="Arial"/>
          <w:color w:val="000000"/>
          <w:sz w:val="18"/>
          <w:szCs w:val="18"/>
        </w:rPr>
      </w:pPr>
      <w:r w:rsidRPr="005920AE">
        <w:rPr>
          <w:rFonts w:cs="Arial"/>
          <w:color w:val="000000"/>
          <w:sz w:val="18"/>
          <w:szCs w:val="18"/>
        </w:rPr>
        <w:t>Ansøgning af 30. marts 2017</w:t>
      </w:r>
    </w:p>
    <w:p w:rsidR="005E7226" w:rsidRPr="005920AE" w:rsidRDefault="005E7226" w:rsidP="00F00CD8">
      <w:pPr>
        <w:numPr>
          <w:ilvl w:val="0"/>
          <w:numId w:val="3"/>
        </w:numPr>
        <w:tabs>
          <w:tab w:val="left" w:pos="540"/>
        </w:tabs>
        <w:spacing w:line="360" w:lineRule="auto"/>
        <w:jc w:val="both"/>
        <w:rPr>
          <w:rFonts w:cs="Arial"/>
          <w:color w:val="000000"/>
          <w:sz w:val="18"/>
          <w:szCs w:val="18"/>
        </w:rPr>
      </w:pPr>
      <w:r w:rsidRPr="005920AE">
        <w:rPr>
          <w:rFonts w:cs="Arial"/>
          <w:color w:val="000000"/>
          <w:sz w:val="18"/>
          <w:szCs w:val="18"/>
        </w:rPr>
        <w:t>Miljøgodkendelse af 12. april 2013</w:t>
      </w:r>
    </w:p>
    <w:p w:rsidR="00B55681" w:rsidRPr="005920AE" w:rsidRDefault="00B55681" w:rsidP="00F00CD8">
      <w:pPr>
        <w:numPr>
          <w:ilvl w:val="0"/>
          <w:numId w:val="3"/>
        </w:numPr>
        <w:tabs>
          <w:tab w:val="left" w:pos="540"/>
        </w:tabs>
        <w:spacing w:line="360" w:lineRule="auto"/>
        <w:jc w:val="both"/>
        <w:rPr>
          <w:rFonts w:cs="Arial"/>
          <w:color w:val="000000"/>
          <w:sz w:val="18"/>
          <w:szCs w:val="18"/>
        </w:rPr>
      </w:pPr>
      <w:r w:rsidRPr="005920AE">
        <w:rPr>
          <w:rFonts w:cs="Arial"/>
          <w:color w:val="000000"/>
          <w:sz w:val="18"/>
          <w:szCs w:val="18"/>
        </w:rPr>
        <w:t>Vilkårsændring af d. 19. december 2016</w:t>
      </w:r>
    </w:p>
    <w:p w:rsidR="005E7226" w:rsidRPr="005920AE" w:rsidRDefault="005E7226" w:rsidP="00F00CD8">
      <w:pPr>
        <w:numPr>
          <w:ilvl w:val="0"/>
          <w:numId w:val="3"/>
        </w:numPr>
        <w:tabs>
          <w:tab w:val="left" w:pos="540"/>
        </w:tabs>
        <w:spacing w:line="360" w:lineRule="auto"/>
        <w:jc w:val="both"/>
        <w:rPr>
          <w:rFonts w:cs="Arial"/>
          <w:color w:val="000000"/>
          <w:sz w:val="18"/>
          <w:szCs w:val="18"/>
        </w:rPr>
      </w:pPr>
      <w:r w:rsidRPr="005920AE">
        <w:rPr>
          <w:rFonts w:cs="Arial"/>
          <w:color w:val="000000"/>
          <w:sz w:val="18"/>
          <w:szCs w:val="18"/>
        </w:rPr>
        <w:t xml:space="preserve">VVM afgørelse af 8. april 2013 </w:t>
      </w:r>
    </w:p>
    <w:p w:rsidR="002F7A55" w:rsidRPr="00F00CD8" w:rsidRDefault="005E7226" w:rsidP="00F00CD8">
      <w:pPr>
        <w:numPr>
          <w:ilvl w:val="0"/>
          <w:numId w:val="3"/>
        </w:numPr>
        <w:tabs>
          <w:tab w:val="left" w:pos="540"/>
        </w:tabs>
        <w:spacing w:line="360" w:lineRule="auto"/>
        <w:jc w:val="both"/>
        <w:rPr>
          <w:rFonts w:cs="Arial"/>
          <w:color w:val="000000"/>
          <w:sz w:val="18"/>
          <w:szCs w:val="18"/>
        </w:rPr>
      </w:pPr>
      <w:r w:rsidRPr="005920AE">
        <w:rPr>
          <w:rFonts w:cs="Arial"/>
          <w:color w:val="000000"/>
          <w:sz w:val="18"/>
          <w:szCs w:val="18"/>
        </w:rPr>
        <w:t>Lokalplan 26</w:t>
      </w:r>
    </w:p>
    <w:sectPr w:rsidR="002F7A55" w:rsidRPr="00F00CD8" w:rsidSect="00086B7C">
      <w:headerReference w:type="default" r:id="rId8"/>
      <w:headerReference w:type="first" r:id="rId9"/>
      <w:pgSz w:w="11906" w:h="16838" w:code="9"/>
      <w:pgMar w:top="2098" w:right="3232" w:bottom="1701" w:left="1247" w:header="124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6D" w:rsidRDefault="0081756D">
      <w:r>
        <w:separator/>
      </w:r>
    </w:p>
  </w:endnote>
  <w:endnote w:type="continuationSeparator" w:id="0">
    <w:p w:rsidR="0081756D" w:rsidRDefault="0081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6D" w:rsidRDefault="0081756D">
      <w:r>
        <w:separator/>
      </w:r>
    </w:p>
  </w:footnote>
  <w:footnote w:type="continuationSeparator" w:id="0">
    <w:p w:rsidR="0081756D" w:rsidRDefault="0081756D">
      <w:r>
        <w:continuationSeparator/>
      </w:r>
    </w:p>
  </w:footnote>
  <w:footnote w:id="1">
    <w:p w:rsidR="005E7226" w:rsidRDefault="005E7226" w:rsidP="005E7226">
      <w:pPr>
        <w:pStyle w:val="Fodnotetekst"/>
      </w:pPr>
      <w:r>
        <w:rPr>
          <w:rStyle w:val="Fodnotehenvisning"/>
        </w:rPr>
        <w:footnoteRef/>
      </w:r>
      <w:r>
        <w:t xml:space="preserve"> LBK nr. 1189 af 27/09/2016.</w:t>
      </w:r>
    </w:p>
  </w:footnote>
  <w:footnote w:id="2">
    <w:p w:rsidR="00B55681" w:rsidRDefault="00B55681" w:rsidP="00B55681">
      <w:pPr>
        <w:pStyle w:val="Fodnotetekst"/>
      </w:pPr>
      <w:r>
        <w:rPr>
          <w:rStyle w:val="Fodnotehenvisning"/>
        </w:rPr>
        <w:footnoteRef/>
      </w:r>
      <w:r>
        <w:t xml:space="preserve"> </w:t>
      </w:r>
      <w:r>
        <w:rPr>
          <w:sz w:val="18"/>
          <w:szCs w:val="18"/>
        </w:rPr>
        <w:t>Lov nr. 1715 af 27/12/2016</w:t>
      </w:r>
    </w:p>
  </w:footnote>
  <w:footnote w:id="3">
    <w:p w:rsidR="00B55681" w:rsidRDefault="00B55681" w:rsidP="00B55681">
      <w:pPr>
        <w:pStyle w:val="Fodnotetekst"/>
      </w:pPr>
      <w:r>
        <w:rPr>
          <w:rStyle w:val="Fodnotehenvisning"/>
        </w:rPr>
        <w:footnoteRef/>
      </w:r>
      <w:r>
        <w:t xml:space="preserve"> </w:t>
      </w:r>
      <w:r w:rsidRPr="00AC6A29">
        <w:rPr>
          <w:sz w:val="18"/>
          <w:szCs w:val="18"/>
        </w:rPr>
        <w:t>LBK. n</w:t>
      </w:r>
      <w:r>
        <w:rPr>
          <w:sz w:val="18"/>
          <w:szCs w:val="18"/>
        </w:rPr>
        <w:t>r. 1189 af 27/09/2016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55" w:rsidRDefault="00945F1B">
    <w:pPr>
      <w:pStyle w:val="Sidehoved"/>
    </w:pPr>
    <w:r>
      <w:rPr>
        <w:noProof/>
        <w:lang w:eastAsia="da-DK"/>
      </w:rPr>
      <w:drawing>
        <wp:anchor distT="0" distB="0" distL="114300" distR="114300" simplePos="0" relativeHeight="251658752" behindDoc="0" locked="1" layoutInCell="1" allowOverlap="1">
          <wp:simplePos x="0" y="0"/>
          <wp:positionH relativeFrom="column">
            <wp:posOffset>4850765</wp:posOffset>
          </wp:positionH>
          <wp:positionV relativeFrom="page">
            <wp:posOffset>612140</wp:posOffset>
          </wp:positionV>
          <wp:extent cx="809625" cy="1009650"/>
          <wp:effectExtent l="0" t="0" r="9525"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6704" behindDoc="0" locked="1" layoutInCell="1" allowOverlap="1">
              <wp:simplePos x="0" y="0"/>
              <wp:positionH relativeFrom="column">
                <wp:posOffset>4867275</wp:posOffset>
              </wp:positionH>
              <wp:positionV relativeFrom="paragraph">
                <wp:posOffset>988060</wp:posOffset>
              </wp:positionV>
              <wp:extent cx="715010" cy="269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A55" w:rsidRPr="00CC6F6B" w:rsidRDefault="002F7A55" w:rsidP="00C611C0">
                          <w:pPr>
                            <w:pStyle w:val="Sidefod"/>
                            <w:rPr>
                              <w:rFonts w:ascii="Arial" w:hAnsi="Arial" w:cs="Arial"/>
                              <w:sz w:val="16"/>
                              <w:szCs w:val="16"/>
                            </w:rPr>
                          </w:pPr>
                          <w:r>
                            <w:rPr>
                              <w:rStyle w:val="Sidetal"/>
                            </w:rPr>
                            <w:t>Side</w:t>
                          </w:r>
                          <w:r w:rsidR="002E6C42">
                            <w:rPr>
                              <w:rStyle w:val="Sidetal"/>
                            </w:rPr>
                            <w:fldChar w:fldCharType="begin"/>
                          </w:r>
                          <w:r>
                            <w:rPr>
                              <w:rStyle w:val="Sidetal"/>
                            </w:rPr>
                            <w:instrText xml:space="preserve"> PAGE </w:instrText>
                          </w:r>
                          <w:r w:rsidR="002E6C42">
                            <w:rPr>
                              <w:rStyle w:val="Sidetal"/>
                            </w:rPr>
                            <w:fldChar w:fldCharType="separate"/>
                          </w:r>
                          <w:r w:rsidR="00945F1B">
                            <w:rPr>
                              <w:rStyle w:val="Sidetal"/>
                              <w:noProof/>
                            </w:rPr>
                            <w:t>5</w:t>
                          </w:r>
                          <w:r w:rsidR="002E6C42">
                            <w:rPr>
                              <w:rStyle w:val="Sidetal"/>
                            </w:rPr>
                            <w:fldChar w:fldCharType="end"/>
                          </w:r>
                          <w:r>
                            <w:rPr>
                              <w:rStyle w:val="Sidetal"/>
                            </w:rPr>
                            <w:t>/</w:t>
                          </w:r>
                          <w:r w:rsidR="002E6C42">
                            <w:rPr>
                              <w:rStyle w:val="Sidetal"/>
                            </w:rPr>
                            <w:fldChar w:fldCharType="begin"/>
                          </w:r>
                          <w:r>
                            <w:rPr>
                              <w:rStyle w:val="Sidetal"/>
                            </w:rPr>
                            <w:instrText xml:space="preserve"> NUMPAGES </w:instrText>
                          </w:r>
                          <w:r w:rsidR="002E6C42">
                            <w:rPr>
                              <w:rStyle w:val="Sidetal"/>
                            </w:rPr>
                            <w:fldChar w:fldCharType="separate"/>
                          </w:r>
                          <w:r w:rsidR="00945F1B">
                            <w:rPr>
                              <w:rStyle w:val="Sidetal"/>
                              <w:noProof/>
                            </w:rPr>
                            <w:t>5</w:t>
                          </w:r>
                          <w:r w:rsidR="002E6C42">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25pt;margin-top:77.8pt;width:56.3pt;height:2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" filled="f" stroked="f">
              <v:textbox style="mso-fit-shape-to-text:t" inset="0">
                <w:txbxContent>
                  <w:p w:rsidR="002F7A55" w:rsidRPr="00CC6F6B" w:rsidRDefault="002F7A55" w:rsidP="00C611C0">
                    <w:pPr>
                      <w:pStyle w:val="Sidefod"/>
                      <w:rPr>
                        <w:rFonts w:ascii="Arial" w:hAnsi="Arial" w:cs="Arial"/>
                        <w:sz w:val="16"/>
                        <w:szCs w:val="16"/>
                      </w:rPr>
                    </w:pPr>
                    <w:r>
                      <w:rPr>
                        <w:rStyle w:val="Sidetal"/>
                      </w:rPr>
                      <w:t>Side</w:t>
                    </w:r>
                    <w:r w:rsidR="002E6C42">
                      <w:rPr>
                        <w:rStyle w:val="Sidetal"/>
                      </w:rPr>
                      <w:fldChar w:fldCharType="begin"/>
                    </w:r>
                    <w:r>
                      <w:rPr>
                        <w:rStyle w:val="Sidetal"/>
                      </w:rPr>
                      <w:instrText xml:space="preserve"> PAGE </w:instrText>
                    </w:r>
                    <w:r w:rsidR="002E6C42">
                      <w:rPr>
                        <w:rStyle w:val="Sidetal"/>
                      </w:rPr>
                      <w:fldChar w:fldCharType="separate"/>
                    </w:r>
                    <w:r w:rsidR="00945F1B">
                      <w:rPr>
                        <w:rStyle w:val="Sidetal"/>
                        <w:noProof/>
                      </w:rPr>
                      <w:t>5</w:t>
                    </w:r>
                    <w:r w:rsidR="002E6C42">
                      <w:rPr>
                        <w:rStyle w:val="Sidetal"/>
                      </w:rPr>
                      <w:fldChar w:fldCharType="end"/>
                    </w:r>
                    <w:r>
                      <w:rPr>
                        <w:rStyle w:val="Sidetal"/>
                      </w:rPr>
                      <w:t>/</w:t>
                    </w:r>
                    <w:r w:rsidR="002E6C42">
                      <w:rPr>
                        <w:rStyle w:val="Sidetal"/>
                      </w:rPr>
                      <w:fldChar w:fldCharType="begin"/>
                    </w:r>
                    <w:r>
                      <w:rPr>
                        <w:rStyle w:val="Sidetal"/>
                      </w:rPr>
                      <w:instrText xml:space="preserve"> NUMPAGES </w:instrText>
                    </w:r>
                    <w:r w:rsidR="002E6C42">
                      <w:rPr>
                        <w:rStyle w:val="Sidetal"/>
                      </w:rPr>
                      <w:fldChar w:fldCharType="separate"/>
                    </w:r>
                    <w:r w:rsidR="00945F1B">
                      <w:rPr>
                        <w:rStyle w:val="Sidetal"/>
                        <w:noProof/>
                      </w:rPr>
                      <w:t>5</w:t>
                    </w:r>
                    <w:r w:rsidR="002E6C42">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55" w:rsidRDefault="00945F1B">
    <w:pPr>
      <w:pStyle w:val="Sidehoved"/>
    </w:pPr>
    <w:r>
      <w:rPr>
        <w:noProof/>
        <w:lang w:eastAsia="da-DK"/>
      </w:rPr>
      <w:drawing>
        <wp:anchor distT="0" distB="0" distL="114300" distR="114300" simplePos="0" relativeHeight="251657728" behindDoc="0" locked="1" layoutInCell="1" allowOverlap="1">
          <wp:simplePos x="0" y="0"/>
          <wp:positionH relativeFrom="column">
            <wp:posOffset>4852035</wp:posOffset>
          </wp:positionH>
          <wp:positionV relativeFrom="page">
            <wp:posOffset>593725</wp:posOffset>
          </wp:positionV>
          <wp:extent cx="809625" cy="1009650"/>
          <wp:effectExtent l="0" t="0" r="9525"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819F3"/>
    <w:multiLevelType w:val="hybridMultilevel"/>
    <w:tmpl w:val="5456024A"/>
    <w:lvl w:ilvl="0" w:tplc="04060001">
      <w:start w:val="1"/>
      <w:numFmt w:val="bullet"/>
      <w:lvlText w:val=""/>
      <w:lvlJc w:val="left"/>
      <w:pPr>
        <w:ind w:left="795" w:hanging="360"/>
      </w:pPr>
      <w:rPr>
        <w:rFonts w:ascii="Symbol" w:hAnsi="Symbol" w:hint="default"/>
      </w:rPr>
    </w:lvl>
    <w:lvl w:ilvl="1" w:tplc="04060003">
      <w:start w:val="1"/>
      <w:numFmt w:val="bullet"/>
      <w:lvlText w:val="o"/>
      <w:lvlJc w:val="left"/>
      <w:pPr>
        <w:ind w:left="1515" w:hanging="360"/>
      </w:pPr>
      <w:rPr>
        <w:rFonts w:ascii="Courier New" w:hAnsi="Courier New" w:cs="Courier New" w:hint="default"/>
      </w:rPr>
    </w:lvl>
    <w:lvl w:ilvl="2" w:tplc="04060005">
      <w:start w:val="1"/>
      <w:numFmt w:val="bullet"/>
      <w:lvlText w:val=""/>
      <w:lvlJc w:val="left"/>
      <w:pPr>
        <w:ind w:left="2235" w:hanging="360"/>
      </w:pPr>
      <w:rPr>
        <w:rFonts w:ascii="Wingdings" w:hAnsi="Wingdings" w:hint="default"/>
      </w:rPr>
    </w:lvl>
    <w:lvl w:ilvl="3" w:tplc="04060001">
      <w:start w:val="1"/>
      <w:numFmt w:val="bullet"/>
      <w:lvlText w:val=""/>
      <w:lvlJc w:val="left"/>
      <w:pPr>
        <w:ind w:left="2955" w:hanging="360"/>
      </w:pPr>
      <w:rPr>
        <w:rFonts w:ascii="Symbol" w:hAnsi="Symbol" w:hint="default"/>
      </w:rPr>
    </w:lvl>
    <w:lvl w:ilvl="4" w:tplc="04060003">
      <w:start w:val="1"/>
      <w:numFmt w:val="bullet"/>
      <w:lvlText w:val="o"/>
      <w:lvlJc w:val="left"/>
      <w:pPr>
        <w:ind w:left="3675" w:hanging="360"/>
      </w:pPr>
      <w:rPr>
        <w:rFonts w:ascii="Courier New" w:hAnsi="Courier New" w:cs="Courier New" w:hint="default"/>
      </w:rPr>
    </w:lvl>
    <w:lvl w:ilvl="5" w:tplc="04060005">
      <w:start w:val="1"/>
      <w:numFmt w:val="bullet"/>
      <w:lvlText w:val=""/>
      <w:lvlJc w:val="left"/>
      <w:pPr>
        <w:ind w:left="4395" w:hanging="360"/>
      </w:pPr>
      <w:rPr>
        <w:rFonts w:ascii="Wingdings" w:hAnsi="Wingdings" w:hint="default"/>
      </w:rPr>
    </w:lvl>
    <w:lvl w:ilvl="6" w:tplc="04060001">
      <w:start w:val="1"/>
      <w:numFmt w:val="bullet"/>
      <w:lvlText w:val=""/>
      <w:lvlJc w:val="left"/>
      <w:pPr>
        <w:ind w:left="5115" w:hanging="360"/>
      </w:pPr>
      <w:rPr>
        <w:rFonts w:ascii="Symbol" w:hAnsi="Symbol" w:hint="default"/>
      </w:rPr>
    </w:lvl>
    <w:lvl w:ilvl="7" w:tplc="04060003">
      <w:start w:val="1"/>
      <w:numFmt w:val="bullet"/>
      <w:lvlText w:val="o"/>
      <w:lvlJc w:val="left"/>
      <w:pPr>
        <w:ind w:left="5835" w:hanging="360"/>
      </w:pPr>
      <w:rPr>
        <w:rFonts w:ascii="Courier New" w:hAnsi="Courier New" w:cs="Courier New" w:hint="default"/>
      </w:rPr>
    </w:lvl>
    <w:lvl w:ilvl="8" w:tplc="04060005">
      <w:start w:val="1"/>
      <w:numFmt w:val="bullet"/>
      <w:lvlText w:val=""/>
      <w:lvlJc w:val="left"/>
      <w:pPr>
        <w:ind w:left="6555" w:hanging="360"/>
      </w:pPr>
      <w:rPr>
        <w:rFonts w:ascii="Wingdings" w:hAnsi="Wingdings" w:hint="default"/>
      </w:rPr>
    </w:lvl>
  </w:abstractNum>
  <w:abstractNum w:abstractNumId="1" w15:restartNumberingAfterBreak="0">
    <w:nsid w:val="4604384B"/>
    <w:multiLevelType w:val="hybridMultilevel"/>
    <w:tmpl w:val="679A00E2"/>
    <w:lvl w:ilvl="0" w:tplc="8C66925C">
      <w:start w:val="1"/>
      <w:numFmt w:val="bullet"/>
      <w:lvlText w:val="-"/>
      <w:lvlJc w:val="left"/>
      <w:pPr>
        <w:tabs>
          <w:tab w:val="num" w:pos="900"/>
        </w:tabs>
        <w:ind w:left="900" w:hanging="540"/>
      </w:pPr>
      <w:rPr>
        <w:rFonts w:ascii="Verdana" w:eastAsia="Times New Roman" w:hAnsi="Verdana" w:cs="Times New Roman" w:hint="default"/>
        <w:b/>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203B1D"/>
    <w:multiLevelType w:val="hybridMultilevel"/>
    <w:tmpl w:val="23085A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defaultTabStop w:val="720"/>
  <w:autoHyphenation/>
  <w:hyphenationZone w:val="357"/>
  <w:doNotHyphenateCaps/>
  <w:noPunctuationKerning/>
  <w:characterSpacingControl w:val="doNotCompress"/>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FA"/>
    <w:rsid w:val="000115A3"/>
    <w:rsid w:val="00012931"/>
    <w:rsid w:val="000168BB"/>
    <w:rsid w:val="00030869"/>
    <w:rsid w:val="0005184F"/>
    <w:rsid w:val="00054AAF"/>
    <w:rsid w:val="000643F4"/>
    <w:rsid w:val="00074F82"/>
    <w:rsid w:val="000809FB"/>
    <w:rsid w:val="00084328"/>
    <w:rsid w:val="00086B7C"/>
    <w:rsid w:val="00087F84"/>
    <w:rsid w:val="000A3E3E"/>
    <w:rsid w:val="000A5E7C"/>
    <w:rsid w:val="000E648D"/>
    <w:rsid w:val="00101226"/>
    <w:rsid w:val="00102D42"/>
    <w:rsid w:val="00135692"/>
    <w:rsid w:val="00135995"/>
    <w:rsid w:val="00136729"/>
    <w:rsid w:val="0018727F"/>
    <w:rsid w:val="00196120"/>
    <w:rsid w:val="001A00B2"/>
    <w:rsid w:val="001A02E5"/>
    <w:rsid w:val="001A1415"/>
    <w:rsid w:val="001B1B3C"/>
    <w:rsid w:val="001C500E"/>
    <w:rsid w:val="001D0A6C"/>
    <w:rsid w:val="001D3AA0"/>
    <w:rsid w:val="001D51E8"/>
    <w:rsid w:val="001E0758"/>
    <w:rsid w:val="001E3FBA"/>
    <w:rsid w:val="001E7F4C"/>
    <w:rsid w:val="001F40C0"/>
    <w:rsid w:val="001F5496"/>
    <w:rsid w:val="001F57C4"/>
    <w:rsid w:val="00214E2E"/>
    <w:rsid w:val="00216345"/>
    <w:rsid w:val="00225798"/>
    <w:rsid w:val="00225C6A"/>
    <w:rsid w:val="002564E6"/>
    <w:rsid w:val="00261FC9"/>
    <w:rsid w:val="00276EC7"/>
    <w:rsid w:val="00277D41"/>
    <w:rsid w:val="00292CD9"/>
    <w:rsid w:val="0029487D"/>
    <w:rsid w:val="002A5EF1"/>
    <w:rsid w:val="002C173A"/>
    <w:rsid w:val="002C7ABC"/>
    <w:rsid w:val="002D50C6"/>
    <w:rsid w:val="002D6965"/>
    <w:rsid w:val="002E6C42"/>
    <w:rsid w:val="002F7A55"/>
    <w:rsid w:val="00320A7F"/>
    <w:rsid w:val="003451ED"/>
    <w:rsid w:val="00366075"/>
    <w:rsid w:val="00367A4C"/>
    <w:rsid w:val="00377E70"/>
    <w:rsid w:val="00382F1C"/>
    <w:rsid w:val="00384BFA"/>
    <w:rsid w:val="003C0424"/>
    <w:rsid w:val="003C2E64"/>
    <w:rsid w:val="003C60B6"/>
    <w:rsid w:val="003D650A"/>
    <w:rsid w:val="003F7239"/>
    <w:rsid w:val="0040392E"/>
    <w:rsid w:val="004045C5"/>
    <w:rsid w:val="0041567A"/>
    <w:rsid w:val="004255F0"/>
    <w:rsid w:val="00425A9F"/>
    <w:rsid w:val="004350C3"/>
    <w:rsid w:val="00436179"/>
    <w:rsid w:val="00453829"/>
    <w:rsid w:val="00467F02"/>
    <w:rsid w:val="00470DB6"/>
    <w:rsid w:val="004839D0"/>
    <w:rsid w:val="004A74F2"/>
    <w:rsid w:val="004B36CB"/>
    <w:rsid w:val="004B5BBE"/>
    <w:rsid w:val="004B7236"/>
    <w:rsid w:val="004C6426"/>
    <w:rsid w:val="004F343F"/>
    <w:rsid w:val="00512655"/>
    <w:rsid w:val="00512D13"/>
    <w:rsid w:val="005133A5"/>
    <w:rsid w:val="005172B9"/>
    <w:rsid w:val="0052095B"/>
    <w:rsid w:val="00534E49"/>
    <w:rsid w:val="00537171"/>
    <w:rsid w:val="0053742F"/>
    <w:rsid w:val="00565DB7"/>
    <w:rsid w:val="00573EB8"/>
    <w:rsid w:val="00575BAB"/>
    <w:rsid w:val="005920AE"/>
    <w:rsid w:val="005B0A29"/>
    <w:rsid w:val="005B7122"/>
    <w:rsid w:val="005C1B88"/>
    <w:rsid w:val="005D701B"/>
    <w:rsid w:val="005D74CA"/>
    <w:rsid w:val="005E7226"/>
    <w:rsid w:val="005F3146"/>
    <w:rsid w:val="00601B48"/>
    <w:rsid w:val="006045C8"/>
    <w:rsid w:val="00623CD0"/>
    <w:rsid w:val="00624C63"/>
    <w:rsid w:val="00625D0F"/>
    <w:rsid w:val="006455C5"/>
    <w:rsid w:val="00646CC3"/>
    <w:rsid w:val="00647095"/>
    <w:rsid w:val="00651550"/>
    <w:rsid w:val="0066509B"/>
    <w:rsid w:val="006841F7"/>
    <w:rsid w:val="00686BDD"/>
    <w:rsid w:val="006911D5"/>
    <w:rsid w:val="006A2305"/>
    <w:rsid w:val="006A7AEF"/>
    <w:rsid w:val="006E51D3"/>
    <w:rsid w:val="006F6AFC"/>
    <w:rsid w:val="007007AA"/>
    <w:rsid w:val="00705659"/>
    <w:rsid w:val="00720928"/>
    <w:rsid w:val="00722D4D"/>
    <w:rsid w:val="00731C51"/>
    <w:rsid w:val="007354CE"/>
    <w:rsid w:val="00740551"/>
    <w:rsid w:val="007501E2"/>
    <w:rsid w:val="0075283B"/>
    <w:rsid w:val="00753CC8"/>
    <w:rsid w:val="0075752B"/>
    <w:rsid w:val="007727DA"/>
    <w:rsid w:val="0077433E"/>
    <w:rsid w:val="00791794"/>
    <w:rsid w:val="007917E5"/>
    <w:rsid w:val="007A2D6C"/>
    <w:rsid w:val="007C113E"/>
    <w:rsid w:val="007D3A81"/>
    <w:rsid w:val="007E444E"/>
    <w:rsid w:val="0081756D"/>
    <w:rsid w:val="00823EC5"/>
    <w:rsid w:val="00825653"/>
    <w:rsid w:val="00825DA8"/>
    <w:rsid w:val="00826220"/>
    <w:rsid w:val="0083261E"/>
    <w:rsid w:val="008462FC"/>
    <w:rsid w:val="00847AE5"/>
    <w:rsid w:val="00857087"/>
    <w:rsid w:val="00861483"/>
    <w:rsid w:val="008767AC"/>
    <w:rsid w:val="008870D8"/>
    <w:rsid w:val="008930E2"/>
    <w:rsid w:val="0089330B"/>
    <w:rsid w:val="008A495C"/>
    <w:rsid w:val="008A57F9"/>
    <w:rsid w:val="008B0786"/>
    <w:rsid w:val="008C17B3"/>
    <w:rsid w:val="008D163C"/>
    <w:rsid w:val="008E1C5C"/>
    <w:rsid w:val="008F1490"/>
    <w:rsid w:val="008F22D0"/>
    <w:rsid w:val="00901DDD"/>
    <w:rsid w:val="0090456F"/>
    <w:rsid w:val="00906BEA"/>
    <w:rsid w:val="009139FE"/>
    <w:rsid w:val="009244F2"/>
    <w:rsid w:val="00934972"/>
    <w:rsid w:val="009424C6"/>
    <w:rsid w:val="00945F1B"/>
    <w:rsid w:val="00950BC2"/>
    <w:rsid w:val="009644A1"/>
    <w:rsid w:val="00964AB3"/>
    <w:rsid w:val="0098744A"/>
    <w:rsid w:val="00991D7E"/>
    <w:rsid w:val="00991FE1"/>
    <w:rsid w:val="00996EA1"/>
    <w:rsid w:val="009A362E"/>
    <w:rsid w:val="009D4BBA"/>
    <w:rsid w:val="009F1626"/>
    <w:rsid w:val="009F32B3"/>
    <w:rsid w:val="009F493C"/>
    <w:rsid w:val="00A1235E"/>
    <w:rsid w:val="00A51234"/>
    <w:rsid w:val="00A540E5"/>
    <w:rsid w:val="00A77902"/>
    <w:rsid w:val="00A81414"/>
    <w:rsid w:val="00A82222"/>
    <w:rsid w:val="00A92BF0"/>
    <w:rsid w:val="00A9306B"/>
    <w:rsid w:val="00A93344"/>
    <w:rsid w:val="00A962D4"/>
    <w:rsid w:val="00AA220C"/>
    <w:rsid w:val="00AC47C2"/>
    <w:rsid w:val="00AD4B25"/>
    <w:rsid w:val="00AE1C9C"/>
    <w:rsid w:val="00AE512E"/>
    <w:rsid w:val="00AF4044"/>
    <w:rsid w:val="00AF4E77"/>
    <w:rsid w:val="00AF59F4"/>
    <w:rsid w:val="00B3267B"/>
    <w:rsid w:val="00B33F7D"/>
    <w:rsid w:val="00B47422"/>
    <w:rsid w:val="00B55681"/>
    <w:rsid w:val="00B708B8"/>
    <w:rsid w:val="00B720DF"/>
    <w:rsid w:val="00B75C7B"/>
    <w:rsid w:val="00B93635"/>
    <w:rsid w:val="00BA0531"/>
    <w:rsid w:val="00BA59CD"/>
    <w:rsid w:val="00BA7E2A"/>
    <w:rsid w:val="00BC575B"/>
    <w:rsid w:val="00BC6331"/>
    <w:rsid w:val="00BD149C"/>
    <w:rsid w:val="00BF4FF0"/>
    <w:rsid w:val="00C019D0"/>
    <w:rsid w:val="00C15879"/>
    <w:rsid w:val="00C20924"/>
    <w:rsid w:val="00C232DE"/>
    <w:rsid w:val="00C26F7D"/>
    <w:rsid w:val="00C405C8"/>
    <w:rsid w:val="00C43209"/>
    <w:rsid w:val="00C54661"/>
    <w:rsid w:val="00C611C0"/>
    <w:rsid w:val="00C64112"/>
    <w:rsid w:val="00C64F2D"/>
    <w:rsid w:val="00C8031B"/>
    <w:rsid w:val="00C91443"/>
    <w:rsid w:val="00CA020F"/>
    <w:rsid w:val="00CA1065"/>
    <w:rsid w:val="00CA307A"/>
    <w:rsid w:val="00CA6AC4"/>
    <w:rsid w:val="00CC4813"/>
    <w:rsid w:val="00CC53AF"/>
    <w:rsid w:val="00CC6F6B"/>
    <w:rsid w:val="00CD3C3B"/>
    <w:rsid w:val="00CE7099"/>
    <w:rsid w:val="00CE7145"/>
    <w:rsid w:val="00CF2612"/>
    <w:rsid w:val="00D0707A"/>
    <w:rsid w:val="00D1137D"/>
    <w:rsid w:val="00D35124"/>
    <w:rsid w:val="00D52F82"/>
    <w:rsid w:val="00D732A5"/>
    <w:rsid w:val="00D82CA3"/>
    <w:rsid w:val="00D84CD3"/>
    <w:rsid w:val="00D86C3A"/>
    <w:rsid w:val="00DA04F6"/>
    <w:rsid w:val="00DA4D5E"/>
    <w:rsid w:val="00DB0763"/>
    <w:rsid w:val="00DB2546"/>
    <w:rsid w:val="00DD0BDC"/>
    <w:rsid w:val="00DE69CE"/>
    <w:rsid w:val="00DF1CF3"/>
    <w:rsid w:val="00DF6E6E"/>
    <w:rsid w:val="00DF72F2"/>
    <w:rsid w:val="00E32DCF"/>
    <w:rsid w:val="00E45D6B"/>
    <w:rsid w:val="00E517B2"/>
    <w:rsid w:val="00E51AD3"/>
    <w:rsid w:val="00E51D42"/>
    <w:rsid w:val="00E55E99"/>
    <w:rsid w:val="00E63086"/>
    <w:rsid w:val="00E65676"/>
    <w:rsid w:val="00E741B6"/>
    <w:rsid w:val="00E75371"/>
    <w:rsid w:val="00E875DC"/>
    <w:rsid w:val="00E87F6E"/>
    <w:rsid w:val="00EA6D3B"/>
    <w:rsid w:val="00EB221F"/>
    <w:rsid w:val="00EB249A"/>
    <w:rsid w:val="00EB7435"/>
    <w:rsid w:val="00ED2A91"/>
    <w:rsid w:val="00EE1EE2"/>
    <w:rsid w:val="00EE6A9B"/>
    <w:rsid w:val="00EF0789"/>
    <w:rsid w:val="00EF20BD"/>
    <w:rsid w:val="00F00CD8"/>
    <w:rsid w:val="00F116A3"/>
    <w:rsid w:val="00F153D1"/>
    <w:rsid w:val="00F15534"/>
    <w:rsid w:val="00F20CC4"/>
    <w:rsid w:val="00F21AA3"/>
    <w:rsid w:val="00F23047"/>
    <w:rsid w:val="00F33423"/>
    <w:rsid w:val="00F3587E"/>
    <w:rsid w:val="00F46CF5"/>
    <w:rsid w:val="00F53E9B"/>
    <w:rsid w:val="00F648BE"/>
    <w:rsid w:val="00F72F58"/>
    <w:rsid w:val="00F9143F"/>
    <w:rsid w:val="00F96582"/>
    <w:rsid w:val="00FA537C"/>
    <w:rsid w:val="00FA694E"/>
    <w:rsid w:val="00FC017B"/>
    <w:rsid w:val="00FC3228"/>
    <w:rsid w:val="00FC7B1E"/>
    <w:rsid w:val="00FD6BBE"/>
    <w:rsid w:val="00FE06F9"/>
    <w:rsid w:val="00FE526B"/>
    <w:rsid w:val="00FF41C1"/>
    <w:rsid w:val="00FF4F90"/>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A613D1-513B-48E1-A696-18F479F4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17B"/>
    <w:pPr>
      <w:spacing w:line="280" w:lineRule="atLeast"/>
    </w:pPr>
    <w:rPr>
      <w:rFonts w:ascii="Verdana" w:hAnsi="Verdana" w:cs="Verdana"/>
      <w:sz w:val="19"/>
      <w:szCs w:val="19"/>
      <w:lang w:eastAsia="en-US"/>
    </w:rPr>
  </w:style>
  <w:style w:type="paragraph" w:styleId="Overskrift1">
    <w:name w:val="heading 1"/>
    <w:basedOn w:val="Normal"/>
    <w:next w:val="Normal"/>
    <w:link w:val="Overskrift1Tegn"/>
    <w:uiPriority w:val="99"/>
    <w:qFormat/>
    <w:rsid w:val="00901DDD"/>
    <w:pPr>
      <w:keepNext/>
      <w:outlineLvl w:val="0"/>
    </w:pPr>
    <w:rPr>
      <w:b/>
      <w:bCs/>
      <w:kern w:val="32"/>
      <w:sz w:val="22"/>
      <w:szCs w:val="22"/>
    </w:rPr>
  </w:style>
  <w:style w:type="paragraph" w:styleId="Overskrift2">
    <w:name w:val="heading 2"/>
    <w:basedOn w:val="Normal"/>
    <w:next w:val="Normal"/>
    <w:link w:val="Overskrift2Tegn"/>
    <w:uiPriority w:val="99"/>
    <w:qFormat/>
    <w:rsid w:val="005C1B88"/>
    <w:pPr>
      <w:keepNext/>
      <w:outlineLvl w:val="1"/>
    </w:pPr>
    <w:rPr>
      <w:b/>
      <w:bCs/>
    </w:rPr>
  </w:style>
  <w:style w:type="paragraph" w:styleId="Overskrift3">
    <w:name w:val="heading 3"/>
    <w:basedOn w:val="Normal"/>
    <w:next w:val="Normal"/>
    <w:link w:val="Overskrift3Tegn"/>
    <w:uiPriority w:val="99"/>
    <w:qFormat/>
    <w:rsid w:val="005C1B88"/>
    <w:pPr>
      <w:keepNext/>
      <w:outlineLvl w:val="2"/>
    </w:pPr>
    <w:rPr>
      <w:b/>
      <w:bCs/>
    </w:rPr>
  </w:style>
  <w:style w:type="paragraph" w:styleId="Overskrift8">
    <w:name w:val="heading 8"/>
    <w:basedOn w:val="Normal"/>
    <w:next w:val="Normal"/>
    <w:link w:val="Overskrift8Tegn"/>
    <w:semiHidden/>
    <w:unhideWhenUsed/>
    <w:qFormat/>
    <w:locked/>
    <w:rsid w:val="005E722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52F82"/>
    <w:rPr>
      <w:rFonts w:ascii="Cambria" w:hAnsi="Cambria" w:cs="Cambria"/>
      <w:b/>
      <w:bCs/>
      <w:kern w:val="32"/>
      <w:sz w:val="32"/>
      <w:szCs w:val="32"/>
      <w:lang w:eastAsia="en-US"/>
    </w:rPr>
  </w:style>
  <w:style w:type="character" w:customStyle="1" w:styleId="Overskrift2Tegn">
    <w:name w:val="Overskrift 2 Tegn"/>
    <w:basedOn w:val="Standardskrifttypeiafsnit"/>
    <w:link w:val="Overskrift2"/>
    <w:uiPriority w:val="99"/>
    <w:semiHidden/>
    <w:locked/>
    <w:rsid w:val="00D52F82"/>
    <w:rPr>
      <w:rFonts w:ascii="Cambria" w:hAnsi="Cambria" w:cs="Cambria"/>
      <w:b/>
      <w:bCs/>
      <w:i/>
      <w:iCs/>
      <w:sz w:val="28"/>
      <w:szCs w:val="28"/>
      <w:lang w:eastAsia="en-US"/>
    </w:rPr>
  </w:style>
  <w:style w:type="character" w:customStyle="1" w:styleId="Overskrift3Tegn">
    <w:name w:val="Overskrift 3 Tegn"/>
    <w:basedOn w:val="Standardskrifttypeiafsnit"/>
    <w:link w:val="Overskrift3"/>
    <w:uiPriority w:val="99"/>
    <w:semiHidden/>
    <w:locked/>
    <w:rsid w:val="00D52F82"/>
    <w:rPr>
      <w:rFonts w:ascii="Cambria" w:hAnsi="Cambria" w:cs="Cambria"/>
      <w:b/>
      <w:bCs/>
      <w:sz w:val="26"/>
      <w:szCs w:val="26"/>
      <w:lang w:eastAsia="en-US"/>
    </w:rPr>
  </w:style>
  <w:style w:type="paragraph" w:styleId="Sidehoved">
    <w:name w:val="header"/>
    <w:basedOn w:val="Normal"/>
    <w:link w:val="SidehovedTegn"/>
    <w:uiPriority w:val="99"/>
    <w:rsid w:val="00196120"/>
    <w:pPr>
      <w:tabs>
        <w:tab w:val="center" w:pos="4320"/>
        <w:tab w:val="right" w:pos="8640"/>
      </w:tabs>
    </w:pPr>
  </w:style>
  <w:style w:type="character" w:customStyle="1" w:styleId="SidehovedTegn">
    <w:name w:val="Sidehoved Tegn"/>
    <w:basedOn w:val="Standardskrifttypeiafsnit"/>
    <w:link w:val="Sidehoved"/>
    <w:uiPriority w:val="99"/>
    <w:semiHidden/>
    <w:locked/>
    <w:rsid w:val="00D52F82"/>
    <w:rPr>
      <w:rFonts w:ascii="Verdana" w:hAnsi="Verdana" w:cs="Verdana"/>
      <w:sz w:val="19"/>
      <w:szCs w:val="19"/>
      <w:lang w:eastAsia="en-US"/>
    </w:rPr>
  </w:style>
  <w:style w:type="paragraph" w:styleId="Sidefod">
    <w:name w:val="footer"/>
    <w:basedOn w:val="Normal"/>
    <w:link w:val="SidefodTegn"/>
    <w:uiPriority w:val="99"/>
    <w:rsid w:val="00196120"/>
    <w:pPr>
      <w:tabs>
        <w:tab w:val="center" w:pos="4320"/>
        <w:tab w:val="right" w:pos="8640"/>
      </w:tabs>
    </w:pPr>
  </w:style>
  <w:style w:type="character" w:customStyle="1" w:styleId="SidefodTegn">
    <w:name w:val="Sidefod Tegn"/>
    <w:basedOn w:val="Standardskrifttypeiafsnit"/>
    <w:link w:val="Sidefod"/>
    <w:uiPriority w:val="99"/>
    <w:semiHidden/>
    <w:locked/>
    <w:rsid w:val="00D52F82"/>
    <w:rPr>
      <w:rFonts w:ascii="Verdana" w:hAnsi="Verdana" w:cs="Verdana"/>
      <w:sz w:val="19"/>
      <w:szCs w:val="19"/>
      <w:lang w:eastAsia="en-US"/>
    </w:rPr>
  </w:style>
  <w:style w:type="paragraph" w:styleId="Markeringsbobletekst">
    <w:name w:val="Balloon Text"/>
    <w:basedOn w:val="Normal"/>
    <w:link w:val="MarkeringsbobletekstTegn"/>
    <w:uiPriority w:val="99"/>
    <w:semiHidden/>
    <w:rsid w:val="00FF41C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D52F82"/>
    <w:rPr>
      <w:rFonts w:cs="Times New Roman"/>
      <w:sz w:val="2"/>
      <w:szCs w:val="2"/>
      <w:lang w:eastAsia="en-US"/>
    </w:rPr>
  </w:style>
  <w:style w:type="table" w:styleId="Tabel-Gitter">
    <w:name w:val="Table Grid"/>
    <w:basedOn w:val="Tabel-Normal"/>
    <w:uiPriority w:val="59"/>
    <w:rsid w:val="00FC017B"/>
    <w:pPr>
      <w:spacing w:line="280" w:lineRule="atLeast"/>
    </w:pPr>
    <w:rPr>
      <w:rFonts w:ascii="Arial" w:hAnsi="Arial" w:cs="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575BAB"/>
    <w:rPr>
      <w:rFonts w:ascii="Arial" w:hAnsi="Arial" w:cs="Arial"/>
      <w:sz w:val="16"/>
      <w:szCs w:val="16"/>
    </w:rPr>
  </w:style>
  <w:style w:type="paragraph" w:customStyle="1" w:styleId="Lille">
    <w:name w:val="Lille"/>
    <w:basedOn w:val="Normal"/>
    <w:uiPriority w:val="99"/>
    <w:rsid w:val="00901DDD"/>
    <w:pPr>
      <w:spacing w:line="240" w:lineRule="atLeast"/>
    </w:pPr>
    <w:rPr>
      <w:sz w:val="15"/>
      <w:szCs w:val="15"/>
    </w:rPr>
  </w:style>
  <w:style w:type="character" w:styleId="Hyperlink">
    <w:name w:val="Hyperlink"/>
    <w:basedOn w:val="Standardskrifttypeiafsnit"/>
    <w:uiPriority w:val="99"/>
    <w:rsid w:val="00991D7E"/>
    <w:rPr>
      <w:rFonts w:cs="Times New Roman"/>
      <w:color w:val="0000FF"/>
      <w:u w:val="single"/>
    </w:rPr>
  </w:style>
  <w:style w:type="character" w:customStyle="1" w:styleId="Overskrift8Tegn">
    <w:name w:val="Overskrift 8 Tegn"/>
    <w:basedOn w:val="Standardskrifttypeiafsnit"/>
    <w:link w:val="Overskrift8"/>
    <w:semiHidden/>
    <w:rsid w:val="005E7226"/>
    <w:rPr>
      <w:rFonts w:asciiTheme="majorHAnsi" w:eastAsiaTheme="majorEastAsia" w:hAnsiTheme="majorHAnsi" w:cstheme="majorBidi"/>
      <w:color w:val="272727" w:themeColor="text1" w:themeTint="D8"/>
      <w:sz w:val="21"/>
      <w:szCs w:val="21"/>
      <w:lang w:eastAsia="en-US"/>
    </w:rPr>
  </w:style>
  <w:style w:type="paragraph" w:styleId="Fodnotetekst">
    <w:name w:val="footnote text"/>
    <w:basedOn w:val="Normal"/>
    <w:link w:val="FodnotetekstTegn"/>
    <w:uiPriority w:val="99"/>
    <w:semiHidden/>
    <w:unhideWhenUsed/>
    <w:rsid w:val="005E7226"/>
    <w:pPr>
      <w:spacing w:line="240" w:lineRule="auto"/>
    </w:pPr>
    <w:rPr>
      <w:sz w:val="20"/>
      <w:szCs w:val="20"/>
    </w:rPr>
  </w:style>
  <w:style w:type="character" w:customStyle="1" w:styleId="FodnotetekstTegn">
    <w:name w:val="Fodnotetekst Tegn"/>
    <w:basedOn w:val="Standardskrifttypeiafsnit"/>
    <w:link w:val="Fodnotetekst"/>
    <w:uiPriority w:val="99"/>
    <w:semiHidden/>
    <w:rsid w:val="005E7226"/>
    <w:rPr>
      <w:rFonts w:ascii="Verdana" w:hAnsi="Verdana" w:cs="Verdana"/>
      <w:lang w:eastAsia="en-US"/>
    </w:rPr>
  </w:style>
  <w:style w:type="paragraph" w:styleId="Kommentartekst">
    <w:name w:val="annotation text"/>
    <w:basedOn w:val="Normal"/>
    <w:link w:val="KommentartekstTegn"/>
    <w:semiHidden/>
    <w:unhideWhenUsed/>
    <w:rsid w:val="005E7226"/>
    <w:rPr>
      <w:rFonts w:cs="Times New Roman"/>
      <w:sz w:val="20"/>
      <w:szCs w:val="20"/>
    </w:rPr>
  </w:style>
  <w:style w:type="character" w:customStyle="1" w:styleId="KommentartekstTegn">
    <w:name w:val="Kommentartekst Tegn"/>
    <w:basedOn w:val="Standardskrifttypeiafsnit"/>
    <w:link w:val="Kommentartekst"/>
    <w:semiHidden/>
    <w:rsid w:val="005E7226"/>
    <w:rPr>
      <w:rFonts w:ascii="Verdana" w:hAnsi="Verdana"/>
      <w:lang w:eastAsia="en-US"/>
    </w:rPr>
  </w:style>
  <w:style w:type="character" w:styleId="Fodnotehenvisning">
    <w:name w:val="footnote reference"/>
    <w:basedOn w:val="Standardskrifttypeiafsnit"/>
    <w:uiPriority w:val="99"/>
    <w:semiHidden/>
    <w:unhideWhenUsed/>
    <w:rsid w:val="005E7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643988">
      <w:bodyDiv w:val="1"/>
      <w:marLeft w:val="0"/>
      <w:marRight w:val="0"/>
      <w:marTop w:val="0"/>
      <w:marBottom w:val="0"/>
      <w:divBdr>
        <w:top w:val="none" w:sz="0" w:space="0" w:color="auto"/>
        <w:left w:val="none" w:sz="0" w:space="0" w:color="auto"/>
        <w:bottom w:val="none" w:sz="0" w:space="0" w:color="auto"/>
        <w:right w:val="none" w:sz="0" w:space="0" w:color="auto"/>
      </w:divBdr>
    </w:div>
    <w:div w:id="1787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DB42-F285-4FC0-9030-1A214AFD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Brev</vt:lpstr>
    </vt:vector>
  </TitlesOfParts>
  <Company>Bysted A/S</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Mette Hvid</dc:creator>
  <cp:keywords/>
  <dc:description/>
  <cp:lastModifiedBy>Monique Roslind Pedersen</cp:lastModifiedBy>
  <cp:revision>2</cp:revision>
  <cp:lastPrinted>2009-01-23T12:10:00Z</cp:lastPrinted>
  <dcterms:created xsi:type="dcterms:W3CDTF">2017-04-18T09:14:00Z</dcterms:created>
  <dcterms:modified xsi:type="dcterms:W3CDTF">2017-04-18T09:14:00Z</dcterms:modified>
</cp:coreProperties>
</file>