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631B2" w14:textId="77777777" w:rsidR="000C4FFE" w:rsidRPr="00303CC0" w:rsidRDefault="000C4FFE" w:rsidP="000C4FFE">
      <w:r w:rsidRPr="00303CC0">
        <w:t>Vær opmærksom på at alle kasser som er markeret med en grøn række øverst vil blive offentliggjort på www.dma.mst.dk iht. krav i Tilsynsbekendtgørelsen (BEK nr. 1476 af 12/12/2017). Offentliggørelsen skal ske senest 4 måneder efter tilsynsdatoen.</w:t>
      </w:r>
    </w:p>
    <w:p w14:paraId="74FD4A95" w14:textId="77777777" w:rsidR="000C4FFE" w:rsidRDefault="000C4FFE" w:rsidP="000C4FFE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5"/>
        <w:gridCol w:w="2389"/>
        <w:gridCol w:w="2142"/>
        <w:gridCol w:w="2816"/>
      </w:tblGrid>
      <w:tr w:rsidR="000C4FFE" w:rsidRPr="00954549" w14:paraId="46E5213F" w14:textId="77777777" w:rsidTr="00972D5F">
        <w:tc>
          <w:tcPr>
            <w:tcW w:w="5000" w:type="pct"/>
            <w:gridSpan w:val="4"/>
            <w:shd w:val="clear" w:color="auto" w:fill="92D050"/>
          </w:tcPr>
          <w:p w14:paraId="34233CED" w14:textId="77777777" w:rsidR="000C4FFE" w:rsidRPr="006D5AA8" w:rsidRDefault="000C4FFE" w:rsidP="00972D5F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0C4FFE" w:rsidRPr="00954549" w14:paraId="6D19B70B" w14:textId="77777777" w:rsidTr="00972D5F">
        <w:tc>
          <w:tcPr>
            <w:tcW w:w="1186" w:type="pct"/>
            <w:shd w:val="clear" w:color="auto" w:fill="auto"/>
          </w:tcPr>
          <w:p w14:paraId="5F393CDC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240" w:type="pct"/>
            <w:shd w:val="clear" w:color="auto" w:fill="auto"/>
          </w:tcPr>
          <w:p w14:paraId="31E0AEFF" w14:textId="77777777" w:rsidR="000C4FFE" w:rsidRPr="00F8720D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F8720D">
              <w:rPr>
                <w:rFonts w:eastAsia="Calibri"/>
                <w:szCs w:val="22"/>
                <w:lang w:eastAsia="en-US"/>
              </w:rPr>
              <w:t>Circle K</w:t>
            </w:r>
          </w:p>
        </w:tc>
        <w:tc>
          <w:tcPr>
            <w:tcW w:w="1112" w:type="pct"/>
            <w:shd w:val="clear" w:color="auto" w:fill="auto"/>
          </w:tcPr>
          <w:p w14:paraId="13A635C5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462" w:type="pct"/>
            <w:shd w:val="clear" w:color="auto" w:fill="auto"/>
          </w:tcPr>
          <w:p w14:paraId="6A6984D4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GEO-2018-02450</w:t>
            </w:r>
          </w:p>
        </w:tc>
      </w:tr>
      <w:tr w:rsidR="000C4FFE" w:rsidRPr="00954549" w14:paraId="2DF849D7" w14:textId="77777777" w:rsidTr="00972D5F">
        <w:tc>
          <w:tcPr>
            <w:tcW w:w="1186" w:type="pct"/>
            <w:shd w:val="clear" w:color="auto" w:fill="auto"/>
          </w:tcPr>
          <w:p w14:paraId="0E900EC5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240" w:type="pct"/>
            <w:shd w:val="clear" w:color="auto" w:fill="auto"/>
          </w:tcPr>
          <w:p w14:paraId="47935317" w14:textId="77777777" w:rsidR="000C4FFE" w:rsidRPr="00F8720D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F8720D">
              <w:rPr>
                <w:rFonts w:eastAsia="Calibri"/>
                <w:szCs w:val="22"/>
                <w:lang w:eastAsia="en-US"/>
              </w:rPr>
              <w:t>Bernstorffsvej 115</w:t>
            </w:r>
          </w:p>
        </w:tc>
        <w:tc>
          <w:tcPr>
            <w:tcW w:w="1112" w:type="pct"/>
            <w:shd w:val="clear" w:color="auto" w:fill="auto"/>
          </w:tcPr>
          <w:p w14:paraId="79E763AE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462" w:type="pct"/>
            <w:shd w:val="clear" w:color="auto" w:fill="auto"/>
          </w:tcPr>
          <w:p w14:paraId="3CE8119B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Tankstation med vaskehal</w:t>
            </w:r>
          </w:p>
        </w:tc>
      </w:tr>
      <w:tr w:rsidR="000C4FFE" w:rsidRPr="00954549" w14:paraId="78327E54" w14:textId="77777777" w:rsidTr="00972D5F">
        <w:tc>
          <w:tcPr>
            <w:tcW w:w="1186" w:type="pct"/>
            <w:shd w:val="clear" w:color="auto" w:fill="auto"/>
          </w:tcPr>
          <w:p w14:paraId="2935917A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240" w:type="pct"/>
            <w:shd w:val="clear" w:color="auto" w:fill="auto"/>
          </w:tcPr>
          <w:p w14:paraId="071ABD08" w14:textId="77777777" w:rsidR="000C4FFE" w:rsidRPr="00F8720D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F8720D">
              <w:rPr>
                <w:rFonts w:eastAsia="Calibri"/>
                <w:szCs w:val="22"/>
                <w:lang w:eastAsia="en-US"/>
              </w:rPr>
              <w:t>28142412</w:t>
            </w:r>
          </w:p>
        </w:tc>
        <w:tc>
          <w:tcPr>
            <w:tcW w:w="1112" w:type="pct"/>
            <w:shd w:val="clear" w:color="auto" w:fill="auto"/>
          </w:tcPr>
          <w:p w14:paraId="27D288DD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462" w:type="pct"/>
            <w:shd w:val="clear" w:color="auto" w:fill="auto"/>
          </w:tcPr>
          <w:p w14:paraId="52D95F86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28-08-2018</w:t>
            </w:r>
          </w:p>
        </w:tc>
      </w:tr>
      <w:tr w:rsidR="000C4FFE" w:rsidRPr="002703D5" w14:paraId="68EE8085" w14:textId="77777777" w:rsidTr="00972D5F">
        <w:tc>
          <w:tcPr>
            <w:tcW w:w="1186" w:type="pct"/>
            <w:shd w:val="clear" w:color="auto" w:fill="auto"/>
          </w:tcPr>
          <w:p w14:paraId="442556E0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>Kontaktperson</w:t>
            </w:r>
          </w:p>
          <w:p w14:paraId="67829AAD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>(</w:t>
            </w:r>
            <w:proofErr w:type="gramStart"/>
            <w:r w:rsidRPr="006D5AA8">
              <w:rPr>
                <w:rFonts w:eastAsia="Calibri"/>
                <w:b/>
                <w:szCs w:val="22"/>
                <w:lang w:eastAsia="en-US"/>
              </w:rPr>
              <w:t>funktion</w:t>
            </w:r>
            <w:proofErr w:type="gramEnd"/>
            <w:r w:rsidRPr="006D5AA8">
              <w:rPr>
                <w:rFonts w:eastAsia="Calibri"/>
                <w:b/>
                <w:szCs w:val="22"/>
                <w:lang w:eastAsia="en-US"/>
              </w:rPr>
              <w:t>)</w:t>
            </w:r>
          </w:p>
        </w:tc>
        <w:tc>
          <w:tcPr>
            <w:tcW w:w="1240" w:type="pct"/>
            <w:shd w:val="clear" w:color="auto" w:fill="auto"/>
          </w:tcPr>
          <w:p w14:paraId="1874CDBF" w14:textId="77777777" w:rsidR="000C4FFE" w:rsidRPr="00AF5AF8" w:rsidRDefault="000C4FFE" w:rsidP="00972D5F">
            <w:pPr>
              <w:rPr>
                <w:rFonts w:eastAsia="Calibri"/>
                <w:szCs w:val="22"/>
                <w:lang w:val="en-US" w:eastAsia="en-US"/>
              </w:rPr>
            </w:pPr>
            <w:r w:rsidRPr="00AF5AF8">
              <w:rPr>
                <w:rFonts w:eastAsia="Calibri"/>
                <w:szCs w:val="22"/>
                <w:lang w:val="en-US" w:eastAsia="en-US"/>
              </w:rPr>
              <w:t>Peter Thomas Fischer</w:t>
            </w:r>
          </w:p>
          <w:p w14:paraId="5405C545" w14:textId="77777777" w:rsidR="000C4FFE" w:rsidRPr="00AF5AF8" w:rsidRDefault="000C4FFE" w:rsidP="00972D5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AF5AF8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Sales Market Manager</w:t>
            </w:r>
          </w:p>
        </w:tc>
        <w:tc>
          <w:tcPr>
            <w:tcW w:w="1112" w:type="pct"/>
            <w:shd w:val="clear" w:color="auto" w:fill="auto"/>
          </w:tcPr>
          <w:p w14:paraId="7C6DBA56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1462" w:type="pct"/>
            <w:shd w:val="clear" w:color="auto" w:fill="auto"/>
          </w:tcPr>
          <w:p w14:paraId="18926005" w14:textId="77777777" w:rsidR="000C4FFE" w:rsidRPr="000454D5" w:rsidRDefault="000C4FFE" w:rsidP="00972D5F">
            <w:pPr>
              <w:rPr>
                <w:rFonts w:eastAsia="Calibri"/>
                <w:szCs w:val="22"/>
                <w:lang w:val="en-US" w:eastAsia="en-US"/>
              </w:rPr>
            </w:pPr>
            <w:r w:rsidRPr="000454D5">
              <w:rPr>
                <w:rFonts w:eastAsia="Calibri"/>
                <w:szCs w:val="22"/>
                <w:lang w:val="en-US" w:eastAsia="en-US"/>
              </w:rPr>
              <w:t>Camilla Meyer</w:t>
            </w:r>
          </w:p>
          <w:p w14:paraId="427A4D26" w14:textId="77777777" w:rsidR="000C4FFE" w:rsidRPr="000454D5" w:rsidRDefault="000C4FFE" w:rsidP="00972D5F">
            <w:pPr>
              <w:rPr>
                <w:rFonts w:eastAsia="Calibri"/>
                <w:szCs w:val="22"/>
                <w:lang w:val="en-US" w:eastAsia="en-US"/>
              </w:rPr>
            </w:pPr>
            <w:r w:rsidRPr="000454D5">
              <w:rPr>
                <w:rFonts w:eastAsia="Calibri"/>
                <w:szCs w:val="22"/>
                <w:lang w:val="en-US" w:eastAsia="en-US"/>
              </w:rPr>
              <w:t xml:space="preserve">Claus </w:t>
            </w:r>
            <w:r>
              <w:rPr>
                <w:rFonts w:eastAsia="Calibri"/>
                <w:szCs w:val="22"/>
                <w:lang w:val="en-US" w:eastAsia="en-US"/>
              </w:rPr>
              <w:t>B</w:t>
            </w:r>
            <w:r w:rsidRPr="000454D5">
              <w:rPr>
                <w:rFonts w:eastAsia="Calibri"/>
                <w:szCs w:val="22"/>
                <w:lang w:val="en-US" w:eastAsia="en-US"/>
              </w:rPr>
              <w:t>eck-Schmidt</w:t>
            </w:r>
          </w:p>
        </w:tc>
      </w:tr>
      <w:tr w:rsidR="000C4FFE" w:rsidRPr="00954549" w14:paraId="2F91D32C" w14:textId="77777777" w:rsidTr="00972D5F">
        <w:tc>
          <w:tcPr>
            <w:tcW w:w="1186" w:type="pct"/>
            <w:shd w:val="clear" w:color="auto" w:fill="auto"/>
          </w:tcPr>
          <w:p w14:paraId="20C566BA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>Kontaktoplysninger</w:t>
            </w:r>
          </w:p>
        </w:tc>
        <w:tc>
          <w:tcPr>
            <w:tcW w:w="1240" w:type="pct"/>
            <w:shd w:val="clear" w:color="auto" w:fill="auto"/>
          </w:tcPr>
          <w:p w14:paraId="5002C370" w14:textId="77777777" w:rsidR="000C4FFE" w:rsidRPr="00815566" w:rsidRDefault="002F63FF" w:rsidP="00972D5F">
            <w:pPr>
              <w:rPr>
                <w:rFonts w:eastAsia="Calibri"/>
                <w:szCs w:val="22"/>
                <w:lang w:val="en-US" w:eastAsia="en-US"/>
              </w:rPr>
            </w:pPr>
            <w:hyperlink r:id="rId7" w:history="1">
              <w:r w:rsidR="000C4FFE" w:rsidRPr="00CA3D9E">
                <w:rPr>
                  <w:rStyle w:val="Hyperlink"/>
                  <w:rFonts w:eastAsia="Calibri"/>
                  <w:szCs w:val="22"/>
                  <w:lang w:val="en-US" w:eastAsia="en-US"/>
                </w:rPr>
                <w:t>PeterThomas.Fischer@circlekeurope.com</w:t>
              </w:r>
            </w:hyperlink>
            <w:r w:rsidR="000C4FFE">
              <w:rPr>
                <w:rFonts w:eastAsia="Calibri"/>
                <w:szCs w:val="22"/>
                <w:lang w:val="en-US" w:eastAsia="en-US"/>
              </w:rPr>
              <w:t xml:space="preserve"> </w:t>
            </w:r>
          </w:p>
          <w:p w14:paraId="15107FAC" w14:textId="77777777" w:rsidR="000C4FFE" w:rsidRPr="00815566" w:rsidRDefault="000C4FFE" w:rsidP="00972D5F">
            <w:pPr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815566">
              <w:rPr>
                <w:rFonts w:eastAsia="Calibri"/>
                <w:szCs w:val="22"/>
                <w:lang w:val="en-US" w:eastAsia="en-US"/>
              </w:rPr>
              <w:t>Tlf</w:t>
            </w:r>
            <w:proofErr w:type="spellEnd"/>
            <w:r w:rsidRPr="00815566">
              <w:rPr>
                <w:rFonts w:eastAsia="Calibri"/>
                <w:szCs w:val="22"/>
                <w:lang w:val="en-US" w:eastAsia="en-US"/>
              </w:rPr>
              <w:t xml:space="preserve">.: 20496372 </w:t>
            </w:r>
          </w:p>
        </w:tc>
        <w:tc>
          <w:tcPr>
            <w:tcW w:w="1112" w:type="pct"/>
            <w:shd w:val="clear" w:color="auto" w:fill="auto"/>
          </w:tcPr>
          <w:p w14:paraId="34FEB71C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1462" w:type="pct"/>
            <w:shd w:val="clear" w:color="auto" w:fill="auto"/>
          </w:tcPr>
          <w:p w14:paraId="2AC38DE8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815566">
              <w:rPr>
                <w:rFonts w:eastAsia="Calibri"/>
                <w:szCs w:val="22"/>
                <w:lang w:val="en-US" w:eastAsia="en-US"/>
              </w:rPr>
              <w:t>Peter Thomas Fischer</w:t>
            </w:r>
          </w:p>
          <w:p w14:paraId="2B27C3DE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0C4FFE" w:rsidRPr="00954549" w14:paraId="1750322D" w14:textId="77777777" w:rsidTr="00972D5F">
        <w:tc>
          <w:tcPr>
            <w:tcW w:w="1186" w:type="pct"/>
            <w:shd w:val="clear" w:color="auto" w:fill="auto"/>
          </w:tcPr>
          <w:p w14:paraId="085F0951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3814" w:type="pct"/>
            <w:gridSpan w:val="3"/>
            <w:shd w:val="clear" w:color="auto" w:fill="auto"/>
          </w:tcPr>
          <w:p w14:paraId="40F52318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szCs w:val="22"/>
                <w:lang w:eastAsia="en-US"/>
              </w:rPr>
              <w:t xml:space="preserve">Basistilsyn </w:t>
            </w:r>
            <w:r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2F63FF">
              <w:rPr>
                <w:rFonts w:eastAsia="Calibri"/>
                <w:szCs w:val="22"/>
                <w:lang w:eastAsia="en-US"/>
              </w:rPr>
            </w:r>
            <w:r w:rsidR="002F63FF">
              <w:rPr>
                <w:rFonts w:eastAsia="Calibri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szCs w:val="22"/>
                <w:lang w:eastAsia="en-US"/>
              </w:rPr>
              <w:fldChar w:fldCharType="end"/>
            </w:r>
            <w:r w:rsidRPr="006D5AA8">
              <w:rPr>
                <w:rFonts w:eastAsia="Calibri"/>
                <w:szCs w:val="22"/>
                <w:lang w:eastAsia="en-US"/>
              </w:rPr>
              <w:t xml:space="preserve">  Tilsynskampagne  </w:t>
            </w:r>
            <w:r w:rsidRPr="006D5AA8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A8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2F63FF">
              <w:rPr>
                <w:rFonts w:eastAsia="Calibri"/>
                <w:szCs w:val="22"/>
                <w:lang w:eastAsia="en-US"/>
              </w:rPr>
            </w:r>
            <w:r w:rsidR="002F63FF">
              <w:rPr>
                <w:rFonts w:eastAsia="Calibri"/>
                <w:szCs w:val="22"/>
                <w:lang w:eastAsia="en-US"/>
              </w:rPr>
              <w:fldChar w:fldCharType="separate"/>
            </w:r>
            <w:r w:rsidRPr="006D5AA8">
              <w:rPr>
                <w:rFonts w:eastAsia="Calibri"/>
                <w:szCs w:val="22"/>
                <w:lang w:eastAsia="en-US"/>
              </w:rPr>
              <w:fldChar w:fldCharType="end"/>
            </w:r>
            <w:r w:rsidRPr="006D5AA8">
              <w:rPr>
                <w:rFonts w:eastAsia="Calibri"/>
                <w:szCs w:val="22"/>
                <w:lang w:eastAsia="en-US"/>
              </w:rPr>
              <w:t xml:space="preserve"> Opfølgende tilsyn </w:t>
            </w:r>
            <w:r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2F63FF">
              <w:rPr>
                <w:rFonts w:eastAsia="Calibri"/>
                <w:szCs w:val="22"/>
                <w:lang w:eastAsia="en-US"/>
              </w:rPr>
            </w:r>
            <w:r w:rsidR="002F63FF">
              <w:rPr>
                <w:rFonts w:eastAsia="Calibri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</w:tr>
      <w:tr w:rsidR="000C4FFE" w:rsidRPr="00954549" w14:paraId="28C65294" w14:textId="77777777" w:rsidTr="00972D5F">
        <w:tc>
          <w:tcPr>
            <w:tcW w:w="5000" w:type="pct"/>
            <w:gridSpan w:val="4"/>
            <w:shd w:val="clear" w:color="auto" w:fill="92D050"/>
          </w:tcPr>
          <w:p w14:paraId="7AA1B5BF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>Beskrivelse af virksomheden</w:t>
            </w:r>
          </w:p>
        </w:tc>
      </w:tr>
      <w:tr w:rsidR="000C4FFE" w:rsidRPr="00954549" w14:paraId="7A1CA382" w14:textId="77777777" w:rsidTr="00972D5F">
        <w:tc>
          <w:tcPr>
            <w:tcW w:w="5000" w:type="pct"/>
            <w:gridSpan w:val="4"/>
            <w:shd w:val="clear" w:color="auto" w:fill="auto"/>
          </w:tcPr>
          <w:p w14:paraId="5B5ACAB6" w14:textId="77777777" w:rsidR="000C4FFE" w:rsidRPr="006D5AA8" w:rsidRDefault="000C4FFE" w:rsidP="00972D5F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Virksomheden blev etableret i 1954.</w:t>
            </w:r>
          </w:p>
          <w:p w14:paraId="451F84E1" w14:textId="77777777" w:rsidR="000C4FFE" w:rsidRPr="006D5AA8" w:rsidRDefault="000C4FFE" w:rsidP="00972D5F">
            <w:pPr>
              <w:rPr>
                <w:rFonts w:eastAsia="Calibri"/>
                <w:color w:val="FF0000"/>
                <w:szCs w:val="22"/>
                <w:lang w:eastAsia="en-US"/>
              </w:rPr>
            </w:pPr>
          </w:p>
          <w:p w14:paraId="653980A1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szCs w:val="22"/>
                <w:lang w:eastAsia="en-US"/>
              </w:rPr>
              <w:t>Aktiviteter på virksomheden:</w:t>
            </w:r>
            <w:r>
              <w:rPr>
                <w:rFonts w:eastAsia="Calibri"/>
                <w:szCs w:val="22"/>
                <w:lang w:eastAsia="en-US"/>
              </w:rPr>
              <w:t xml:space="preserve"> Benzinsalg, autovaskeanlæg og detailsalg. Stationen og vaskehallen har døgnåbent alle dage. Der er 12-13 ansatte.</w:t>
            </w:r>
          </w:p>
          <w:p w14:paraId="6A0898F9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</w:p>
          <w:p w14:paraId="66E1654B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szCs w:val="22"/>
                <w:lang w:eastAsia="en-US"/>
              </w:rPr>
              <w:t xml:space="preserve">Ved tilsynet blev virksomhedens samlede miljøforhold gennemgået. </w:t>
            </w:r>
          </w:p>
          <w:p w14:paraId="6FF7CA1B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</w:p>
          <w:p w14:paraId="1011622D" w14:textId="77777777" w:rsidR="000C4FFE" w:rsidRPr="00F919F0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F919F0">
              <w:rPr>
                <w:rFonts w:eastAsia="Calibri"/>
                <w:szCs w:val="22"/>
                <w:lang w:eastAsia="en-US"/>
              </w:rPr>
              <w:t>Virksomheden er omfattet af Miljøbeskyttelsesloven, Benzinstationsbekendtgørelsen, Autoværkstedsbekendtgørelsen, Spildevandsbekendtgørelsen, Olietankbekendtgørelsen, Dampgenindvindingsbekendtgørelsen.</w:t>
            </w:r>
          </w:p>
          <w:p w14:paraId="05F00F46" w14:textId="77777777" w:rsidR="000C4FFE" w:rsidRPr="006D5AA8" w:rsidRDefault="000C4FFE" w:rsidP="00972D5F">
            <w:pPr>
              <w:rPr>
                <w:rFonts w:eastAsia="Calibri"/>
                <w:color w:val="FF0000"/>
                <w:szCs w:val="22"/>
                <w:lang w:eastAsia="en-US"/>
              </w:rPr>
            </w:pPr>
          </w:p>
          <w:p w14:paraId="6586A960" w14:textId="77777777" w:rsidR="000C4FFE" w:rsidRPr="006D5AA8" w:rsidRDefault="000C4FFE" w:rsidP="00972D5F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6D5AA8">
              <w:rPr>
                <w:rFonts w:eastAsia="Calibri"/>
                <w:szCs w:val="22"/>
                <w:lang w:eastAsia="en-US"/>
              </w:rPr>
              <w:t xml:space="preserve">Afstand til forureningsfølsomt område: </w:t>
            </w:r>
            <w:r w:rsidRPr="00EE5D65">
              <w:rPr>
                <w:rFonts w:eastAsia="Calibri"/>
                <w:szCs w:val="22"/>
                <w:lang w:eastAsia="en-US"/>
              </w:rPr>
              <w:t>&lt;200 meter og placeret i OSD-område.</w:t>
            </w:r>
          </w:p>
        </w:tc>
      </w:tr>
      <w:tr w:rsidR="000C4FFE" w:rsidRPr="00954549" w14:paraId="6AD68E15" w14:textId="77777777" w:rsidTr="00972D5F">
        <w:tc>
          <w:tcPr>
            <w:tcW w:w="5000" w:type="pct"/>
            <w:gridSpan w:val="4"/>
            <w:shd w:val="clear" w:color="auto" w:fill="92D050"/>
          </w:tcPr>
          <w:p w14:paraId="37B9B80D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0C4FFE" w:rsidRPr="00954549" w14:paraId="2236B554" w14:textId="77777777" w:rsidTr="00972D5F">
        <w:tc>
          <w:tcPr>
            <w:tcW w:w="5000" w:type="pct"/>
            <w:gridSpan w:val="4"/>
            <w:shd w:val="clear" w:color="auto" w:fill="auto"/>
          </w:tcPr>
          <w:p w14:paraId="4415A0C8" w14:textId="77777777" w:rsidR="000C4FFE" w:rsidRDefault="000C4FFE" w:rsidP="00972D5F">
            <w:r>
              <w:t xml:space="preserve">Fra sidste tilsyn: Tilbagemelding på seneste egenkontrol jf. </w:t>
            </w:r>
            <w:r w:rsidRPr="00954549">
              <w:t xml:space="preserve">tilslutningstilladelse af </w:t>
            </w:r>
            <w:r>
              <w:t>07-09-2004:</w:t>
            </w:r>
          </w:p>
          <w:p w14:paraId="0CC5FAE4" w14:textId="77777777" w:rsidR="000C4FFE" w:rsidRPr="00B3652D" w:rsidRDefault="000C4FFE" w:rsidP="00972D5F">
            <w:r w:rsidRPr="00202E6B">
              <w:t>Der ses en overskridelse af den tilsigtede værdi for kobber med et målt indhold på 73 mg/bilvask. Den tilsigtede værdi for kobber er 15 mg/bilvask. Grænseværdi på 75 mg/bilvask er dog overholdt. Derudover ses en mindre overskridelse af den gamle tilsigtede værdi for DEHP.</w:t>
            </w:r>
            <w:r>
              <w:t xml:space="preserve"> Næste kontrol skal udføres i perioden 1. januar-1. maj 2019.</w:t>
            </w:r>
          </w:p>
        </w:tc>
      </w:tr>
      <w:tr w:rsidR="000C4FFE" w:rsidRPr="00954549" w14:paraId="7F8E46C9" w14:textId="77777777" w:rsidTr="00972D5F">
        <w:tc>
          <w:tcPr>
            <w:tcW w:w="5000" w:type="pct"/>
            <w:gridSpan w:val="4"/>
            <w:shd w:val="clear" w:color="auto" w:fill="92D050"/>
          </w:tcPr>
          <w:p w14:paraId="27D70958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>Jordforurening</w:t>
            </w:r>
          </w:p>
        </w:tc>
      </w:tr>
      <w:tr w:rsidR="000C4FFE" w:rsidRPr="00954549" w14:paraId="4940D7D1" w14:textId="77777777" w:rsidTr="00972D5F">
        <w:tc>
          <w:tcPr>
            <w:tcW w:w="5000" w:type="pct"/>
            <w:gridSpan w:val="4"/>
            <w:shd w:val="clear" w:color="auto" w:fill="auto"/>
          </w:tcPr>
          <w:p w14:paraId="103E9AB6" w14:textId="77777777" w:rsidR="000C4FFE" w:rsidRPr="006D5AA8" w:rsidRDefault="000C4FFE" w:rsidP="00972D5F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6D5AA8">
              <w:rPr>
                <w:rFonts w:eastAsia="Calibri"/>
                <w:szCs w:val="22"/>
                <w:lang w:eastAsia="en-US"/>
              </w:rPr>
              <w:t xml:space="preserve">Ejendommen er forureningskortlagt </w:t>
            </w:r>
            <w:r w:rsidRPr="00EE5D65">
              <w:rPr>
                <w:rFonts w:eastAsia="Calibri"/>
                <w:szCs w:val="22"/>
                <w:lang w:eastAsia="en-US"/>
              </w:rPr>
              <w:t xml:space="preserve">V2 </w:t>
            </w:r>
            <w:r w:rsidRPr="006D5AA8">
              <w:rPr>
                <w:rFonts w:eastAsia="Calibri"/>
                <w:szCs w:val="22"/>
                <w:lang w:eastAsia="en-US"/>
              </w:rPr>
              <w:t>af Region Hovedstaden</w:t>
            </w:r>
            <w:r>
              <w:rPr>
                <w:rFonts w:eastAsia="Calibri"/>
                <w:szCs w:val="22"/>
                <w:lang w:eastAsia="en-US"/>
              </w:rPr>
              <w:t>.</w:t>
            </w:r>
            <w:r w:rsidRPr="006D5AA8">
              <w:rPr>
                <w:rFonts w:eastAsia="Calibri"/>
                <w:color w:val="FF0000"/>
                <w:szCs w:val="22"/>
                <w:lang w:eastAsia="en-US"/>
              </w:rPr>
              <w:t xml:space="preserve"> </w:t>
            </w:r>
            <w:r w:rsidRPr="006D5AA8">
              <w:rPr>
                <w:rFonts w:eastAsia="Calibri"/>
                <w:color w:val="FF0000"/>
                <w:szCs w:val="22"/>
                <w:lang w:eastAsia="en-US"/>
              </w:rPr>
              <w:br/>
            </w:r>
            <w:r w:rsidRPr="006D5AA8">
              <w:rPr>
                <w:rFonts w:eastAsia="Calibri"/>
                <w:szCs w:val="22"/>
                <w:lang w:eastAsia="en-US"/>
              </w:rPr>
              <w:t>Forureningstype:</w:t>
            </w:r>
            <w:r>
              <w:rPr>
                <w:rFonts w:eastAsia="Calibri"/>
                <w:szCs w:val="22"/>
                <w:lang w:eastAsia="en-US"/>
              </w:rPr>
              <w:t xml:space="preserve"> Benzin og olieforurening.</w:t>
            </w:r>
          </w:p>
          <w:p w14:paraId="4CC1FE2D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szCs w:val="22"/>
                <w:lang w:eastAsia="en-US"/>
              </w:rPr>
              <w:t xml:space="preserve">Der er ikke konstateret ny jordforurening ved tilsynet. </w:t>
            </w:r>
          </w:p>
        </w:tc>
      </w:tr>
      <w:tr w:rsidR="000C4FFE" w:rsidRPr="00954549" w14:paraId="563B47DB" w14:textId="77777777" w:rsidTr="00972D5F">
        <w:tc>
          <w:tcPr>
            <w:tcW w:w="5000" w:type="pct"/>
            <w:gridSpan w:val="4"/>
            <w:shd w:val="clear" w:color="auto" w:fill="92D050"/>
          </w:tcPr>
          <w:p w14:paraId="57A4541A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0C4FFE" w:rsidRPr="00954549" w14:paraId="32478186" w14:textId="77777777" w:rsidTr="00972D5F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3B40714E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0C4FFE" w:rsidRPr="00954549" w14:paraId="3C9ECCE1" w14:textId="77777777" w:rsidTr="00972D5F">
        <w:trPr>
          <w:trHeight w:val="144"/>
        </w:trPr>
        <w:tc>
          <w:tcPr>
            <w:tcW w:w="3538" w:type="pct"/>
            <w:gridSpan w:val="3"/>
            <w:shd w:val="clear" w:color="auto" w:fill="92D050"/>
          </w:tcPr>
          <w:p w14:paraId="7C40B064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color w:val="000000"/>
                <w:szCs w:val="22"/>
                <w:lang w:eastAsia="en-US"/>
              </w:rPr>
              <w:lastRenderedPageBreak/>
              <w:t>Tilsynsnotat fremsendt til virksomheden</w:t>
            </w:r>
          </w:p>
        </w:tc>
        <w:tc>
          <w:tcPr>
            <w:tcW w:w="1462" w:type="pct"/>
            <w:shd w:val="clear" w:color="auto" w:fill="92D050"/>
          </w:tcPr>
          <w:p w14:paraId="58BBEDCE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color w:val="000000"/>
                <w:szCs w:val="22"/>
                <w:lang w:eastAsia="en-US"/>
              </w:rPr>
              <w:t>Dato</w:t>
            </w:r>
          </w:p>
        </w:tc>
      </w:tr>
      <w:tr w:rsidR="000C4FFE" w:rsidRPr="00954549" w14:paraId="33996F01" w14:textId="77777777" w:rsidTr="00972D5F">
        <w:trPr>
          <w:trHeight w:val="144"/>
        </w:trPr>
        <w:tc>
          <w:tcPr>
            <w:tcW w:w="3538" w:type="pct"/>
            <w:gridSpan w:val="3"/>
            <w:shd w:val="clear" w:color="auto" w:fill="auto"/>
          </w:tcPr>
          <w:p w14:paraId="3326B3CC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szCs w:val="22"/>
                <w:lang w:eastAsia="en-US"/>
              </w:rPr>
              <w:t xml:space="preserve">Notat fremsendt til kommentering hos virksomheden </w:t>
            </w:r>
          </w:p>
        </w:tc>
        <w:tc>
          <w:tcPr>
            <w:tcW w:w="1462" w:type="pct"/>
            <w:shd w:val="clear" w:color="auto" w:fill="auto"/>
          </w:tcPr>
          <w:p w14:paraId="6ECC6DB3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29-08-2018</w:t>
            </w:r>
          </w:p>
        </w:tc>
      </w:tr>
      <w:tr w:rsidR="000C4FFE" w:rsidRPr="00954549" w14:paraId="27630842" w14:textId="77777777" w:rsidTr="00972D5F">
        <w:trPr>
          <w:trHeight w:val="144"/>
        </w:trPr>
        <w:tc>
          <w:tcPr>
            <w:tcW w:w="3538" w:type="pct"/>
            <w:gridSpan w:val="3"/>
            <w:shd w:val="clear" w:color="auto" w:fill="auto"/>
          </w:tcPr>
          <w:p w14:paraId="20444053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Endeligt </w:t>
            </w:r>
            <w:r w:rsidRPr="006D5AA8">
              <w:rPr>
                <w:rFonts w:eastAsia="Calibri"/>
                <w:szCs w:val="22"/>
                <w:lang w:eastAsia="en-US"/>
              </w:rPr>
              <w:t>tilsynsnotat</w:t>
            </w:r>
          </w:p>
        </w:tc>
        <w:tc>
          <w:tcPr>
            <w:tcW w:w="1462" w:type="pct"/>
            <w:shd w:val="clear" w:color="auto" w:fill="auto"/>
          </w:tcPr>
          <w:p w14:paraId="75646426" w14:textId="2BB9FB27" w:rsidR="000C4FFE" w:rsidRPr="006D5AA8" w:rsidRDefault="000C4FFE" w:rsidP="002703D5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  <w:r w:rsidR="002703D5">
              <w:rPr>
                <w:rFonts w:eastAsia="Calibri"/>
                <w:szCs w:val="22"/>
                <w:lang w:eastAsia="en-US"/>
              </w:rPr>
              <w:t>1</w:t>
            </w:r>
            <w:r>
              <w:rPr>
                <w:rFonts w:eastAsia="Calibri"/>
                <w:szCs w:val="22"/>
                <w:lang w:eastAsia="en-US"/>
              </w:rPr>
              <w:t>-10-2018</w:t>
            </w:r>
          </w:p>
        </w:tc>
      </w:tr>
    </w:tbl>
    <w:p w14:paraId="1D408899" w14:textId="77777777" w:rsidR="000C4FFE" w:rsidRDefault="000C4FFE" w:rsidP="000C4FFE">
      <w:pPr>
        <w:rPr>
          <w:color w:val="FF0000"/>
        </w:rPr>
      </w:pPr>
      <w:r>
        <w:rPr>
          <w:b/>
        </w:rPr>
        <w:br w:type="page"/>
      </w:r>
      <w:r w:rsidRPr="00954549">
        <w:rPr>
          <w:b/>
        </w:rPr>
        <w:lastRenderedPageBreak/>
        <w:t>Aftaler</w:t>
      </w:r>
      <w:r>
        <w:rPr>
          <w:b/>
        </w:rPr>
        <w:t xml:space="preserve"> </w:t>
      </w:r>
    </w:p>
    <w:p w14:paraId="4FC50709" w14:textId="6F11196D" w:rsidR="000C4FFE" w:rsidRDefault="000C4FFE" w:rsidP="000C4FFE">
      <w:r w:rsidRPr="00396379">
        <w:rPr>
          <w:b/>
        </w:rPr>
        <w:t xml:space="preserve">Aftale </w:t>
      </w:r>
      <w:r>
        <w:rPr>
          <w:b/>
        </w:rPr>
        <w:t>1</w:t>
      </w:r>
      <w:r w:rsidRPr="00396379">
        <w:rPr>
          <w:b/>
        </w:rPr>
        <w:t>:</w:t>
      </w:r>
      <w:r>
        <w:t xml:space="preserve"> Circle K eftersender kopi af tankstationens egenkontrol af dampgenindvindingsudstyret for 2018 og 2017. </w:t>
      </w:r>
      <w:r w:rsidR="002703D5">
        <w:t>Aftalen er delvist opfyldt med mail af 20. marts 2018 med en kvittering for 1 egenkontrol i 2017 (kravet er 2 årlige). Der skulle være foretaget en kontrol i juli, der ikke er fremsendt kvittering for.</w:t>
      </w:r>
    </w:p>
    <w:p w14:paraId="54ABB99D" w14:textId="77777777" w:rsidR="000C4FFE" w:rsidRDefault="000C4FFE" w:rsidP="000C4FFE">
      <w:pPr>
        <w:rPr>
          <w:szCs w:val="24"/>
        </w:rPr>
      </w:pPr>
      <w:r w:rsidRPr="00396379">
        <w:rPr>
          <w:b/>
        </w:rPr>
        <w:t xml:space="preserve">Aftale </w:t>
      </w:r>
      <w:r>
        <w:rPr>
          <w:b/>
        </w:rPr>
        <w:t>2</w:t>
      </w:r>
      <w:r w:rsidRPr="00396379">
        <w:rPr>
          <w:b/>
        </w:rPr>
        <w:t>:</w:t>
      </w:r>
      <w:r>
        <w:t xml:space="preserve"> </w:t>
      </w:r>
      <w:r w:rsidRPr="004C500E">
        <w:rPr>
          <w:szCs w:val="24"/>
        </w:rPr>
        <w:t>Inspektionsrapport for Tank 5 er fremsendt den 14. november 2017. I rapporten er kontrolterminen fejlagtigt angivet til 07-11-2027. Da der er tale om belægning af en tank, der allerede har været i brug, er fristen for næste kontrol dog senest 5 år efter, at belægningen blev udført. Dvs. den korrekte kontroltermin er 07-11-2022.</w:t>
      </w:r>
      <w:r>
        <w:rPr>
          <w:szCs w:val="24"/>
        </w:rPr>
        <w:t xml:space="preserve"> Dette bedes rette og fremsendt dokumentation for dette.</w:t>
      </w:r>
    </w:p>
    <w:p w14:paraId="266AAB6C" w14:textId="77777777" w:rsidR="000C4FFE" w:rsidRDefault="000C4FFE" w:rsidP="000C4FFE"/>
    <w:p w14:paraId="653F05FB" w14:textId="77777777" w:rsidR="000C4FFE" w:rsidRPr="00370225" w:rsidRDefault="000C4FFE" w:rsidP="000C4FFE">
      <w:pPr>
        <w:rPr>
          <w:b/>
        </w:rPr>
      </w:pPr>
      <w:r>
        <w:t xml:space="preserve">Fristen for opfyldelse af ovenstående aftaler sat </w:t>
      </w:r>
      <w:r w:rsidRPr="00D533DA">
        <w:t>til 1. oktober 2018</w:t>
      </w:r>
      <w:r>
        <w:t xml:space="preserve"> er ikke opfyldt. Der sættes en ny frist til </w:t>
      </w:r>
      <w:r w:rsidRPr="00370225">
        <w:rPr>
          <w:b/>
        </w:rPr>
        <w:t>1. november 2018</w:t>
      </w:r>
      <w:r w:rsidRPr="00370225">
        <w:t>.</w:t>
      </w:r>
    </w:p>
    <w:p w14:paraId="3DD54D6B" w14:textId="77777777" w:rsidR="000C4FFE" w:rsidRDefault="000C4FFE" w:rsidP="000C4FFE">
      <w:pPr>
        <w:rPr>
          <w:color w:val="FF0000"/>
        </w:rPr>
      </w:pPr>
    </w:p>
    <w:p w14:paraId="3B07D68A" w14:textId="77777777" w:rsidR="000C4FFE" w:rsidRPr="00954549" w:rsidRDefault="000C4FFE" w:rsidP="000C4FFE">
      <w:pPr>
        <w:rPr>
          <w:color w:val="FF0000"/>
        </w:rPr>
      </w:pPr>
      <w:r w:rsidRPr="00954549">
        <w:rPr>
          <w:b/>
        </w:rPr>
        <w:t>Miljøledelse</w:t>
      </w:r>
      <w:r w:rsidRPr="00954549">
        <w:t xml:space="preserve"> </w:t>
      </w:r>
    </w:p>
    <w:p w14:paraId="36BE4FB7" w14:textId="77777777" w:rsidR="000C4FFE" w:rsidRPr="009732A6" w:rsidRDefault="000C4FFE" w:rsidP="000C4FFE">
      <w:pPr>
        <w:autoSpaceDE w:val="0"/>
        <w:autoSpaceDN w:val="0"/>
        <w:adjustRightInd w:val="0"/>
      </w:pPr>
      <w:r w:rsidRPr="009732A6">
        <w:t xml:space="preserve">Virksomheden har hverken et certificeret miljøledelsessystem, anden form for velfungerende miljøledelsessystem eller dokumenteret miljøforbedringer på udvalgte områder inden for de sidste </w:t>
      </w:r>
      <w:r>
        <w:t>4</w:t>
      </w:r>
      <w:r w:rsidRPr="009732A6">
        <w:t xml:space="preserve"> år.</w:t>
      </w:r>
    </w:p>
    <w:p w14:paraId="3E04E251" w14:textId="77777777" w:rsidR="000C4FFE" w:rsidRPr="00954549" w:rsidRDefault="000C4FFE" w:rsidP="000C4FFE">
      <w:pPr>
        <w:autoSpaceDE w:val="0"/>
        <w:autoSpaceDN w:val="0"/>
        <w:adjustRightInd w:val="0"/>
        <w:rPr>
          <w:color w:val="FF0000"/>
        </w:rPr>
      </w:pPr>
    </w:p>
    <w:p w14:paraId="5C6B182A" w14:textId="77777777" w:rsidR="000C4FFE" w:rsidRDefault="000C4FFE" w:rsidP="000C4FFE">
      <w:pPr>
        <w:rPr>
          <w:b/>
        </w:rPr>
      </w:pPr>
      <w:r w:rsidRPr="00954549">
        <w:rPr>
          <w:b/>
        </w:rPr>
        <w:t xml:space="preserve">Ændringer i aktiviteter siden sidste tilsyn </w:t>
      </w:r>
    </w:p>
    <w:p w14:paraId="138ADBD3" w14:textId="77777777" w:rsidR="000C4FFE" w:rsidRPr="008469DA" w:rsidRDefault="000C4FFE" w:rsidP="000C4FFE">
      <w:r>
        <w:t xml:space="preserve">Ingen. </w:t>
      </w:r>
    </w:p>
    <w:p w14:paraId="511FFBF4" w14:textId="77777777" w:rsidR="000C4FFE" w:rsidRDefault="000C4FFE" w:rsidP="000C4FFE">
      <w:pPr>
        <w:rPr>
          <w:b/>
        </w:rPr>
      </w:pPr>
    </w:p>
    <w:p w14:paraId="5311925C" w14:textId="77777777" w:rsidR="000C4FFE" w:rsidRPr="00954549" w:rsidRDefault="000C4FFE" w:rsidP="000C4FFE">
      <w:r w:rsidRPr="00954549">
        <w:rPr>
          <w:b/>
        </w:rPr>
        <w:t>Støj, støv og lugt</w:t>
      </w:r>
      <w:r w:rsidRPr="00954549">
        <w:rPr>
          <w:b/>
        </w:rPr>
        <w:br/>
      </w:r>
      <w:r w:rsidRPr="00954549">
        <w:t xml:space="preserve">Virksomheden har </w:t>
      </w:r>
      <w:r w:rsidRPr="008469DA">
        <w:t>ikke</w:t>
      </w:r>
      <w:r w:rsidRPr="00954549">
        <w:rPr>
          <w:color w:val="FF0000"/>
        </w:rPr>
        <w:t xml:space="preserve"> </w:t>
      </w:r>
      <w:r w:rsidRPr="00954549">
        <w:t xml:space="preserve">haft henvendelser fra omkringboende vedr. støj-, støv- eller lugtgener siden sidste tilsyn. </w:t>
      </w:r>
    </w:p>
    <w:p w14:paraId="6428C1A4" w14:textId="77777777" w:rsidR="000C4FFE" w:rsidRPr="00954549" w:rsidRDefault="000C4FFE" w:rsidP="000C4FFE">
      <w:r>
        <w:t>Portene til vaskehal er lukkede ved vask.</w:t>
      </w:r>
      <w:r>
        <w:br/>
        <w:t xml:space="preserve">Der findes </w:t>
      </w:r>
      <w:r w:rsidRPr="008469DA">
        <w:t>en indendørs</w:t>
      </w:r>
      <w:r>
        <w:t xml:space="preserve"> kompressor på virksomheden.</w:t>
      </w:r>
    </w:p>
    <w:p w14:paraId="0A9991D7" w14:textId="77777777" w:rsidR="000C4FFE" w:rsidRDefault="000C4FFE" w:rsidP="000C4FFE">
      <w:pPr>
        <w:rPr>
          <w:b/>
        </w:rPr>
      </w:pPr>
    </w:p>
    <w:p w14:paraId="407C8FBD" w14:textId="77777777" w:rsidR="000C4FFE" w:rsidRDefault="000C4FFE" w:rsidP="000C4FFE">
      <w:r>
        <w:rPr>
          <w:b/>
        </w:rPr>
        <w:br w:type="page"/>
      </w:r>
      <w:r w:rsidRPr="00954549">
        <w:rPr>
          <w:b/>
        </w:rPr>
        <w:lastRenderedPageBreak/>
        <w:t>Spildevand</w:t>
      </w:r>
      <w:r w:rsidRPr="00954549">
        <w:rPr>
          <w:b/>
        </w:rPr>
        <w:br/>
      </w:r>
      <w:r>
        <w:t xml:space="preserve">Intet nyt siden sidste tilsyn. </w:t>
      </w:r>
    </w:p>
    <w:p w14:paraId="05A32D11" w14:textId="77777777" w:rsidR="000C4FFE" w:rsidRDefault="000C4FFE" w:rsidP="000C4FFE">
      <w:r w:rsidRPr="00954549">
        <w:t>Virksomhed</w:t>
      </w:r>
      <w:r>
        <w:t>en afleder processpildevand fra vaskehal</w:t>
      </w:r>
      <w:r w:rsidRPr="00954549">
        <w:t xml:space="preserve">. Virksomheden har tilslutningstilladelse af </w:t>
      </w:r>
      <w:r>
        <w:t xml:space="preserve">07-09-2004. Tilbagemelding på seneste spildevandskontrol i </w:t>
      </w:r>
      <w:r w:rsidRPr="00202E6B">
        <w:t>2017: Der ses en overskridelse af den tilsigtede værdi for kobber med et målt indhold på 73 mg/bilvask. Den tilsigtede værdi for kobber er 15 mg/bilvask. Grænseværdi på 75 mg/bilvask er dog overholdt. Derudover ses en mindre overskridelse af den gamle tilsigtede værdi for DEHP.</w:t>
      </w:r>
      <w:r>
        <w:t xml:space="preserve"> </w:t>
      </w:r>
    </w:p>
    <w:p w14:paraId="60048BC3" w14:textId="77777777" w:rsidR="000C4FFE" w:rsidRPr="0074194D" w:rsidRDefault="000C4FFE" w:rsidP="000C4FFE">
      <w:pPr>
        <w:rPr>
          <w:b/>
        </w:rPr>
      </w:pPr>
      <w:r w:rsidRPr="0074194D">
        <w:rPr>
          <w:b/>
        </w:rPr>
        <w:t>Næste kontrol skal udføres i perioden 1. januar – 1. maj 2019.</w:t>
      </w:r>
    </w:p>
    <w:p w14:paraId="2972A696" w14:textId="77777777" w:rsidR="000C4FFE" w:rsidRPr="002A510C" w:rsidRDefault="000C4FFE" w:rsidP="000C4FFE"/>
    <w:p w14:paraId="2E6D8DCD" w14:textId="77777777" w:rsidR="000C4FFE" w:rsidRDefault="000C4FFE" w:rsidP="000C4FFE">
      <w:r w:rsidRPr="002A510C">
        <w:t>Virksomheden udfører ikke egenkontrol med pejling af sandfang og olieudskiller. Sandfang og olieudskiller</w:t>
      </w:r>
      <w:r>
        <w:t xml:space="preserve"> for vaskehal er</w:t>
      </w:r>
      <w:r w:rsidRPr="002A510C">
        <w:t xml:space="preserve"> senest renset </w:t>
      </w:r>
      <w:r>
        <w:t xml:space="preserve">den </w:t>
      </w:r>
      <w:r w:rsidRPr="002A510C">
        <w:t>1</w:t>
      </w:r>
      <w:r>
        <w:t>1</w:t>
      </w:r>
      <w:r w:rsidRPr="002A510C">
        <w:t>. juni 201</w:t>
      </w:r>
      <w:r>
        <w:t>8</w:t>
      </w:r>
      <w:r w:rsidRPr="002A510C">
        <w:t xml:space="preserve"> af </w:t>
      </w:r>
      <w:r>
        <w:t>LMJ</w:t>
      </w:r>
      <w:r w:rsidRPr="002A510C">
        <w:t>.</w:t>
      </w:r>
      <w:r>
        <w:t xml:space="preserve"> Desuden er følgende tømt og spulet: vejbrønde, Aqua dræn, riste ved tankanlæg, pejlebrønd, genbrugs/pumpebrønd og udskyldningsgruben. Dette er gjort i henholdsvis marts, maj og juni inden årets tilsyn i 2018.</w:t>
      </w:r>
    </w:p>
    <w:p w14:paraId="3BE5CBFD" w14:textId="77777777" w:rsidR="000C4FFE" w:rsidRDefault="000C4FFE" w:rsidP="000C4FFE"/>
    <w:p w14:paraId="79CF6C91" w14:textId="77777777" w:rsidR="000C4FFE" w:rsidRDefault="000C4FFE" w:rsidP="000C4F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870"/>
        <w:gridCol w:w="790"/>
        <w:gridCol w:w="1136"/>
        <w:gridCol w:w="1136"/>
        <w:gridCol w:w="1070"/>
        <w:gridCol w:w="3290"/>
      </w:tblGrid>
      <w:tr w:rsidR="000C4FFE" w:rsidRPr="00B759FA" w14:paraId="4969CD13" w14:textId="77777777" w:rsidTr="00972D5F">
        <w:tc>
          <w:tcPr>
            <w:tcW w:w="3270" w:type="pct"/>
            <w:gridSpan w:val="6"/>
            <w:shd w:val="clear" w:color="auto" w:fill="auto"/>
          </w:tcPr>
          <w:p w14:paraId="2584F7B4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>Olieudskillere</w:t>
            </w:r>
          </w:p>
        </w:tc>
        <w:tc>
          <w:tcPr>
            <w:tcW w:w="1730" w:type="pct"/>
            <w:shd w:val="clear" w:color="auto" w:fill="auto"/>
          </w:tcPr>
          <w:p w14:paraId="791F8622" w14:textId="77777777" w:rsidR="000C4FFE" w:rsidRPr="006D5AA8" w:rsidRDefault="000C4FFE" w:rsidP="00972D5F">
            <w:pPr>
              <w:rPr>
                <w:rFonts w:eastAsia="Calibri"/>
                <w:b/>
                <w:szCs w:val="22"/>
                <w:lang w:eastAsia="en-US"/>
              </w:rPr>
            </w:pPr>
            <w:r w:rsidRPr="006D5AA8">
              <w:rPr>
                <w:rFonts w:eastAsia="Calibri"/>
                <w:b/>
                <w:szCs w:val="22"/>
                <w:lang w:eastAsia="en-US"/>
              </w:rPr>
              <w:t>Bemærkninger</w:t>
            </w:r>
          </w:p>
        </w:tc>
      </w:tr>
      <w:tr w:rsidR="000C4FFE" w:rsidRPr="008519C3" w14:paraId="0795432C" w14:textId="77777777" w:rsidTr="00972D5F">
        <w:tc>
          <w:tcPr>
            <w:tcW w:w="176" w:type="pct"/>
            <w:shd w:val="clear" w:color="auto" w:fill="auto"/>
          </w:tcPr>
          <w:p w14:paraId="7AED1C27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77" w:type="pct"/>
            <w:shd w:val="clear" w:color="auto" w:fill="auto"/>
          </w:tcPr>
          <w:p w14:paraId="755E0498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szCs w:val="22"/>
                <w:lang w:eastAsia="en-US"/>
              </w:rPr>
              <w:t>Betjener område</w:t>
            </w:r>
          </w:p>
        </w:tc>
        <w:tc>
          <w:tcPr>
            <w:tcW w:w="371" w:type="pct"/>
            <w:shd w:val="clear" w:color="auto" w:fill="auto"/>
          </w:tcPr>
          <w:p w14:paraId="32E321F2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szCs w:val="22"/>
                <w:lang w:eastAsia="en-US"/>
              </w:rPr>
              <w:t>Type</w:t>
            </w:r>
          </w:p>
        </w:tc>
        <w:tc>
          <w:tcPr>
            <w:tcW w:w="594" w:type="pct"/>
            <w:shd w:val="clear" w:color="auto" w:fill="auto"/>
          </w:tcPr>
          <w:p w14:paraId="4E9A1BF4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szCs w:val="22"/>
                <w:lang w:eastAsia="en-US"/>
              </w:rPr>
              <w:t>Kapacitet</w:t>
            </w:r>
          </w:p>
        </w:tc>
        <w:tc>
          <w:tcPr>
            <w:tcW w:w="594" w:type="pct"/>
            <w:shd w:val="clear" w:color="auto" w:fill="auto"/>
          </w:tcPr>
          <w:p w14:paraId="092F2DB8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szCs w:val="22"/>
                <w:lang w:eastAsia="en-US"/>
              </w:rPr>
              <w:t>Slamfang</w:t>
            </w:r>
          </w:p>
        </w:tc>
        <w:tc>
          <w:tcPr>
            <w:tcW w:w="559" w:type="pct"/>
            <w:shd w:val="clear" w:color="auto" w:fill="auto"/>
          </w:tcPr>
          <w:p w14:paraId="71F9A9A8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szCs w:val="22"/>
                <w:lang w:eastAsia="en-US"/>
              </w:rPr>
              <w:t>Alarm monteret</w:t>
            </w:r>
          </w:p>
        </w:tc>
        <w:tc>
          <w:tcPr>
            <w:tcW w:w="1730" w:type="pct"/>
            <w:shd w:val="clear" w:color="auto" w:fill="auto"/>
          </w:tcPr>
          <w:p w14:paraId="11EE8C9E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0C4FFE" w:rsidRPr="008519C3" w14:paraId="66A1542F" w14:textId="77777777" w:rsidTr="00972D5F">
        <w:tc>
          <w:tcPr>
            <w:tcW w:w="176" w:type="pct"/>
            <w:shd w:val="clear" w:color="auto" w:fill="auto"/>
          </w:tcPr>
          <w:p w14:paraId="043EA430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977" w:type="pct"/>
            <w:shd w:val="clear" w:color="auto" w:fill="auto"/>
          </w:tcPr>
          <w:p w14:paraId="722D7790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szCs w:val="22"/>
                <w:lang w:eastAsia="en-US"/>
              </w:rPr>
              <w:t>Vaskehal</w:t>
            </w:r>
          </w:p>
        </w:tc>
        <w:tc>
          <w:tcPr>
            <w:tcW w:w="371" w:type="pct"/>
            <w:shd w:val="clear" w:color="auto" w:fill="auto"/>
          </w:tcPr>
          <w:p w14:paraId="5550BD02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Beton</w:t>
            </w:r>
          </w:p>
        </w:tc>
        <w:tc>
          <w:tcPr>
            <w:tcW w:w="594" w:type="pct"/>
            <w:shd w:val="clear" w:color="auto" w:fill="auto"/>
          </w:tcPr>
          <w:p w14:paraId="156FCC92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94" w:type="pct"/>
            <w:shd w:val="clear" w:color="auto" w:fill="auto"/>
          </w:tcPr>
          <w:p w14:paraId="7D07C484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Ja</w:t>
            </w:r>
          </w:p>
        </w:tc>
        <w:tc>
          <w:tcPr>
            <w:tcW w:w="559" w:type="pct"/>
            <w:shd w:val="clear" w:color="auto" w:fill="auto"/>
          </w:tcPr>
          <w:p w14:paraId="2E0B0719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Ja</w:t>
            </w:r>
          </w:p>
        </w:tc>
        <w:tc>
          <w:tcPr>
            <w:tcW w:w="1730" w:type="pct"/>
            <w:shd w:val="clear" w:color="auto" w:fill="auto"/>
          </w:tcPr>
          <w:p w14:paraId="781C0965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Tæthedsprøvet i 2004. BZU 200/60</w:t>
            </w:r>
          </w:p>
        </w:tc>
      </w:tr>
      <w:tr w:rsidR="000C4FFE" w:rsidRPr="008519C3" w14:paraId="69A9A881" w14:textId="77777777" w:rsidTr="00972D5F">
        <w:tc>
          <w:tcPr>
            <w:tcW w:w="176" w:type="pct"/>
            <w:shd w:val="clear" w:color="auto" w:fill="auto"/>
          </w:tcPr>
          <w:p w14:paraId="56278FE0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14:paraId="46C7676E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 w:rsidRPr="006D5AA8">
              <w:rPr>
                <w:rFonts w:eastAsia="Calibri"/>
                <w:szCs w:val="22"/>
                <w:lang w:eastAsia="en-US"/>
              </w:rPr>
              <w:t>Påfyldningsplads</w:t>
            </w:r>
          </w:p>
        </w:tc>
        <w:tc>
          <w:tcPr>
            <w:tcW w:w="371" w:type="pct"/>
            <w:shd w:val="clear" w:color="auto" w:fill="auto"/>
          </w:tcPr>
          <w:p w14:paraId="6AD7C5BE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Beton</w:t>
            </w:r>
          </w:p>
        </w:tc>
        <w:tc>
          <w:tcPr>
            <w:tcW w:w="594" w:type="pct"/>
            <w:shd w:val="clear" w:color="auto" w:fill="auto"/>
          </w:tcPr>
          <w:p w14:paraId="72CA019B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94" w:type="pct"/>
            <w:shd w:val="clear" w:color="auto" w:fill="auto"/>
          </w:tcPr>
          <w:p w14:paraId="4AAC939D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59" w:type="pct"/>
            <w:shd w:val="clear" w:color="auto" w:fill="auto"/>
          </w:tcPr>
          <w:p w14:paraId="59A7D50F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Ja</w:t>
            </w:r>
          </w:p>
        </w:tc>
        <w:tc>
          <w:tcPr>
            <w:tcW w:w="1730" w:type="pct"/>
            <w:shd w:val="clear" w:color="auto" w:fill="auto"/>
          </w:tcPr>
          <w:p w14:paraId="16A5974A" w14:textId="77777777" w:rsidR="000C4FFE" w:rsidRPr="006D5AA8" w:rsidRDefault="000C4FFE" w:rsidP="00972D5F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BZU 1000/100</w:t>
            </w:r>
          </w:p>
        </w:tc>
      </w:tr>
    </w:tbl>
    <w:p w14:paraId="2CB246AA" w14:textId="77777777" w:rsidR="000C4FFE" w:rsidRDefault="000C4FFE" w:rsidP="000C4FFE"/>
    <w:p w14:paraId="4E4DAD84" w14:textId="77777777" w:rsidR="000C4FFE" w:rsidRPr="00332DE6" w:rsidRDefault="000C4FFE" w:rsidP="000C4FFE">
      <w:pPr>
        <w:rPr>
          <w:color w:val="FF0000"/>
        </w:rPr>
      </w:pPr>
      <w:r>
        <w:t xml:space="preserve">Tømningsfrekvensen for olieudskilleranlægget til påfyldningspladsen er aftalt til: </w:t>
      </w:r>
      <w:r w:rsidRPr="004121AE">
        <w:t>1 gang</w:t>
      </w:r>
      <w:r>
        <w:t xml:space="preserve"> årligt.</w:t>
      </w:r>
      <w:r w:rsidRPr="008949A4">
        <w:rPr>
          <w:color w:val="FF0000"/>
        </w:rPr>
        <w:t xml:space="preserve"> </w:t>
      </w:r>
    </w:p>
    <w:p w14:paraId="15067EEB" w14:textId="77777777" w:rsidR="000C4FFE" w:rsidRDefault="000C4FFE" w:rsidP="000C4FFE">
      <w:r>
        <w:t>Olieudskiller med tilhørende sandfang til påfyldningspladsen er senest kontrolleret den 11. juni 2018 af LMJ</w:t>
      </w:r>
      <w:r>
        <w:rPr>
          <w:color w:val="FF0000"/>
        </w:rPr>
        <w:t xml:space="preserve">. </w:t>
      </w:r>
    </w:p>
    <w:p w14:paraId="353FA84E" w14:textId="77777777" w:rsidR="000C4FFE" w:rsidRPr="008949A4" w:rsidRDefault="000C4FFE" w:rsidP="000C4FFE">
      <w:pPr>
        <w:rPr>
          <w:b/>
        </w:rPr>
      </w:pPr>
      <w:r>
        <w:rPr>
          <w:b/>
        </w:rPr>
        <w:br/>
      </w:r>
      <w:r w:rsidRPr="008949A4">
        <w:rPr>
          <w:b/>
        </w:rPr>
        <w:t>Øvrig egenkontrol</w:t>
      </w:r>
    </w:p>
    <w:p w14:paraId="6628953F" w14:textId="6CB2514A" w:rsidR="000C4FFE" w:rsidRDefault="000C4FFE" w:rsidP="000C4FFE">
      <w:r w:rsidRPr="008519C3">
        <w:lastRenderedPageBreak/>
        <w:t>Beholderregnskab som virksomheden har plig</w:t>
      </w:r>
      <w:r>
        <w:t xml:space="preserve">t til at føre iht. Olietankbekendtgørelsen </w:t>
      </w:r>
      <w:proofErr w:type="spellStart"/>
      <w:r>
        <w:t>blevfremvist</w:t>
      </w:r>
      <w:proofErr w:type="spellEnd"/>
      <w:r>
        <w:t xml:space="preserve"> på tilsynet. </w:t>
      </w:r>
    </w:p>
    <w:p w14:paraId="3DF274B8" w14:textId="77777777" w:rsidR="000C4FFE" w:rsidRDefault="000C4FFE" w:rsidP="000C4FFE">
      <w:pPr>
        <w:rPr>
          <w:szCs w:val="24"/>
        </w:rPr>
      </w:pPr>
    </w:p>
    <w:p w14:paraId="197480BA" w14:textId="77777777" w:rsidR="000C4FFE" w:rsidRDefault="000C4FFE" w:rsidP="000C4FFE">
      <w:pPr>
        <w:rPr>
          <w:szCs w:val="24"/>
        </w:rPr>
      </w:pPr>
      <w:r w:rsidRPr="001353F9">
        <w:rPr>
          <w:szCs w:val="24"/>
        </w:rPr>
        <w:t>Dampgen</w:t>
      </w:r>
      <w:r>
        <w:rPr>
          <w:szCs w:val="24"/>
        </w:rPr>
        <w:t>indvindingsudstyret er monteret</w:t>
      </w:r>
      <w:r w:rsidRPr="001353F9">
        <w:rPr>
          <w:szCs w:val="24"/>
        </w:rPr>
        <w:t xml:space="preserve">. </w:t>
      </w:r>
    </w:p>
    <w:p w14:paraId="257B16CB" w14:textId="0E7049D9" w:rsidR="000C4FFE" w:rsidRDefault="000C4FFE" w:rsidP="000C4FFE">
      <w:pPr>
        <w:rPr>
          <w:szCs w:val="24"/>
        </w:rPr>
      </w:pPr>
      <w:r w:rsidRPr="001353F9">
        <w:rPr>
          <w:szCs w:val="24"/>
        </w:rPr>
        <w:t xml:space="preserve">Virksomheden har fået udført kontrol af dampgenindvindingsudstyret hvert 2. år, seneste kontrol var den </w:t>
      </w:r>
      <w:r>
        <w:rPr>
          <w:szCs w:val="24"/>
        </w:rPr>
        <w:t>18. og 19. januar 2016</w:t>
      </w:r>
      <w:r w:rsidRPr="001353F9">
        <w:rPr>
          <w:szCs w:val="24"/>
        </w:rPr>
        <w:t xml:space="preserve">. </w:t>
      </w:r>
      <w:r w:rsidR="002703D5">
        <w:rPr>
          <w:szCs w:val="24"/>
        </w:rPr>
        <w:t>Der er fremsendt 1 kvittering for kontrol fra 2017.</w:t>
      </w:r>
      <w:r>
        <w:rPr>
          <w:szCs w:val="24"/>
        </w:rPr>
        <w:br/>
      </w:r>
      <w:r w:rsidRPr="0074194D">
        <w:rPr>
          <w:szCs w:val="24"/>
        </w:rPr>
        <w:t xml:space="preserve">Inspektionsrapporten for seneste kontrol i 2018 </w:t>
      </w:r>
      <w:r w:rsidR="002703D5">
        <w:rPr>
          <w:szCs w:val="24"/>
        </w:rPr>
        <w:t xml:space="preserve">mangler at blive </w:t>
      </w:r>
      <w:r w:rsidRPr="0074194D">
        <w:rPr>
          <w:szCs w:val="24"/>
        </w:rPr>
        <w:t>fremsend</w:t>
      </w:r>
      <w:r w:rsidR="002703D5">
        <w:rPr>
          <w:szCs w:val="24"/>
        </w:rPr>
        <w:t>t</w:t>
      </w:r>
      <w:bookmarkStart w:id="0" w:name="_GoBack"/>
      <w:bookmarkEnd w:id="0"/>
      <w:r w:rsidRPr="0074194D">
        <w:rPr>
          <w:szCs w:val="24"/>
        </w:rPr>
        <w:t xml:space="preserve">. </w:t>
      </w:r>
    </w:p>
    <w:p w14:paraId="7E263E90" w14:textId="77777777" w:rsidR="000C4FFE" w:rsidRDefault="000C4FFE" w:rsidP="000C4FFE">
      <w:pPr>
        <w:rPr>
          <w:color w:val="FF0000"/>
          <w:szCs w:val="24"/>
        </w:rPr>
      </w:pPr>
    </w:p>
    <w:p w14:paraId="1C3B0BD5" w14:textId="77777777" w:rsidR="000C4FFE" w:rsidRPr="00C140BF" w:rsidRDefault="000C4FFE" w:rsidP="000C4FFE">
      <w:r w:rsidRPr="001353F9">
        <w:rPr>
          <w:szCs w:val="24"/>
        </w:rPr>
        <w:t xml:space="preserve">Egenkontrol af genindvindingsudstyret </w:t>
      </w:r>
      <w:r w:rsidRPr="00E8573C">
        <w:rPr>
          <w:szCs w:val="24"/>
        </w:rPr>
        <w:t xml:space="preserve">sker </w:t>
      </w:r>
      <w:r>
        <w:rPr>
          <w:szCs w:val="24"/>
        </w:rPr>
        <w:t>halv årligt</w:t>
      </w:r>
      <w:r w:rsidRPr="00FE6D1A">
        <w:rPr>
          <w:szCs w:val="24"/>
        </w:rPr>
        <w:t xml:space="preserve">. Driftsjournal </w:t>
      </w:r>
      <w:r>
        <w:rPr>
          <w:szCs w:val="24"/>
        </w:rPr>
        <w:t xml:space="preserve">2018 </w:t>
      </w:r>
      <w:r w:rsidRPr="00FE6D1A">
        <w:rPr>
          <w:szCs w:val="24"/>
        </w:rPr>
        <w:t>for egenkontrollen kunne ikke fremvises</w:t>
      </w:r>
      <w:r>
        <w:rPr>
          <w:szCs w:val="24"/>
        </w:rPr>
        <w:t xml:space="preserve">, men eftersendes. For 2017 blev der fremvist en rapport 06.07.2017 </w:t>
      </w:r>
      <w:r w:rsidRPr="00FE6D1A">
        <w:rPr>
          <w:szCs w:val="24"/>
        </w:rPr>
        <w:t xml:space="preserve">ved tilsynet. </w:t>
      </w:r>
      <w:r>
        <w:rPr>
          <w:szCs w:val="24"/>
        </w:rPr>
        <w:t xml:space="preserve">Der mangler således en fra 2017, der fremsendes. </w:t>
      </w:r>
      <w:r w:rsidRPr="00C140BF">
        <w:t xml:space="preserve">Egenkontrol udføres af </w:t>
      </w:r>
      <w:proofErr w:type="spellStart"/>
      <w:r w:rsidRPr="00C140BF">
        <w:t>Gilbarco</w:t>
      </w:r>
      <w:proofErr w:type="spellEnd"/>
      <w:r w:rsidRPr="00C140BF">
        <w:t xml:space="preserve"> </w:t>
      </w:r>
      <w:proofErr w:type="spellStart"/>
      <w:r w:rsidRPr="00C140BF">
        <w:t>Veeder-Root</w:t>
      </w:r>
      <w:proofErr w:type="spellEnd"/>
      <w:r w:rsidRPr="00C140BF">
        <w:br/>
      </w:r>
    </w:p>
    <w:p w14:paraId="2041A50D" w14:textId="77777777" w:rsidR="000C4FFE" w:rsidRDefault="000C4FFE" w:rsidP="000C4FFE">
      <w:r w:rsidRPr="00954549">
        <w:rPr>
          <w:b/>
        </w:rPr>
        <w:t>Affald og kemikalier</w:t>
      </w:r>
      <w:r w:rsidRPr="00954549">
        <w:rPr>
          <w:b/>
        </w:rPr>
        <w:br/>
      </w:r>
      <w:r w:rsidRPr="00954549">
        <w:t xml:space="preserve">Virksomheden </w:t>
      </w:r>
      <w:r>
        <w:t>producere ikke andet farligt affald, end olie og slam fra SF og OBU.</w:t>
      </w:r>
      <w:r w:rsidRPr="00954549">
        <w:rPr>
          <w:color w:val="FF0000"/>
        </w:rPr>
        <w:br/>
      </w:r>
      <w:r w:rsidRPr="00954549">
        <w:t xml:space="preserve">Der er </w:t>
      </w:r>
      <w:r w:rsidRPr="002945DE">
        <w:t>ingen</w:t>
      </w:r>
      <w:r w:rsidRPr="00954549">
        <w:rPr>
          <w:color w:val="FF0000"/>
        </w:rPr>
        <w:t xml:space="preserve"> </w:t>
      </w:r>
      <w:r w:rsidRPr="00954549">
        <w:t>ændringer i kemikalieforbruget siden sidste tilsyn.</w:t>
      </w:r>
      <w:r w:rsidRPr="00954549">
        <w:br/>
        <w:t>Opbevaringen af farligt affald og kemikalier er i orden.</w:t>
      </w:r>
    </w:p>
    <w:p w14:paraId="11659FD1" w14:textId="77777777" w:rsidR="000C4FFE" w:rsidRDefault="000C4FFE" w:rsidP="000C4FFE">
      <w:r>
        <w:t>Der er opstillet 2 containere til pap og 4 til småt brændbart, samt 1 til olieaffald.</w:t>
      </w:r>
      <w:r w:rsidRPr="00954549">
        <w:br/>
      </w:r>
    </w:p>
    <w:p w14:paraId="02B0E255" w14:textId="77777777" w:rsidR="000C4FFE" w:rsidRPr="00A35E94" w:rsidRDefault="000C4FFE" w:rsidP="000C4FFE">
      <w:r w:rsidRPr="00954549">
        <w:rPr>
          <w:b/>
        </w:rPr>
        <w:t>Belægninger</w:t>
      </w:r>
      <w:r w:rsidRPr="00954549">
        <w:rPr>
          <w:color w:val="FF0000"/>
        </w:rPr>
        <w:br/>
      </w:r>
      <w:proofErr w:type="spellStart"/>
      <w:r w:rsidRPr="00954549">
        <w:t>Belægninger</w:t>
      </w:r>
      <w:proofErr w:type="spellEnd"/>
      <w:r w:rsidRPr="00954549">
        <w:t xml:space="preserve"> på opbevaringsarealer for kemikalier og farligt </w:t>
      </w:r>
      <w:r w:rsidRPr="00A35E94">
        <w:t>affald er intakte.</w:t>
      </w:r>
      <w:r>
        <w:t xml:space="preserve"> Belægningerne på </w:t>
      </w:r>
      <w:proofErr w:type="spellStart"/>
      <w:r>
        <w:t>forpladsen</w:t>
      </w:r>
      <w:proofErr w:type="spellEnd"/>
      <w:r>
        <w:t xml:space="preserve"> og ved standerne er slidte, og virksomheden skal derfor være opmærksomme på belægningernes tilstand.</w:t>
      </w:r>
    </w:p>
    <w:p w14:paraId="56E77C58" w14:textId="77777777" w:rsidR="000C4FFE" w:rsidRDefault="000C4FFE" w:rsidP="000C4FFE">
      <w:r>
        <w:t xml:space="preserve">Der er </w:t>
      </w:r>
      <w:r w:rsidRPr="00A35E94">
        <w:t>ikke tegn på spild ved standerne, og spild er ikke rapporteret</w:t>
      </w:r>
      <w:r>
        <w:t xml:space="preserve"> til Kommunen.</w:t>
      </w:r>
    </w:p>
    <w:p w14:paraId="099A0EEC" w14:textId="77777777" w:rsidR="000C4FFE" w:rsidRPr="00A35E94" w:rsidRDefault="000C4FFE" w:rsidP="000C4FFE">
      <w:r>
        <w:t xml:space="preserve">Der er </w:t>
      </w:r>
      <w:r w:rsidRPr="00A35E94">
        <w:t>ikke tegn på overfyldninger, og uheld i forbindelse med overfyldning af tanke er ikke rapporteret til kommunen.</w:t>
      </w:r>
    </w:p>
    <w:p w14:paraId="763B1AC5" w14:textId="77777777" w:rsidR="000C4FFE" w:rsidRPr="00895418" w:rsidRDefault="000C4FFE" w:rsidP="000C4FFE">
      <w:pPr>
        <w:rPr>
          <w:color w:val="FF0000"/>
        </w:rPr>
      </w:pPr>
    </w:p>
    <w:p w14:paraId="547EE9C2" w14:textId="77777777" w:rsidR="000C4FFE" w:rsidRPr="00954549" w:rsidRDefault="000C4FFE" w:rsidP="000C4FFE">
      <w:r>
        <w:rPr>
          <w:b/>
        </w:rPr>
        <w:lastRenderedPageBreak/>
        <w:t xml:space="preserve">Øvrige </w:t>
      </w:r>
      <w:r w:rsidRPr="00954549">
        <w:rPr>
          <w:b/>
        </w:rPr>
        <w:t>Bemærkninger</w:t>
      </w:r>
    </w:p>
    <w:p w14:paraId="23DA8A6D" w14:textId="77777777" w:rsidR="000C4FFE" w:rsidRDefault="000C4FFE" w:rsidP="000C4FFE"/>
    <w:p w14:paraId="11FD2E00" w14:textId="77777777" w:rsidR="000C4FFE" w:rsidRPr="00954549" w:rsidRDefault="000C4FFE" w:rsidP="000C4FFE">
      <w:pPr>
        <w:rPr>
          <w:color w:val="FF0000"/>
        </w:rPr>
      </w:pPr>
      <w:r w:rsidRPr="00A35E94">
        <w:t>Fra Kommunen:</w:t>
      </w:r>
      <w:r w:rsidRPr="00A35E94">
        <w:br/>
        <w:t>Ved varsling om tilsyn blev folder om de nye regler for miljøtilsyn medsendt.</w:t>
      </w:r>
    </w:p>
    <w:p w14:paraId="38DA6488" w14:textId="77777777" w:rsidR="000C4FFE" w:rsidRPr="00954549" w:rsidRDefault="000C4FFE" w:rsidP="000C4FFE">
      <w:pPr>
        <w:rPr>
          <w:b/>
        </w:rPr>
      </w:pPr>
      <w:r w:rsidRPr="009B6D31">
        <w:rPr>
          <w:color w:val="FF0000"/>
        </w:rPr>
        <w:br/>
      </w:r>
      <w:r w:rsidRPr="00202E6B">
        <w:rPr>
          <w:szCs w:val="24"/>
        </w:rPr>
        <w:t>Eventuelle kommentare</w:t>
      </w:r>
      <w:r>
        <w:rPr>
          <w:szCs w:val="24"/>
        </w:rPr>
        <w:t>r til notatet skal inden 1 måned</w:t>
      </w:r>
      <w:r w:rsidRPr="00202E6B">
        <w:rPr>
          <w:szCs w:val="24"/>
        </w:rPr>
        <w:t xml:space="preserve"> til </w:t>
      </w:r>
      <w:r>
        <w:rPr>
          <w:szCs w:val="24"/>
        </w:rPr>
        <w:t>Camilla Meyer</w:t>
      </w:r>
      <w:r w:rsidRPr="00202E6B">
        <w:rPr>
          <w:szCs w:val="24"/>
        </w:rPr>
        <w:t xml:space="preserve"> på telefon 39 98 85 68,</w:t>
      </w:r>
      <w:r w:rsidRPr="0099717F">
        <w:rPr>
          <w:color w:val="000000"/>
          <w:szCs w:val="24"/>
        </w:rPr>
        <w:t xml:space="preserve"> e-mail</w:t>
      </w:r>
      <w:r>
        <w:rPr>
          <w:color w:val="000000"/>
          <w:szCs w:val="24"/>
        </w:rPr>
        <w:t xml:space="preserve"> cim</w:t>
      </w:r>
      <w:r w:rsidRPr="0099717F">
        <w:rPr>
          <w:szCs w:val="24"/>
        </w:rPr>
        <w:t>@gentofte.dk</w:t>
      </w:r>
      <w:r w:rsidRPr="0099717F">
        <w:rPr>
          <w:color w:val="000000"/>
          <w:szCs w:val="24"/>
        </w:rPr>
        <w:t xml:space="preserve"> eller ved skriftlig henvendelse til Natur og Miljø, Bernstorffsvej 161, 2920 Charlottenlund.</w:t>
      </w:r>
    </w:p>
    <w:p w14:paraId="2D4F8787" w14:textId="77777777" w:rsidR="000C4FFE" w:rsidRPr="008519C3" w:rsidRDefault="000C4FFE" w:rsidP="000C4FFE"/>
    <w:p w14:paraId="5F0F22E1" w14:textId="77777777" w:rsidR="000C4FFE" w:rsidRDefault="000C4FFE" w:rsidP="000C4FFE">
      <w:r w:rsidRPr="00FE6D1A">
        <w:rPr>
          <w:b/>
        </w:rPr>
        <w:t>Billeder fra tilsynet</w:t>
      </w:r>
      <w:r>
        <w:t>:</w:t>
      </w:r>
    </w:p>
    <w:p w14:paraId="62B9ED99" w14:textId="77777777" w:rsidR="000C4FFE" w:rsidRDefault="000C4FFE" w:rsidP="000C4FFE"/>
    <w:p w14:paraId="11DCFAF3" w14:textId="77777777" w:rsidR="000C4FFE" w:rsidRDefault="000C4FFE" w:rsidP="000C4FFE">
      <w:r>
        <w:rPr>
          <w:noProof/>
        </w:rPr>
        <w:lastRenderedPageBreak/>
        <w:drawing>
          <wp:inline distT="0" distB="0" distL="0" distR="0" wp14:anchorId="77E2EAF6" wp14:editId="575CE57D">
            <wp:extent cx="3957911" cy="5276850"/>
            <wp:effectExtent l="0" t="0" r="508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55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100" cy="530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3F31F" w14:textId="77777777" w:rsidR="000C4FFE" w:rsidRPr="00DC6C5D" w:rsidRDefault="000C4FFE" w:rsidP="000C4FFE">
      <w:pPr>
        <w:rPr>
          <w:sz w:val="20"/>
        </w:rPr>
      </w:pPr>
      <w:r w:rsidRPr="00DC6C5D">
        <w:rPr>
          <w:sz w:val="20"/>
        </w:rPr>
        <w:t>Billede 1 Opbevaring af sæber til vaskehallen</w:t>
      </w:r>
    </w:p>
    <w:sectPr w:rsidR="000C4FFE" w:rsidRPr="00DC6C5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D5"/>
    <w:rsid w:val="000454D5"/>
    <w:rsid w:val="000861A9"/>
    <w:rsid w:val="000C4FFE"/>
    <w:rsid w:val="000F2ECD"/>
    <w:rsid w:val="0012669D"/>
    <w:rsid w:val="0021086C"/>
    <w:rsid w:val="002703D5"/>
    <w:rsid w:val="002F63FF"/>
    <w:rsid w:val="00303CC0"/>
    <w:rsid w:val="00470011"/>
    <w:rsid w:val="00486C55"/>
    <w:rsid w:val="00567031"/>
    <w:rsid w:val="006502E5"/>
    <w:rsid w:val="0074194D"/>
    <w:rsid w:val="00800E41"/>
    <w:rsid w:val="00815566"/>
    <w:rsid w:val="00AF5AF8"/>
    <w:rsid w:val="00B15519"/>
    <w:rsid w:val="00B51EFC"/>
    <w:rsid w:val="00C140BF"/>
    <w:rsid w:val="00C86099"/>
    <w:rsid w:val="00DC6C5D"/>
    <w:rsid w:val="00E46532"/>
    <w:rsid w:val="00EB2ECD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3928"/>
  <w15:docId w15:val="{C57F19F4-C718-4FB1-BAF8-626110F5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54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45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hyperlink" Target="mailto:PeterThomas.Fischer@circlekeurop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Skabelon</CCMTemplateName>
    <CCMTemplateVersion xmlns="http://schemas.microsoft.com/sharepoint/v3">Skabelon</CCMTemplateVersion>
    <TaxCatchAll xmlns="938767c9-f92a-4b4a-8856-39c9296b9076"/>
    <Forsendelsesdato xmlns="http://schemas.microsoft.com/sharepoint/v3" xsi:nil="true"/>
    <CCMAgendaItemId xmlns="C2B4517D-E2EC-4C30-B0D1-2FB898E6C657" xsi:nil="true"/>
    <CCMMeetingCaseInstanceId xmlns="C2B4517D-E2EC-4C30-B0D1-2FB898E6C657" xsi:nil="true"/>
    <Korrespondance xmlns="http://schemas.microsoft.com/sharepoint/v3">Intern</Korrespondance>
    <Afsender xmlns="C2B4517D-E2EC-4C30-B0D1-2FB898E6C657" xsi:nil="true"/>
    <CCMAgendaDocumentStatus xmlns="C2B4517D-E2EC-4C30-B0D1-2FB898E6C657" xsi:nil="true"/>
    <CCMAgendaStatus xmlns="C2B4517D-E2EC-4C30-B0D1-2FB898E6C657" xsi:nil="true"/>
    <CaptiaHistorik xmlns="e7978d6f-89e2-4976-930d-b0de8dbcd927" xsi:nil="true"/>
    <CaseOwner xmlns="http://schemas.microsoft.com/sharepoint/v3">
      <UserInfo>
        <DisplayName>Camilla Ingrid Marie Meyer (CIM)</DisplayName>
        <AccountId>228</AccountId>
        <AccountType/>
      </UserInfo>
    </CaseOwner>
    <CCMMeetingCaseId xmlns="C2B4517D-E2EC-4C30-B0D1-2FB898E6C657" xsi:nil="true"/>
    <Preview xmlns="C2B4517D-E2EC-4C30-B0D1-2FB898E6C657" xsi:nil="true"/>
    <CCMMeetingCaseLink xmlns="C2B4517D-E2EC-4C30-B0D1-2FB898E6C657">
      <Url xsi:nil="true"/>
      <Description xsi:nil="true"/>
    </CCMMeetingCaseLink>
    <TrackID xmlns="http://schemas.microsoft.com/sharepoint/v3" xsi:nil="true"/>
    <Classification xmlns="http://schemas.microsoft.com/sharepoint/v3" xsi:nil="true"/>
    <Modtager xmlns="C2B4517D-E2EC-4C30-B0D1-2FB898E6C657"/>
    <Dato xmlns="C2B4517D-E2EC-4C30-B0D1-2FB898E6C657">2018-08-27T22:00:00+00:00</Dato>
    <a3c7f3665c3f4ddab65e7e70f16e8438 xmlns="C2B4517D-E2EC-4C30-B0D1-2FB898E6C657">
      <Terms xmlns="http://schemas.microsoft.com/office/infopath/2007/PartnerControls"/>
    </a3c7f3665c3f4ddab65e7e70f16e8438>
    <CCMSystemID xmlns="http://schemas.microsoft.com/sharepoint/v3">194d9032-8a43-4f5e-9edd-cac5db8e7f57</CCMSystemID>
    <CCMTemplateID xmlns="http://schemas.microsoft.com/sharepoint/v3">23</CCMTemplateID>
    <LocalAttachment xmlns="http://schemas.microsoft.com/sharepoint/v3">false</LocalAttachment>
    <Related xmlns="http://schemas.microsoft.com/sharepoint/v3">false</Related>
    <CCMVisualId xmlns="http://schemas.microsoft.com/sharepoint/v3">EMN-2018-02450</CCMVisualId>
    <Finalized xmlns="http://schemas.microsoft.com/sharepoint/v3">false</Finalized>
    <DocID xmlns="http://schemas.microsoft.com/sharepoint/v3">2439625</DocID>
    <CaseRecordNumber xmlns="http://schemas.microsoft.com/sharepoint/v3">0</CaseRecordNumber>
    <CaseID xmlns="http://schemas.microsoft.com/sharepoint/v3">EMN-2018-02450</CaseID>
    <RegistrationDate xmlns="http://schemas.microsoft.com/sharepoint/v3" xsi:nil="true"/>
    <CCMCognitiveTyp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587E95522CBAF4AB479435CB056E21D" ma:contentTypeVersion="1" ma:contentTypeDescription="GetOrganized dokument" ma:contentTypeScope="" ma:versionID="506410ad49b775d16074b04aa00dc92e">
  <xsd:schema xmlns:xsd="http://www.w3.org/2001/XMLSchema" xmlns:xs="http://www.w3.org/2001/XMLSchema" xmlns:p="http://schemas.microsoft.com/office/2006/metadata/properties" xmlns:ns1="http://schemas.microsoft.com/sharepoint/v3" xmlns:ns2="C2B4517D-E2EC-4C30-B0D1-2FB898E6C657" xmlns:ns3="938767c9-f92a-4b4a-8856-39c9296b9076" xmlns:ns4="e7978d6f-89e2-4976-930d-b0de8dbcd927" targetNamespace="http://schemas.microsoft.com/office/2006/metadata/properties" ma:root="true" ma:fieldsID="de1aa818e72fd2bf3c6b01f0f2fa3579" ns1:_="" ns2:_="" ns3:_="" ns4:_="">
    <xsd:import namespace="http://schemas.microsoft.com/sharepoint/v3"/>
    <xsd:import namespace="C2B4517D-E2EC-4C30-B0D1-2FB898E6C657"/>
    <xsd:import namespace="938767c9-f92a-4b4a-8856-39c9296b9076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28;#Camilla Ingrid Marie Meyer (CIM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4517D-E2EC-4C30-B0D1-2FB898E6C657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47636F8C-60F1-443B-A28C-5DD02F83187B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47636F8C-60F1-443B-A28C-5DD02F83187B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767c9-f92a-4b4a-8856-39c9296b9076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cd43569a-0bb7-41d2-ad1b-a5a605ebb666}" ma:internalName="TaxCatchAll" ma:showField="CatchAllData" ma:web="938767c9-f92a-4b4a-8856-39c9296b9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DB1A3-6FF9-49DE-893F-830710ADE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2FFFB-1A14-4800-8C1B-B5B3C4148045}">
  <ds:schemaRefs>
    <ds:schemaRef ds:uri="http://schemas.openxmlformats.org/package/2006/metadata/core-properties"/>
    <ds:schemaRef ds:uri="http://schemas.microsoft.com/office/2006/metadata/properties"/>
    <ds:schemaRef ds:uri="C2B4517D-E2EC-4C30-B0D1-2FB898E6C657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e7978d6f-89e2-4976-930d-b0de8dbcd927"/>
    <ds:schemaRef ds:uri="938767c9-f92a-4b4a-8856-39c9296b9076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54ABF0-44E1-4826-A127-756ECC293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B4517D-E2EC-4C30-B0D1-2FB898E6C657"/>
    <ds:schemaRef ds:uri="938767c9-f92a-4b4a-8856-39c9296b9076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 Miljøtilsyn 2018</vt:lpstr>
    </vt:vector>
  </TitlesOfParts>
  <Company>Netcompany A/S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 Miljøtilsyn 2018</dc:title>
  <dc:creator>Camilla Ingrid Marie Meyer (CIM)</dc:creator>
  <cp:lastModifiedBy>Camilla Ingrid Marie Meyer (CIM)</cp:lastModifiedBy>
  <cp:revision>2</cp:revision>
  <dcterms:created xsi:type="dcterms:W3CDTF">2018-10-11T08:15:00Z</dcterms:created>
  <dcterms:modified xsi:type="dcterms:W3CDTF">2018-10-11T08:15:00Z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194d9032-8a43-4f5e-9edd-cac5db8e7f57</vt:lpwstr>
  </property>
  <property fmtid="{D5CDD505-2E9C-101B-9397-08002B2CF9AE}" pid="3" name="CCMTemplateID">
    <vt:r8>23</vt:r8>
  </property>
  <property fmtid="{D5CDD505-2E9C-101B-9397-08002B2CF9AE}" pid="4" name="ContentTypeId">
    <vt:lpwstr>0x010100AC085CFC53BC46CEA2EADE194AD9D482000587E95522CBAF4AB479435CB056E21D</vt:lpwstr>
  </property>
  <property fmtid="{D5CDD505-2E9C-101B-9397-08002B2CF9AE}" pid="5" name="Dokumenttype">
    <vt:lpwstr/>
  </property>
  <property fmtid="{D5CDD505-2E9C-101B-9397-08002B2CF9AE}" pid="6" name="Profil">
    <vt:lpwstr/>
  </property>
  <property fmtid="{D5CDD505-2E9C-101B-9397-08002B2CF9AE}" pid="7" name="Sagsprofil">
    <vt:lpwstr/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5fcbbc4a-25c3-4c56-999a-4300d36bf647</vt:lpwstr>
  </property>
</Properties>
</file>