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53" w:rsidRDefault="00571F53" w:rsidP="005000AC">
      <w:pPr>
        <w:pStyle w:val="Lille"/>
        <w:framePr w:w="2296" w:hSpace="181" w:wrap="around" w:vAnchor="page" w:hAnchor="page" w:x="9283" w:y="5416" w:anchorLock="1"/>
      </w:pPr>
      <w:bookmarkStart w:id="0" w:name="_GoBack"/>
      <w:bookmarkEnd w:id="0"/>
    </w:p>
    <w:p w:rsidR="004B4DA4" w:rsidRPr="006C3BAA" w:rsidRDefault="004B4DA4" w:rsidP="005000AC">
      <w:pPr>
        <w:pStyle w:val="Lille"/>
        <w:framePr w:w="2296" w:hSpace="181" w:wrap="around" w:vAnchor="page" w:hAnchor="page" w:x="9283" w:y="5416" w:anchorLock="1"/>
        <w:rPr>
          <w:lang w:val="en-GB"/>
        </w:rPr>
      </w:pPr>
    </w:p>
    <w:tbl>
      <w:tblPr>
        <w:tblStyle w:val="Tabel-Git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49"/>
        <w:gridCol w:w="2299"/>
      </w:tblGrid>
      <w:tr w:rsidR="00455876" w:rsidRPr="00E904D3">
        <w:trPr>
          <w:trHeight w:val="2552"/>
        </w:trPr>
        <w:tc>
          <w:tcPr>
            <w:tcW w:w="8049" w:type="dxa"/>
            <w:tcMar>
              <w:left w:w="0" w:type="dxa"/>
              <w:right w:w="0" w:type="dxa"/>
            </w:tcMar>
          </w:tcPr>
          <w:p w:rsidR="00570EAE" w:rsidRPr="001A4067" w:rsidRDefault="00570EAE" w:rsidP="00570EAE">
            <w:r>
              <w:t>Hejnsvig varmeværk a.m.b.a.</w:t>
            </w:r>
          </w:p>
          <w:p w:rsidR="00570EAE" w:rsidRDefault="00570EAE" w:rsidP="00570EAE">
            <w:r>
              <w:t>Østermarksvej 25</w:t>
            </w:r>
          </w:p>
          <w:p w:rsidR="00570EAE" w:rsidRPr="00E1471F" w:rsidRDefault="00570EAE" w:rsidP="00570EAE">
            <w:r w:rsidRPr="00E1471F">
              <w:t>7250 Hejnsvig</w:t>
            </w:r>
          </w:p>
          <w:p w:rsidR="00455876" w:rsidRDefault="00455876" w:rsidP="00203B18"/>
        </w:tc>
        <w:tc>
          <w:tcPr>
            <w:tcW w:w="2299" w:type="dxa"/>
            <w:tcMar>
              <w:left w:w="0" w:type="dxa"/>
              <w:right w:w="0" w:type="dxa"/>
            </w:tcMar>
          </w:tcPr>
          <w:p w:rsidR="004B4DA4" w:rsidRDefault="004B4DA4" w:rsidP="006C1EB4">
            <w:pPr>
              <w:pStyle w:val="Lille"/>
            </w:pPr>
          </w:p>
        </w:tc>
      </w:tr>
      <w:tr w:rsidR="00455876">
        <w:trPr>
          <w:trHeight w:val="583"/>
        </w:trPr>
        <w:tc>
          <w:tcPr>
            <w:tcW w:w="8049" w:type="dxa"/>
            <w:tcMar>
              <w:left w:w="0" w:type="dxa"/>
              <w:right w:w="0" w:type="dxa"/>
            </w:tcMar>
          </w:tcPr>
          <w:p w:rsidR="00570EAE" w:rsidRPr="00570EAE" w:rsidRDefault="00570EAE" w:rsidP="00570EAE">
            <w:pPr>
              <w:rPr>
                <w:b/>
                <w:i/>
                <w:sz w:val="28"/>
                <w:szCs w:val="28"/>
              </w:rPr>
            </w:pPr>
            <w:r w:rsidRPr="00570EAE">
              <w:rPr>
                <w:b/>
                <w:sz w:val="28"/>
                <w:szCs w:val="28"/>
              </w:rPr>
              <w:t xml:space="preserve">Revurdering </w:t>
            </w:r>
            <w:r w:rsidRPr="00570EAE">
              <w:rPr>
                <w:b/>
                <w:i/>
                <w:sz w:val="28"/>
                <w:szCs w:val="28"/>
              </w:rPr>
              <w:t xml:space="preserve">samt </w:t>
            </w:r>
            <w:r>
              <w:rPr>
                <w:b/>
                <w:i/>
                <w:sz w:val="28"/>
                <w:szCs w:val="28"/>
              </w:rPr>
              <w:t>miljø</w:t>
            </w:r>
            <w:r w:rsidRPr="00570EAE">
              <w:rPr>
                <w:b/>
                <w:i/>
                <w:sz w:val="28"/>
                <w:szCs w:val="28"/>
              </w:rPr>
              <w:t xml:space="preserve">godkendelse af udvidelse </w:t>
            </w:r>
          </w:p>
          <w:p w:rsidR="00455876" w:rsidRPr="0091033E" w:rsidRDefault="00570EAE" w:rsidP="00570EAE">
            <w:pPr>
              <w:pStyle w:val="Overskriftfed"/>
            </w:pPr>
            <w:r w:rsidRPr="00570EAE">
              <w:rPr>
                <w:b w:val="0"/>
                <w:i/>
                <w:sz w:val="28"/>
                <w:szCs w:val="28"/>
              </w:rPr>
              <w:t>Hejnsvig varmeværk a.m.b.a. Østermarksvej 25, Hejnsvig</w:t>
            </w:r>
          </w:p>
        </w:tc>
        <w:tc>
          <w:tcPr>
            <w:tcW w:w="2299" w:type="dxa"/>
            <w:tcMar>
              <w:left w:w="0" w:type="dxa"/>
              <w:right w:w="0" w:type="dxa"/>
            </w:tcMar>
          </w:tcPr>
          <w:p w:rsidR="00455876" w:rsidRDefault="002171F1" w:rsidP="00570EAE">
            <w:pPr>
              <w:pStyle w:val="Lille"/>
            </w:pPr>
            <w:r>
              <w:t xml:space="preserve">Dato: </w:t>
            </w:r>
            <w:r w:rsidR="00742EF0">
              <w:t>11. juli 2016</w:t>
            </w:r>
          </w:p>
        </w:tc>
      </w:tr>
    </w:tbl>
    <w:p w:rsidR="002F44C8" w:rsidRDefault="002F44C8">
      <w:pPr>
        <w:sectPr w:rsidR="002F44C8" w:rsidSect="00F97853">
          <w:headerReference w:type="default" r:id="rId8"/>
          <w:footerReference w:type="default" r:id="rId9"/>
          <w:headerReference w:type="first" r:id="rId10"/>
          <w:footerReference w:type="first" r:id="rId11"/>
          <w:pgSz w:w="11906" w:h="16838" w:code="9"/>
          <w:pgMar w:top="2245" w:right="3402" w:bottom="1134" w:left="1247" w:header="567" w:footer="709" w:gutter="0"/>
          <w:cols w:space="708"/>
          <w:titlePg/>
          <w:docGrid w:linePitch="360"/>
        </w:sectPr>
      </w:pPr>
    </w:p>
    <w:tbl>
      <w:tblPr>
        <w:tblW w:w="10348" w:type="dxa"/>
        <w:tblLook w:val="01E0" w:firstRow="1" w:lastRow="1" w:firstColumn="1" w:lastColumn="1" w:noHBand="0" w:noVBand="0"/>
      </w:tblPr>
      <w:tblGrid>
        <w:gridCol w:w="8049"/>
        <w:gridCol w:w="2299"/>
      </w:tblGrid>
      <w:tr w:rsidR="00570EAE" w:rsidRPr="009234DE" w:rsidTr="00E81C8C">
        <w:trPr>
          <w:trHeight w:val="583"/>
        </w:trPr>
        <w:tc>
          <w:tcPr>
            <w:tcW w:w="8049" w:type="dxa"/>
            <w:tcMar>
              <w:left w:w="0" w:type="dxa"/>
              <w:right w:w="0" w:type="dxa"/>
            </w:tcMar>
          </w:tcPr>
          <w:p w:rsidR="00570EAE" w:rsidRPr="009234DE" w:rsidRDefault="00570EAE" w:rsidP="00E81C8C"/>
          <w:p w:rsidR="00570EAE" w:rsidRPr="009234DE" w:rsidRDefault="00570EAE" w:rsidP="00E81C8C">
            <w:r w:rsidRPr="009234DE">
              <w:t xml:space="preserve">Revurdering af miljøgodkendelse, </w:t>
            </w:r>
            <w:r w:rsidRPr="009234DE">
              <w:rPr>
                <w:i/>
              </w:rPr>
              <w:t>samt godkendelse af</w:t>
            </w:r>
            <w:r w:rsidRPr="009234DE">
              <w:rPr>
                <w:b/>
                <w:i/>
                <w:sz w:val="32"/>
                <w:szCs w:val="32"/>
              </w:rPr>
              <w:t xml:space="preserve"> </w:t>
            </w:r>
            <w:r w:rsidRPr="009234DE">
              <w:rPr>
                <w:i/>
              </w:rPr>
              <w:t>udvidelser med Træpillekedel og solvarmeanlæg</w:t>
            </w:r>
            <w:r w:rsidRPr="009234DE">
              <w:t xml:space="preserve">, gældende for Hejnsvig Varmeværk: </w:t>
            </w:r>
          </w:p>
          <w:p w:rsidR="00570EAE" w:rsidRPr="009234DE" w:rsidRDefault="00570EAE" w:rsidP="00E81C8C"/>
          <w:p w:rsidR="00570EAE" w:rsidRPr="009234DE" w:rsidRDefault="00570EAE" w:rsidP="00E81C8C">
            <w:r w:rsidRPr="009234DE">
              <w:t>Værkets navn: Hejnsvig Varmeværk a.m.b.a.</w:t>
            </w:r>
          </w:p>
          <w:p w:rsidR="00570EAE" w:rsidRPr="009234DE" w:rsidRDefault="00570EAE" w:rsidP="00E81C8C">
            <w:r w:rsidRPr="009234DE">
              <w:t>Adresse: Østermarksvej 25</w:t>
            </w:r>
          </w:p>
          <w:p w:rsidR="00570EAE" w:rsidRPr="009234DE" w:rsidRDefault="00570EAE" w:rsidP="00E81C8C">
            <w:r w:rsidRPr="009234DE">
              <w:t>By: 7250 Hejnsvig</w:t>
            </w:r>
          </w:p>
          <w:p w:rsidR="00570EAE" w:rsidRPr="009234DE" w:rsidRDefault="00570EAE" w:rsidP="00E81C8C">
            <w:r w:rsidRPr="009234DE">
              <w:t>Matr. nr.: 10dy, Hejnsvig by, Hejnsvig</w:t>
            </w:r>
          </w:p>
          <w:p w:rsidR="00570EAE" w:rsidRPr="009234DE" w:rsidRDefault="00570EAE" w:rsidP="00E81C8C">
            <w:r w:rsidRPr="009234DE">
              <w:t>CVR-nummer: 1597 8538, - Pnr: 1001011752</w:t>
            </w:r>
          </w:p>
          <w:p w:rsidR="00570EAE" w:rsidRPr="009234DE" w:rsidRDefault="00570EAE" w:rsidP="00E81C8C">
            <w:r w:rsidRPr="009234DE">
              <w:t>Listepunkt: G 201</w:t>
            </w:r>
            <w:r w:rsidR="00E81C8C">
              <w:t xml:space="preserve">: </w:t>
            </w:r>
            <w:r w:rsidR="00E81C8C" w:rsidRPr="009234DE">
              <w:t>Kraftproducerende anlæg, varmeproducerende anlæg, gasturbineanlæg og gasmotoranlæg med en samlet indfyret effekt på mellem 5 MW og 50 MW</w:t>
            </w:r>
          </w:p>
          <w:p w:rsidR="00570EAE" w:rsidRPr="009234DE" w:rsidRDefault="00570EAE" w:rsidP="00E81C8C">
            <w:pPr>
              <w:pStyle w:val="Brdtekst"/>
              <w:ind w:left="284"/>
              <w:jc w:val="left"/>
              <w:rPr>
                <w:sz w:val="20"/>
                <w:szCs w:val="20"/>
              </w:rPr>
            </w:pPr>
            <w:r w:rsidRPr="009234DE">
              <w:br/>
            </w:r>
            <w:r w:rsidRPr="009234DE">
              <w:rPr>
                <w:sz w:val="20"/>
                <w:szCs w:val="20"/>
              </w:rPr>
              <w:t xml:space="preserve">Kontaktpersoner: </w:t>
            </w:r>
            <w:r w:rsidRPr="009234DE">
              <w:rPr>
                <w:sz w:val="20"/>
                <w:szCs w:val="20"/>
              </w:rPr>
              <w:br/>
              <w:t>Driftsleder Ole Bolding</w:t>
            </w:r>
            <w:r w:rsidRPr="009234DE">
              <w:rPr>
                <w:sz w:val="20"/>
                <w:szCs w:val="20"/>
              </w:rPr>
              <w:br/>
              <w:t>Tlf.nr.: 7533 5789</w:t>
            </w:r>
            <w:r w:rsidRPr="009234DE">
              <w:rPr>
                <w:sz w:val="20"/>
                <w:szCs w:val="20"/>
              </w:rPr>
              <w:br/>
              <w:t xml:space="preserve">E-mail: </w:t>
            </w:r>
            <w:hyperlink r:id="rId12" w:history="1">
              <w:r w:rsidRPr="009234DE">
                <w:rPr>
                  <w:rStyle w:val="Hyperlink"/>
                  <w:color w:val="auto"/>
                  <w:sz w:val="20"/>
                  <w:szCs w:val="20"/>
                </w:rPr>
                <w:t>hejnsvigvarme@mail.dk</w:t>
              </w:r>
            </w:hyperlink>
            <w:r w:rsidRPr="009234DE">
              <w:rPr>
                <w:sz w:val="20"/>
                <w:szCs w:val="20"/>
              </w:rPr>
              <w:t xml:space="preserve"> </w:t>
            </w:r>
          </w:p>
          <w:p w:rsidR="00570EAE" w:rsidRPr="009234DE" w:rsidRDefault="00570EAE" w:rsidP="00E81C8C">
            <w:pPr>
              <w:pStyle w:val="Brdtekst"/>
              <w:ind w:left="284"/>
              <w:jc w:val="left"/>
              <w:rPr>
                <w:sz w:val="20"/>
                <w:szCs w:val="20"/>
              </w:rPr>
            </w:pPr>
            <w:r w:rsidRPr="009234DE">
              <w:rPr>
                <w:sz w:val="20"/>
                <w:szCs w:val="20"/>
              </w:rPr>
              <w:br/>
              <w:t>Rådgiver:</w:t>
            </w:r>
            <w:r w:rsidRPr="009234DE">
              <w:rPr>
                <w:sz w:val="20"/>
                <w:szCs w:val="20"/>
              </w:rPr>
              <w:br/>
              <w:t>Carsten Olafsson</w:t>
            </w:r>
          </w:p>
          <w:p w:rsidR="00570EAE" w:rsidRPr="009234DE" w:rsidRDefault="00570EAE" w:rsidP="00E81C8C">
            <w:pPr>
              <w:pStyle w:val="Brdtekst"/>
              <w:ind w:left="284"/>
              <w:jc w:val="left"/>
              <w:rPr>
                <w:sz w:val="20"/>
                <w:szCs w:val="20"/>
              </w:rPr>
            </w:pPr>
            <w:r w:rsidRPr="009234DE">
              <w:rPr>
                <w:sz w:val="20"/>
                <w:szCs w:val="20"/>
              </w:rPr>
              <w:t>Tjæreborg Industri A/S</w:t>
            </w:r>
          </w:p>
          <w:p w:rsidR="00570EAE" w:rsidRPr="009234DE" w:rsidRDefault="00570EAE" w:rsidP="00E81C8C">
            <w:pPr>
              <w:pStyle w:val="Brdtekst"/>
              <w:ind w:left="284"/>
              <w:jc w:val="left"/>
              <w:rPr>
                <w:sz w:val="20"/>
                <w:szCs w:val="20"/>
              </w:rPr>
            </w:pPr>
            <w:r w:rsidRPr="009234DE">
              <w:rPr>
                <w:sz w:val="20"/>
                <w:szCs w:val="20"/>
              </w:rPr>
              <w:t>Kærvej 19, 6731 Tjæreborg</w:t>
            </w:r>
          </w:p>
          <w:p w:rsidR="00570EAE" w:rsidRPr="009234DE" w:rsidRDefault="00570EAE" w:rsidP="00E81C8C">
            <w:pPr>
              <w:pStyle w:val="Brdtekst"/>
              <w:ind w:left="284"/>
              <w:jc w:val="left"/>
              <w:rPr>
                <w:sz w:val="20"/>
                <w:szCs w:val="20"/>
                <w:lang w:val="en-US"/>
              </w:rPr>
            </w:pPr>
            <w:r w:rsidRPr="009234DE">
              <w:rPr>
                <w:sz w:val="20"/>
                <w:szCs w:val="20"/>
                <w:lang w:val="en-US"/>
              </w:rPr>
              <w:t>Tlf. 7517 5244</w:t>
            </w:r>
            <w:r w:rsidRPr="009234DE">
              <w:rPr>
                <w:sz w:val="20"/>
                <w:szCs w:val="20"/>
                <w:lang w:val="en-US"/>
              </w:rPr>
              <w:br/>
              <w:t xml:space="preserve">E-mail: </w:t>
            </w:r>
            <w:hyperlink r:id="rId13" w:history="1">
              <w:r w:rsidRPr="009234DE">
                <w:rPr>
                  <w:rStyle w:val="Hyperlink"/>
                  <w:color w:val="auto"/>
                  <w:sz w:val="20"/>
                  <w:szCs w:val="20"/>
                  <w:lang w:val="en-US"/>
                </w:rPr>
                <w:t>c.olafsson@tji.dk</w:t>
              </w:r>
            </w:hyperlink>
            <w:r w:rsidRPr="009234DE">
              <w:rPr>
                <w:sz w:val="20"/>
                <w:szCs w:val="20"/>
                <w:lang w:val="en-US"/>
              </w:rPr>
              <w:t xml:space="preserve">  </w:t>
            </w:r>
          </w:p>
          <w:p w:rsidR="00570EAE" w:rsidRPr="009234DE" w:rsidRDefault="00570EAE" w:rsidP="00E81C8C">
            <w:pPr>
              <w:rPr>
                <w:lang w:val="en-US"/>
              </w:rPr>
            </w:pPr>
          </w:p>
        </w:tc>
        <w:tc>
          <w:tcPr>
            <w:tcW w:w="2299" w:type="dxa"/>
          </w:tcPr>
          <w:p w:rsidR="00570EAE" w:rsidRPr="009234DE" w:rsidRDefault="00570EAE" w:rsidP="00E81C8C">
            <w:pPr>
              <w:pStyle w:val="Lille"/>
            </w:pPr>
            <w:r w:rsidRPr="009234DE">
              <w:t>Teknisk Forvaltning</w:t>
            </w:r>
          </w:p>
          <w:p w:rsidR="00570EAE" w:rsidRPr="009234DE" w:rsidRDefault="00570EAE" w:rsidP="00E81C8C">
            <w:pPr>
              <w:pStyle w:val="Lille"/>
            </w:pPr>
            <w:r w:rsidRPr="009234DE">
              <w:t>Natur &amp; Miljøafdelingen</w:t>
            </w:r>
          </w:p>
          <w:p w:rsidR="00570EAE" w:rsidRPr="009234DE" w:rsidRDefault="00570EAE" w:rsidP="00E81C8C">
            <w:pPr>
              <w:pStyle w:val="Lille"/>
            </w:pPr>
            <w:r w:rsidRPr="009234DE">
              <w:t>Jorden Rundt 1</w:t>
            </w:r>
            <w:r w:rsidRPr="009234DE">
              <w:tab/>
            </w:r>
          </w:p>
          <w:p w:rsidR="00570EAE" w:rsidRPr="009234DE" w:rsidRDefault="00570EAE" w:rsidP="00E81C8C">
            <w:pPr>
              <w:pStyle w:val="Lille"/>
            </w:pPr>
            <w:r w:rsidRPr="009234DE">
              <w:t>7200 Grindsted</w:t>
            </w:r>
          </w:p>
          <w:p w:rsidR="00570EAE" w:rsidRPr="009234DE" w:rsidRDefault="00570EAE" w:rsidP="00E81C8C">
            <w:pPr>
              <w:pStyle w:val="Lille"/>
            </w:pPr>
          </w:p>
          <w:p w:rsidR="00570EAE" w:rsidRPr="009234DE" w:rsidRDefault="00570EAE" w:rsidP="00E81C8C">
            <w:pPr>
              <w:pStyle w:val="Lille"/>
            </w:pPr>
            <w:r w:rsidRPr="009234DE">
              <w:t>Tlf. 7972 7200</w:t>
            </w:r>
          </w:p>
          <w:p w:rsidR="00570EAE" w:rsidRPr="009234DE" w:rsidRDefault="00570EAE" w:rsidP="00E81C8C">
            <w:pPr>
              <w:pStyle w:val="Lille"/>
            </w:pPr>
            <w:r w:rsidRPr="009234DE">
              <w:t>www.billund.dk</w:t>
            </w:r>
          </w:p>
          <w:p w:rsidR="00570EAE" w:rsidRPr="009234DE" w:rsidRDefault="00570EAE" w:rsidP="00E81C8C">
            <w:pPr>
              <w:pStyle w:val="Lille"/>
            </w:pPr>
          </w:p>
          <w:p w:rsidR="00570EAE" w:rsidRPr="009234DE" w:rsidRDefault="00570EAE" w:rsidP="00E81C8C">
            <w:pPr>
              <w:pStyle w:val="Lille"/>
            </w:pPr>
            <w:r w:rsidRPr="009234DE">
              <w:t>Journalnr.: 15/24721</w:t>
            </w:r>
            <w:r w:rsidRPr="009234DE">
              <w:br/>
            </w:r>
          </w:p>
          <w:p w:rsidR="00570EAE" w:rsidRPr="009234DE" w:rsidRDefault="00570EAE" w:rsidP="00E81C8C">
            <w:pPr>
              <w:pStyle w:val="Lille"/>
            </w:pPr>
          </w:p>
          <w:p w:rsidR="00570EAE" w:rsidRPr="009234DE" w:rsidRDefault="00570EAE" w:rsidP="00E81C8C">
            <w:pPr>
              <w:pStyle w:val="Lille"/>
            </w:pPr>
            <w:r w:rsidRPr="009234DE">
              <w:t xml:space="preserve">Sagsbehandler: </w:t>
            </w:r>
            <w:r w:rsidRPr="009234DE">
              <w:br/>
            </w:r>
            <w:r w:rsidRPr="00275393">
              <w:t>Ulla Berg Bojesen</w:t>
            </w:r>
          </w:p>
          <w:p w:rsidR="00570EAE" w:rsidRPr="009234DE" w:rsidRDefault="00570EAE" w:rsidP="00E81C8C">
            <w:pPr>
              <w:pStyle w:val="Lille"/>
            </w:pPr>
            <w:r w:rsidRPr="009234DE">
              <w:t>Tlf. 7972 7090</w:t>
            </w:r>
          </w:p>
          <w:p w:rsidR="00570EAE" w:rsidRPr="009234DE" w:rsidRDefault="00570EAE" w:rsidP="00E81C8C">
            <w:pPr>
              <w:pStyle w:val="Lille"/>
            </w:pPr>
            <w:r w:rsidRPr="00275393">
              <w:t>ubb</w:t>
            </w:r>
            <w:r w:rsidRPr="00936D3F">
              <w:t>@billund.dk</w:t>
            </w:r>
          </w:p>
          <w:p w:rsidR="00570EAE" w:rsidRPr="009234DE" w:rsidRDefault="00570EAE" w:rsidP="00E81C8C">
            <w:pPr>
              <w:pStyle w:val="Lille"/>
            </w:pPr>
          </w:p>
        </w:tc>
      </w:tr>
    </w:tbl>
    <w:p w:rsidR="00570EAE" w:rsidRPr="009234DE" w:rsidRDefault="00570EAE" w:rsidP="00570EAE"/>
    <w:p w:rsidR="00570EAE" w:rsidRPr="009234DE" w:rsidRDefault="00570EAE" w:rsidP="00570EAE">
      <w:pPr>
        <w:tabs>
          <w:tab w:val="left" w:pos="-142"/>
          <w:tab w:val="left" w:pos="0"/>
          <w:tab w:val="left" w:pos="567"/>
        </w:tabs>
      </w:pPr>
    </w:p>
    <w:p w:rsidR="00570EAE" w:rsidRPr="00E81C8C" w:rsidRDefault="00570EAE" w:rsidP="00570EAE">
      <w:pPr>
        <w:tabs>
          <w:tab w:val="left" w:pos="-142"/>
          <w:tab w:val="left" w:pos="0"/>
          <w:tab w:val="left" w:pos="567"/>
        </w:tabs>
        <w:rPr>
          <w:b/>
          <w:i/>
        </w:rPr>
      </w:pPr>
      <w:r w:rsidRPr="00E81C8C">
        <w:rPr>
          <w:b/>
          <w:i/>
        </w:rPr>
        <w:t>Afgørelsen omfatter:</w:t>
      </w:r>
    </w:p>
    <w:p w:rsidR="00570EAE" w:rsidRPr="00E81C8C" w:rsidRDefault="00570EAE" w:rsidP="00570EAE">
      <w:pPr>
        <w:rPr>
          <w:b/>
          <w:i/>
        </w:rPr>
      </w:pPr>
    </w:p>
    <w:p w:rsidR="00570EAE" w:rsidRPr="00E81C8C" w:rsidRDefault="00570EAE" w:rsidP="00570EAE">
      <w:pPr>
        <w:rPr>
          <w:b/>
          <w:i/>
        </w:rPr>
      </w:pPr>
      <w:r w:rsidRPr="00E81C8C">
        <w:rPr>
          <w:b/>
          <w:i/>
        </w:rPr>
        <w:t>Revurdering af:</w:t>
      </w:r>
    </w:p>
    <w:p w:rsidR="00570EAE" w:rsidRPr="00E81C8C" w:rsidRDefault="00570EAE" w:rsidP="00570EAE">
      <w:pPr>
        <w:numPr>
          <w:ilvl w:val="0"/>
          <w:numId w:val="25"/>
        </w:numPr>
        <w:rPr>
          <w:b/>
          <w:i/>
        </w:rPr>
      </w:pPr>
      <w:r w:rsidRPr="00E81C8C">
        <w:rPr>
          <w:b/>
          <w:i/>
        </w:rPr>
        <w:t>Miljøgodkendelse af 9. december 1999</w:t>
      </w:r>
    </w:p>
    <w:p w:rsidR="00570EAE" w:rsidRPr="00E81C8C" w:rsidRDefault="00570EAE" w:rsidP="00570EAE">
      <w:pPr>
        <w:rPr>
          <w:b/>
          <w:i/>
        </w:rPr>
      </w:pPr>
    </w:p>
    <w:p w:rsidR="00570EAE" w:rsidRPr="00E81C8C" w:rsidRDefault="00570EAE" w:rsidP="00570EAE">
      <w:pPr>
        <w:rPr>
          <w:b/>
          <w:i/>
        </w:rPr>
      </w:pPr>
      <w:r w:rsidRPr="00E81C8C">
        <w:rPr>
          <w:b/>
          <w:i/>
        </w:rPr>
        <w:t>Miljøgodkendelse af:</w:t>
      </w:r>
    </w:p>
    <w:p w:rsidR="00570EAE" w:rsidRPr="00E81C8C" w:rsidRDefault="00570EAE" w:rsidP="00570EAE">
      <w:pPr>
        <w:numPr>
          <w:ilvl w:val="0"/>
          <w:numId w:val="26"/>
        </w:numPr>
        <w:rPr>
          <w:b/>
          <w:i/>
        </w:rPr>
      </w:pPr>
      <w:r w:rsidRPr="00E81C8C">
        <w:rPr>
          <w:b/>
          <w:i/>
        </w:rPr>
        <w:t>Etablering af solvarmeanlæg</w:t>
      </w:r>
    </w:p>
    <w:p w:rsidR="00570EAE" w:rsidRPr="00E81C8C" w:rsidRDefault="00570EAE" w:rsidP="00570EAE">
      <w:pPr>
        <w:numPr>
          <w:ilvl w:val="0"/>
          <w:numId w:val="26"/>
        </w:numPr>
        <w:rPr>
          <w:b/>
          <w:i/>
        </w:rPr>
      </w:pPr>
      <w:r w:rsidRPr="00E81C8C">
        <w:rPr>
          <w:b/>
          <w:i/>
        </w:rPr>
        <w:t>Udvidelse med etablering af træpillekedel</w:t>
      </w:r>
    </w:p>
    <w:p w:rsidR="00570EAE" w:rsidRPr="009234DE" w:rsidRDefault="00570EAE" w:rsidP="00570EAE">
      <w:pPr>
        <w:rPr>
          <w:highlight w:val="yellow"/>
        </w:rPr>
      </w:pPr>
      <w:r w:rsidRPr="009234DE">
        <w:br w:type="page"/>
      </w:r>
    </w:p>
    <w:p w:rsidR="00570EAE" w:rsidRPr="009234DE" w:rsidRDefault="00570EAE" w:rsidP="00570EAE">
      <w:pPr>
        <w:ind w:right="849"/>
        <w:rPr>
          <w:b/>
          <w:sz w:val="22"/>
          <w:szCs w:val="22"/>
        </w:rPr>
      </w:pPr>
      <w:r w:rsidRPr="009234DE">
        <w:rPr>
          <w:b/>
          <w:sz w:val="22"/>
          <w:szCs w:val="22"/>
        </w:rPr>
        <w:lastRenderedPageBreak/>
        <w:t xml:space="preserve">Revurdering </w:t>
      </w:r>
      <w:r w:rsidRPr="009234DE">
        <w:rPr>
          <w:b/>
          <w:i/>
          <w:sz w:val="22"/>
          <w:szCs w:val="22"/>
        </w:rPr>
        <w:t>og miljøgodkendelse af udvidelser</w:t>
      </w:r>
    </w:p>
    <w:p w:rsidR="00570EAE" w:rsidRPr="009234DE" w:rsidRDefault="00570EAE" w:rsidP="00570EAE">
      <w:pPr>
        <w:ind w:right="849"/>
      </w:pPr>
    </w:p>
    <w:p w:rsidR="00570EAE" w:rsidRPr="009234DE" w:rsidRDefault="00570EAE" w:rsidP="00570EAE">
      <w:pPr>
        <w:ind w:right="849"/>
      </w:pPr>
      <w:r w:rsidRPr="009234DE">
        <w:t>For virksomheden Hejnsvig Varmeværk a.m.b.a., Østermarksvej 25, 7250 Hejnsvig meddeler Billund Kommune hermed afgørelse på baggrund af revurdering af virksomhedens eksisterende miljøgodkendelse af 9. december 1999. Afgørelsen om revurdering meddeles som påbud efter Miljøbeskyttelseslovens § 41, jf. § 41b.</w:t>
      </w:r>
    </w:p>
    <w:p w:rsidR="00570EAE" w:rsidRPr="009234DE" w:rsidRDefault="00570EAE" w:rsidP="00570EAE">
      <w:pPr>
        <w:ind w:right="849"/>
        <w:rPr>
          <w:i/>
        </w:rPr>
      </w:pPr>
    </w:p>
    <w:p w:rsidR="00570EAE" w:rsidRPr="009234DE" w:rsidRDefault="00570EAE" w:rsidP="00570EAE">
      <w:pPr>
        <w:ind w:right="849"/>
      </w:pPr>
      <w:r w:rsidRPr="009234DE">
        <w:t>Billund Kommune meddeler samtidig godkendelse af etablering af ny træpillekedel samt tidligere udvidelse med sol</w:t>
      </w:r>
      <w:r>
        <w:t>varm</w:t>
      </w:r>
      <w:r w:rsidRPr="009234DE">
        <w:t>eanlæg. Godkendelsen er meddelt efter miljøbeskyttelseslovens § 33.</w:t>
      </w:r>
    </w:p>
    <w:p w:rsidR="00570EAE" w:rsidRPr="009234DE" w:rsidRDefault="00570EAE" w:rsidP="00570EAE">
      <w:pPr>
        <w:ind w:right="849"/>
      </w:pPr>
    </w:p>
    <w:p w:rsidR="00570EAE" w:rsidRPr="009234DE" w:rsidRDefault="00570EAE" w:rsidP="00570EAE">
      <w:pPr>
        <w:ind w:right="849"/>
        <w:rPr>
          <w:highlight w:val="lightGray"/>
        </w:rPr>
      </w:pPr>
      <w:r w:rsidRPr="009234DE">
        <w:t>De omfattede udvidelser er beskrevet i virksomhedens ansøgning af 5. februar 2016 samt efterfølgende supplerende materiale.</w:t>
      </w:r>
    </w:p>
    <w:p w:rsidR="00570EAE" w:rsidRPr="009234DE" w:rsidRDefault="00570EAE" w:rsidP="00570EAE">
      <w:pPr>
        <w:ind w:right="849"/>
      </w:pPr>
    </w:p>
    <w:p w:rsidR="00570EAE" w:rsidRDefault="00570EAE" w:rsidP="00570EAE">
      <w:pPr>
        <w:ind w:right="849"/>
      </w:pPr>
      <w:r w:rsidRPr="009234DE">
        <w:t xml:space="preserve">Afgørelsen er meddelt med forudsætninger, som angivet i afsnit 4, og vilkår for anlæg, drift og kontrol, som angivet i afsnit 5. </w:t>
      </w:r>
    </w:p>
    <w:p w:rsidR="000D3A4D" w:rsidRDefault="000D3A4D" w:rsidP="00570EAE">
      <w:pPr>
        <w:ind w:right="849"/>
      </w:pPr>
    </w:p>
    <w:p w:rsidR="000D3A4D" w:rsidRDefault="000D3A4D" w:rsidP="00570EAE">
      <w:pPr>
        <w:ind w:right="849"/>
      </w:pPr>
    </w:p>
    <w:p w:rsidR="000D3A4D" w:rsidRPr="009234DE" w:rsidRDefault="000D3A4D" w:rsidP="00570EAE">
      <w:pPr>
        <w:ind w:right="849"/>
      </w:pPr>
    </w:p>
    <w:p w:rsidR="00570EAE" w:rsidRPr="00A31F47" w:rsidRDefault="00570EAE" w:rsidP="00570EAE">
      <w:pPr>
        <w:ind w:right="849"/>
      </w:pPr>
    </w:p>
    <w:p w:rsidR="00570EAE" w:rsidRPr="00D1738F" w:rsidRDefault="00570EAE" w:rsidP="00570EAE">
      <w:pPr>
        <w:ind w:right="849"/>
        <w:rPr>
          <w:b/>
          <w:sz w:val="22"/>
          <w:szCs w:val="22"/>
        </w:rPr>
      </w:pPr>
      <w:bookmarkStart w:id="1" w:name="_Toc224005247"/>
      <w:bookmarkStart w:id="2" w:name="_Toc224005316"/>
      <w:bookmarkStart w:id="3" w:name="_Toc224005965"/>
      <w:bookmarkStart w:id="4" w:name="_Toc224013448"/>
      <w:bookmarkStart w:id="5" w:name="_Toc224015839"/>
      <w:bookmarkStart w:id="6" w:name="_Toc225570721"/>
      <w:r>
        <w:rPr>
          <w:b/>
        </w:rPr>
        <w:br w:type="page"/>
      </w:r>
      <w:r w:rsidRPr="00D1738F">
        <w:rPr>
          <w:b/>
          <w:sz w:val="22"/>
          <w:szCs w:val="22"/>
        </w:rPr>
        <w:lastRenderedPageBreak/>
        <w:t>Indholdsfortegnelse</w:t>
      </w:r>
      <w:bookmarkEnd w:id="1"/>
      <w:bookmarkEnd w:id="2"/>
      <w:bookmarkEnd w:id="3"/>
      <w:bookmarkEnd w:id="4"/>
      <w:bookmarkEnd w:id="5"/>
      <w:bookmarkEnd w:id="6"/>
    </w:p>
    <w:p w:rsidR="00570EAE" w:rsidRDefault="00570EAE" w:rsidP="00570EAE">
      <w:pPr>
        <w:ind w:right="849"/>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6663"/>
        <w:gridCol w:w="1299"/>
      </w:tblGrid>
      <w:tr w:rsidR="00CF1155" w:rsidTr="00CF1155">
        <w:tc>
          <w:tcPr>
            <w:tcW w:w="562" w:type="dxa"/>
          </w:tcPr>
          <w:p w:rsidR="00CF1155" w:rsidRDefault="00CF1155" w:rsidP="00570EAE">
            <w:pPr>
              <w:ind w:right="849"/>
              <w:rPr>
                <w:b/>
              </w:rPr>
            </w:pPr>
            <w:r>
              <w:rPr>
                <w:b/>
              </w:rPr>
              <w:t>1</w:t>
            </w:r>
          </w:p>
        </w:tc>
        <w:tc>
          <w:tcPr>
            <w:tcW w:w="6663" w:type="dxa"/>
          </w:tcPr>
          <w:p w:rsidR="00CF1155" w:rsidRDefault="00CF1155" w:rsidP="00570EAE">
            <w:pPr>
              <w:ind w:right="849"/>
              <w:rPr>
                <w:b/>
              </w:rPr>
            </w:pPr>
            <w:r>
              <w:rPr>
                <w:b/>
              </w:rPr>
              <w:t>Baggrund og grundlag for sagen</w:t>
            </w:r>
          </w:p>
        </w:tc>
        <w:tc>
          <w:tcPr>
            <w:tcW w:w="1299" w:type="dxa"/>
          </w:tcPr>
          <w:p w:rsidR="00CF1155" w:rsidRDefault="00CF1155" w:rsidP="00CF1155">
            <w:pPr>
              <w:ind w:right="849"/>
              <w:jc w:val="right"/>
              <w:rPr>
                <w:b/>
              </w:rPr>
            </w:pPr>
            <w:r>
              <w:rPr>
                <w:b/>
              </w:rPr>
              <w:t>4</w:t>
            </w:r>
          </w:p>
        </w:tc>
      </w:tr>
      <w:tr w:rsidR="00CF1155" w:rsidTr="00CF1155">
        <w:tc>
          <w:tcPr>
            <w:tcW w:w="562" w:type="dxa"/>
          </w:tcPr>
          <w:p w:rsidR="00CF1155" w:rsidRDefault="00CF1155" w:rsidP="00570EAE">
            <w:pPr>
              <w:ind w:right="849"/>
              <w:rPr>
                <w:b/>
              </w:rPr>
            </w:pPr>
            <w:r>
              <w:rPr>
                <w:b/>
              </w:rPr>
              <w:t>2</w:t>
            </w:r>
          </w:p>
        </w:tc>
        <w:tc>
          <w:tcPr>
            <w:tcW w:w="6663" w:type="dxa"/>
          </w:tcPr>
          <w:p w:rsidR="00CF1155" w:rsidRDefault="00CF1155" w:rsidP="00570EAE">
            <w:pPr>
              <w:ind w:right="849"/>
              <w:rPr>
                <w:b/>
              </w:rPr>
            </w:pPr>
            <w:r>
              <w:rPr>
                <w:b/>
              </w:rPr>
              <w:t>Varsling af påbud</w:t>
            </w:r>
          </w:p>
        </w:tc>
        <w:tc>
          <w:tcPr>
            <w:tcW w:w="1299" w:type="dxa"/>
          </w:tcPr>
          <w:p w:rsidR="00CF1155" w:rsidRDefault="00CF1155" w:rsidP="00CF1155">
            <w:pPr>
              <w:ind w:right="849"/>
              <w:jc w:val="right"/>
              <w:rPr>
                <w:b/>
              </w:rPr>
            </w:pPr>
            <w:r>
              <w:rPr>
                <w:b/>
              </w:rPr>
              <w:t>5</w:t>
            </w:r>
          </w:p>
        </w:tc>
      </w:tr>
      <w:tr w:rsidR="00CF1155" w:rsidTr="00CF1155">
        <w:tc>
          <w:tcPr>
            <w:tcW w:w="562" w:type="dxa"/>
          </w:tcPr>
          <w:p w:rsidR="00CF1155" w:rsidRDefault="00CF1155" w:rsidP="00570EAE">
            <w:pPr>
              <w:ind w:right="849"/>
              <w:rPr>
                <w:b/>
              </w:rPr>
            </w:pPr>
            <w:r>
              <w:rPr>
                <w:b/>
              </w:rPr>
              <w:t>3</w:t>
            </w:r>
          </w:p>
        </w:tc>
        <w:tc>
          <w:tcPr>
            <w:tcW w:w="6663" w:type="dxa"/>
          </w:tcPr>
          <w:p w:rsidR="00CF1155" w:rsidRDefault="00CF1155" w:rsidP="00570EAE">
            <w:pPr>
              <w:ind w:right="849"/>
              <w:rPr>
                <w:b/>
              </w:rPr>
            </w:pPr>
            <w:r>
              <w:rPr>
                <w:b/>
              </w:rPr>
              <w:t>Planlægningsmæssige forudsætninger</w:t>
            </w:r>
          </w:p>
        </w:tc>
        <w:tc>
          <w:tcPr>
            <w:tcW w:w="1299" w:type="dxa"/>
          </w:tcPr>
          <w:p w:rsidR="00CF1155" w:rsidRDefault="00CF1155" w:rsidP="00CF1155">
            <w:pPr>
              <w:ind w:right="849"/>
              <w:jc w:val="right"/>
              <w:rPr>
                <w:b/>
              </w:rPr>
            </w:pPr>
            <w:r>
              <w:rPr>
                <w:b/>
              </w:rPr>
              <w:t>5</w:t>
            </w:r>
          </w:p>
        </w:tc>
      </w:tr>
      <w:tr w:rsidR="00CF1155" w:rsidTr="00CF1155">
        <w:tc>
          <w:tcPr>
            <w:tcW w:w="562" w:type="dxa"/>
          </w:tcPr>
          <w:p w:rsidR="00CF1155" w:rsidRDefault="00CF1155" w:rsidP="00570EAE">
            <w:pPr>
              <w:ind w:right="849"/>
              <w:rPr>
                <w:b/>
              </w:rPr>
            </w:pPr>
            <w:r>
              <w:rPr>
                <w:b/>
              </w:rPr>
              <w:t>4</w:t>
            </w:r>
          </w:p>
        </w:tc>
        <w:tc>
          <w:tcPr>
            <w:tcW w:w="6663" w:type="dxa"/>
          </w:tcPr>
          <w:p w:rsidR="00CF1155" w:rsidRDefault="00CF1155" w:rsidP="00570EAE">
            <w:pPr>
              <w:ind w:right="849"/>
              <w:rPr>
                <w:b/>
              </w:rPr>
            </w:pPr>
            <w:r>
              <w:rPr>
                <w:b/>
              </w:rPr>
              <w:t>Miljømæssig beskrivelse og begrundelse for afgørelsen</w:t>
            </w:r>
          </w:p>
        </w:tc>
        <w:tc>
          <w:tcPr>
            <w:tcW w:w="1299" w:type="dxa"/>
          </w:tcPr>
          <w:p w:rsidR="00CF1155" w:rsidRDefault="008E78B4" w:rsidP="008E78B4">
            <w:pPr>
              <w:ind w:right="849"/>
              <w:jc w:val="right"/>
              <w:rPr>
                <w:b/>
              </w:rPr>
            </w:pPr>
            <w:r>
              <w:rPr>
                <w:b/>
              </w:rPr>
              <w:t>7</w:t>
            </w:r>
          </w:p>
        </w:tc>
      </w:tr>
      <w:tr w:rsidR="00CF1155" w:rsidTr="00CF1155">
        <w:tc>
          <w:tcPr>
            <w:tcW w:w="562" w:type="dxa"/>
          </w:tcPr>
          <w:p w:rsidR="00CF1155" w:rsidRDefault="00CF1155" w:rsidP="00570EAE">
            <w:pPr>
              <w:ind w:right="849"/>
              <w:rPr>
                <w:b/>
              </w:rPr>
            </w:pPr>
            <w:r>
              <w:rPr>
                <w:b/>
              </w:rPr>
              <w:t>5</w:t>
            </w:r>
          </w:p>
        </w:tc>
        <w:tc>
          <w:tcPr>
            <w:tcW w:w="6663" w:type="dxa"/>
          </w:tcPr>
          <w:p w:rsidR="00CF1155" w:rsidRDefault="00CF1155" w:rsidP="00570EAE">
            <w:pPr>
              <w:ind w:right="849"/>
              <w:rPr>
                <w:b/>
              </w:rPr>
            </w:pPr>
            <w:r>
              <w:rPr>
                <w:b/>
              </w:rPr>
              <w:t>Vilkår</w:t>
            </w:r>
          </w:p>
        </w:tc>
        <w:tc>
          <w:tcPr>
            <w:tcW w:w="1299" w:type="dxa"/>
          </w:tcPr>
          <w:p w:rsidR="00CF1155" w:rsidRDefault="00CF1155" w:rsidP="008E78B4">
            <w:pPr>
              <w:ind w:right="849"/>
              <w:jc w:val="right"/>
              <w:rPr>
                <w:b/>
              </w:rPr>
            </w:pPr>
            <w:r>
              <w:rPr>
                <w:b/>
              </w:rPr>
              <w:t>2</w:t>
            </w:r>
            <w:r w:rsidR="008E78B4">
              <w:rPr>
                <w:b/>
              </w:rPr>
              <w:t>1</w:t>
            </w:r>
          </w:p>
        </w:tc>
      </w:tr>
      <w:tr w:rsidR="00CF1155" w:rsidTr="00CF1155">
        <w:tc>
          <w:tcPr>
            <w:tcW w:w="562" w:type="dxa"/>
          </w:tcPr>
          <w:p w:rsidR="00CF1155" w:rsidRDefault="00CF1155" w:rsidP="00570EAE">
            <w:pPr>
              <w:ind w:right="849"/>
              <w:rPr>
                <w:b/>
              </w:rPr>
            </w:pPr>
            <w:r>
              <w:rPr>
                <w:b/>
              </w:rPr>
              <w:t>6</w:t>
            </w:r>
          </w:p>
        </w:tc>
        <w:tc>
          <w:tcPr>
            <w:tcW w:w="6663" w:type="dxa"/>
          </w:tcPr>
          <w:p w:rsidR="00CF1155" w:rsidRDefault="00CF1155" w:rsidP="00570EAE">
            <w:pPr>
              <w:ind w:right="849"/>
              <w:rPr>
                <w:b/>
              </w:rPr>
            </w:pPr>
            <w:r>
              <w:rPr>
                <w:b/>
              </w:rPr>
              <w:t>Afgørelsens varighed m.m.</w:t>
            </w:r>
          </w:p>
        </w:tc>
        <w:tc>
          <w:tcPr>
            <w:tcW w:w="1299" w:type="dxa"/>
          </w:tcPr>
          <w:p w:rsidR="00CF1155" w:rsidRDefault="00CF1155" w:rsidP="008E78B4">
            <w:pPr>
              <w:ind w:right="849"/>
              <w:jc w:val="right"/>
              <w:rPr>
                <w:b/>
              </w:rPr>
            </w:pPr>
            <w:r>
              <w:rPr>
                <w:b/>
              </w:rPr>
              <w:t>2</w:t>
            </w:r>
            <w:r w:rsidR="008E78B4">
              <w:rPr>
                <w:b/>
              </w:rPr>
              <w:t>8</w:t>
            </w:r>
          </w:p>
        </w:tc>
      </w:tr>
      <w:tr w:rsidR="00CF1155" w:rsidTr="00CF1155">
        <w:tc>
          <w:tcPr>
            <w:tcW w:w="562" w:type="dxa"/>
          </w:tcPr>
          <w:p w:rsidR="00CF1155" w:rsidRDefault="00CF1155" w:rsidP="00570EAE">
            <w:pPr>
              <w:ind w:right="849"/>
              <w:rPr>
                <w:b/>
              </w:rPr>
            </w:pPr>
            <w:r>
              <w:rPr>
                <w:b/>
              </w:rPr>
              <w:t>7</w:t>
            </w:r>
          </w:p>
        </w:tc>
        <w:tc>
          <w:tcPr>
            <w:tcW w:w="6663" w:type="dxa"/>
          </w:tcPr>
          <w:p w:rsidR="00CF1155" w:rsidRDefault="00CF1155" w:rsidP="00570EAE">
            <w:pPr>
              <w:ind w:right="849"/>
              <w:rPr>
                <w:b/>
              </w:rPr>
            </w:pPr>
            <w:r>
              <w:rPr>
                <w:b/>
              </w:rPr>
              <w:t>Klagevejledning</w:t>
            </w:r>
          </w:p>
        </w:tc>
        <w:tc>
          <w:tcPr>
            <w:tcW w:w="1299" w:type="dxa"/>
          </w:tcPr>
          <w:p w:rsidR="00CF1155" w:rsidRDefault="00CF1155" w:rsidP="008E78B4">
            <w:pPr>
              <w:ind w:right="849"/>
              <w:jc w:val="right"/>
              <w:rPr>
                <w:b/>
              </w:rPr>
            </w:pPr>
            <w:r>
              <w:rPr>
                <w:b/>
              </w:rPr>
              <w:t>2</w:t>
            </w:r>
            <w:r w:rsidR="008E78B4">
              <w:rPr>
                <w:b/>
              </w:rPr>
              <w:t>8</w:t>
            </w:r>
          </w:p>
        </w:tc>
      </w:tr>
      <w:tr w:rsidR="00CF1155" w:rsidTr="00CF1155">
        <w:tc>
          <w:tcPr>
            <w:tcW w:w="562" w:type="dxa"/>
          </w:tcPr>
          <w:p w:rsidR="00CF1155" w:rsidRDefault="00CF1155" w:rsidP="00570EAE">
            <w:pPr>
              <w:ind w:right="849"/>
              <w:rPr>
                <w:b/>
              </w:rPr>
            </w:pPr>
            <w:r>
              <w:rPr>
                <w:b/>
              </w:rPr>
              <w:t>8</w:t>
            </w:r>
          </w:p>
        </w:tc>
        <w:tc>
          <w:tcPr>
            <w:tcW w:w="6663" w:type="dxa"/>
          </w:tcPr>
          <w:p w:rsidR="00CF1155" w:rsidRDefault="00CF1155" w:rsidP="00CF1155">
            <w:pPr>
              <w:ind w:right="849"/>
              <w:rPr>
                <w:b/>
              </w:rPr>
            </w:pPr>
            <w:r>
              <w:rPr>
                <w:b/>
              </w:rPr>
              <w:t>Offentliggørelse</w:t>
            </w:r>
          </w:p>
        </w:tc>
        <w:tc>
          <w:tcPr>
            <w:tcW w:w="1299" w:type="dxa"/>
          </w:tcPr>
          <w:p w:rsidR="00CF1155" w:rsidRDefault="008E78B4" w:rsidP="008E78B4">
            <w:pPr>
              <w:ind w:right="849"/>
              <w:jc w:val="right"/>
              <w:rPr>
                <w:b/>
              </w:rPr>
            </w:pPr>
            <w:r>
              <w:rPr>
                <w:b/>
              </w:rPr>
              <w:t>29</w:t>
            </w:r>
          </w:p>
        </w:tc>
      </w:tr>
    </w:tbl>
    <w:p w:rsidR="00CF1155" w:rsidRDefault="00CF1155" w:rsidP="00570EAE">
      <w:pPr>
        <w:ind w:right="849"/>
        <w:rPr>
          <w:b/>
        </w:rPr>
      </w:pPr>
    </w:p>
    <w:p w:rsidR="00570EAE" w:rsidRPr="007D5B04" w:rsidRDefault="00570EAE" w:rsidP="00570EAE">
      <w:pPr>
        <w:ind w:right="849"/>
        <w:rPr>
          <w:b/>
        </w:rPr>
      </w:pPr>
    </w:p>
    <w:p w:rsidR="00570EAE" w:rsidRPr="00A31F47" w:rsidRDefault="00570EAE" w:rsidP="00570EAE">
      <w:pPr>
        <w:ind w:right="849"/>
      </w:pPr>
    </w:p>
    <w:p w:rsidR="00644F42" w:rsidRPr="00644F42" w:rsidRDefault="00644F42" w:rsidP="00644F42">
      <w:r w:rsidRPr="00644F42">
        <w:t>Bilag til godkendelsen:</w:t>
      </w:r>
    </w:p>
    <w:p w:rsidR="00644F42" w:rsidRPr="00644F42" w:rsidRDefault="00644F42" w:rsidP="00644F42"/>
    <w:p w:rsidR="00644F42" w:rsidRPr="00644F42" w:rsidRDefault="00644F42" w:rsidP="00644F42">
      <w:r w:rsidRPr="00644F42">
        <w:t>Bilag 1: Virksomhedens lokalisering</w:t>
      </w:r>
    </w:p>
    <w:p w:rsidR="00644F42" w:rsidRPr="00644F42" w:rsidRDefault="00644F42" w:rsidP="00644F42">
      <w:r w:rsidRPr="00644F42">
        <w:t>Bilag 2: Miljøgodkendelsen fra 1999</w:t>
      </w:r>
    </w:p>
    <w:p w:rsidR="00644F42" w:rsidRPr="00644F42" w:rsidRDefault="00644F42" w:rsidP="00644F42">
      <w:r w:rsidRPr="00644F42">
        <w:t>Bilag 3: Kommuneplanens rammeområder og lokalplaner</w:t>
      </w:r>
    </w:p>
    <w:p w:rsidR="00644F42" w:rsidRPr="00644F42" w:rsidRDefault="00644F42" w:rsidP="00644F42">
      <w:r w:rsidRPr="00644F42">
        <w:t>Bilag 4: Processkitser biomasseanlæg</w:t>
      </w:r>
    </w:p>
    <w:p w:rsidR="00644F42" w:rsidRPr="00644F42" w:rsidRDefault="00644F42" w:rsidP="00644F42">
      <w:r w:rsidRPr="00644F42">
        <w:t>Bilag 5: Indretning, drift og beredskabsplan for solvarmeanlæg</w:t>
      </w:r>
    </w:p>
    <w:p w:rsidR="00644F42" w:rsidRPr="00644F42" w:rsidRDefault="00644F42" w:rsidP="00644F42">
      <w:r w:rsidRPr="00644F42">
        <w:t>Bilag 6: Nødplan gasanlæg</w:t>
      </w:r>
    </w:p>
    <w:p w:rsidR="00644F42" w:rsidRDefault="00644F42" w:rsidP="00644F42"/>
    <w:p w:rsidR="00570EAE" w:rsidRPr="003B16EA" w:rsidRDefault="00570EAE" w:rsidP="00570EAE">
      <w:pPr>
        <w:ind w:right="849"/>
        <w:rPr>
          <w:highlight w:val="yellow"/>
        </w:rPr>
      </w:pPr>
    </w:p>
    <w:p w:rsidR="00570EAE" w:rsidRPr="003B16EA" w:rsidRDefault="00570EAE" w:rsidP="00570EAE">
      <w:pPr>
        <w:ind w:right="849"/>
        <w:rPr>
          <w:highlight w:val="yellow"/>
        </w:rPr>
      </w:pPr>
    </w:p>
    <w:p w:rsidR="00570EAE" w:rsidRPr="009234DE" w:rsidRDefault="00570EAE" w:rsidP="00570EAE">
      <w:pPr>
        <w:pStyle w:val="Overskrift1"/>
        <w:numPr>
          <w:ilvl w:val="0"/>
          <w:numId w:val="1"/>
        </w:numPr>
        <w:spacing w:before="360" w:after="240"/>
        <w:ind w:left="431" w:hanging="431"/>
      </w:pPr>
      <w:r w:rsidRPr="003B16EA">
        <w:rPr>
          <w:highlight w:val="yellow"/>
        </w:rPr>
        <w:br w:type="page"/>
      </w:r>
      <w:bookmarkStart w:id="7" w:name="_Toc223777069"/>
      <w:bookmarkStart w:id="8" w:name="_Toc224005249"/>
      <w:r w:rsidRPr="009234DE">
        <w:lastRenderedPageBreak/>
        <w:t>Baggrund og grundlag for sagen</w:t>
      </w:r>
      <w:bookmarkEnd w:id="7"/>
      <w:bookmarkEnd w:id="8"/>
    </w:p>
    <w:p w:rsidR="00570EAE" w:rsidRPr="009234DE" w:rsidRDefault="00570EAE" w:rsidP="00570EAE">
      <w:r w:rsidRPr="009234DE">
        <w:t>Hejnsvig varmeværk a.m.b.a. er godkendt i henhold til miljøbeskyttelseslovens § 33 af Grindsted kommune den 9. december 1999.</w:t>
      </w:r>
    </w:p>
    <w:p w:rsidR="00570EAE" w:rsidRPr="009234DE" w:rsidRDefault="00570EAE" w:rsidP="00570EAE"/>
    <w:p w:rsidR="00570EAE" w:rsidRPr="009234DE" w:rsidRDefault="00570EAE" w:rsidP="00570EAE">
      <w:r w:rsidRPr="009234DE">
        <w:t>En virksomheds miljøgodkendelse kan i henhold til godkendelsesbekendtgørelsens § 41b tages op til revurdering, når der er forløbet 8 år fra godkendelsens meddelelse. Virksomhedens miljøgodkendelse er ikke tidligere blevet revurderet.</w:t>
      </w:r>
    </w:p>
    <w:p w:rsidR="00570EAE" w:rsidRPr="009234DE" w:rsidRDefault="00570EAE" w:rsidP="00570EAE">
      <w:pPr>
        <w:rPr>
          <w:i/>
        </w:rPr>
      </w:pPr>
    </w:p>
    <w:p w:rsidR="00570EAE" w:rsidRPr="009234DE" w:rsidRDefault="00570EAE" w:rsidP="00570EAE">
      <w:r w:rsidRPr="009234DE">
        <w:t>Virksomheden har ved ansøgning af 5. februar 2016 ansøgt om godkendelse til etablering af træpillekedel og godkendelse af opstillet solvarmeanlæg.</w:t>
      </w:r>
    </w:p>
    <w:p w:rsidR="00570EAE" w:rsidRPr="009234DE" w:rsidRDefault="00570EAE" w:rsidP="00570EAE"/>
    <w:p w:rsidR="00570EAE" w:rsidRPr="009234DE" w:rsidRDefault="00570EAE" w:rsidP="00570EAE">
      <w:r w:rsidRPr="009234DE">
        <w:t>Fjernvarmeværket får en samlet nominel indfyret termisk effekt på ca. 10 MW og er omfattet af miljøbeskyttelseslovens</w:t>
      </w:r>
      <w:r w:rsidRPr="009234DE">
        <w:rPr>
          <w:rStyle w:val="Fodnotehenvisning"/>
        </w:rPr>
        <w:footnoteReference w:id="1"/>
      </w:r>
      <w:r w:rsidRPr="009234DE">
        <w:t xml:space="preserve"> liste over godkendelsespligtig virksomhed i henhold til godkendelsesbekendtgørelsens</w:t>
      </w:r>
      <w:r w:rsidRPr="009234DE">
        <w:rPr>
          <w:rStyle w:val="Fodnotehenvisning"/>
        </w:rPr>
        <w:footnoteReference w:id="2"/>
      </w:r>
      <w:r w:rsidRPr="009234DE">
        <w:t xml:space="preserve"> Bilag 2, listepunkt G 201: ”Kraftproducerende anlæg, varmeproducerende anlæg, gasturbineanlæg og gasmotoranlæg med en samlet indfyret effekt på mellem 5 MW og 50 MW”.</w:t>
      </w:r>
    </w:p>
    <w:p w:rsidR="00570EAE" w:rsidRPr="009234DE" w:rsidRDefault="00570EAE" w:rsidP="00570EAE">
      <w:pPr>
        <w:ind w:right="849"/>
      </w:pPr>
    </w:p>
    <w:p w:rsidR="00570EAE" w:rsidRPr="009234DE" w:rsidRDefault="00570EAE" w:rsidP="00570EAE">
      <w:r w:rsidRPr="009234DE">
        <w:t>Anlæg under listepunkt G201 er omfattet af Afsnit 11 i standardvilkårsbekendtgørelsen</w:t>
      </w:r>
      <w:r w:rsidRPr="009234DE">
        <w:rPr>
          <w:vertAlign w:val="superscript"/>
        </w:rPr>
        <w:footnoteReference w:id="3"/>
      </w:r>
      <w:r w:rsidRPr="009234DE">
        <w:t>. Bekendtgørelsen opstiller standardkrav for godkendelsesvilkår, som i henhold til godkendelsesbekendtgørelsens § 31 skal fastsættes ved godkendelse af nye anlæg, ved udvidelser og ændringer af eksisterende anlæg, samt ved revurdering af godkendelser for eksisterende anlæg. Godkendelsesmyndigheden dvs. Billund Kommune skal herudover fastsætte vilkår for støj og evt. andre forureningsforhold, som ikke er beskrevet i standardvilkårene.</w:t>
      </w:r>
    </w:p>
    <w:p w:rsidR="00570EAE" w:rsidRPr="009234DE" w:rsidRDefault="00570EAE" w:rsidP="00570EAE"/>
    <w:p w:rsidR="00570EAE" w:rsidRPr="009234DE" w:rsidRDefault="00570EAE" w:rsidP="00570EAE">
      <w:r w:rsidRPr="009234DE">
        <w:t>Godkendelsesmyndigheden kan undtagelsesvist fastsætte ændrede eller yderligere vilkår end standardvilkårene, jf. godkendelsesbekendtgørelsens § 31, stk. 3.</w:t>
      </w:r>
    </w:p>
    <w:p w:rsidR="00570EAE" w:rsidRPr="009234DE" w:rsidRDefault="00570EAE" w:rsidP="00570EAE"/>
    <w:p w:rsidR="00570EAE" w:rsidRPr="009234DE" w:rsidRDefault="00570EAE" w:rsidP="00570EAE">
      <w:r w:rsidRPr="009234DE">
        <w:t>Ud over standardvilkår efter Afsnit 11, er virksomhedens gasmotoranlæg omfattet af krav og regulering, som fremgår af gasmotorbekendtgørelsen</w:t>
      </w:r>
      <w:r w:rsidRPr="009234DE">
        <w:rPr>
          <w:vertAlign w:val="superscript"/>
        </w:rPr>
        <w:footnoteReference w:id="4"/>
      </w:r>
      <w:r w:rsidRPr="009234DE">
        <w:t>.</w:t>
      </w:r>
    </w:p>
    <w:p w:rsidR="00570EAE" w:rsidRPr="009234DE" w:rsidRDefault="00570EAE" w:rsidP="00570EAE"/>
    <w:p w:rsidR="00570EAE" w:rsidRPr="009234DE" w:rsidRDefault="00570EAE" w:rsidP="00570EAE">
      <w:r w:rsidRPr="009234DE">
        <w:t xml:space="preserve">På ovenstående baggrund er der i nærværende afgørelse foretaget en gennemgang af eksisterende forhold og eksisterende afgørelser med henblik på at revurdere disse under indarbejdelse af standardvilkår efter ovennævnte afsnit i standardvilkårsbekendtgørelsen. </w:t>
      </w:r>
    </w:p>
    <w:p w:rsidR="00570EAE" w:rsidRPr="009234DE" w:rsidRDefault="00570EAE" w:rsidP="00570EAE"/>
    <w:p w:rsidR="00570EAE" w:rsidRPr="009234DE" w:rsidRDefault="00570EAE" w:rsidP="00570EAE">
      <w:r w:rsidRPr="009234DE">
        <w:t xml:space="preserve">Ved nærværende afgørelse træffes afgørelse om revurdering efter Miljøbeskyttelseslovens § 41, jf. § 41b, af godkendelsen af 9. december 1999. Vilkårene i den eksisterende godkendelse er </w:t>
      </w:r>
      <w:r w:rsidRPr="00275393">
        <w:t>vist i bilag 2.</w:t>
      </w:r>
      <w:r w:rsidRPr="009234DE">
        <w:t xml:space="preserve"> </w:t>
      </w:r>
    </w:p>
    <w:p w:rsidR="00570EAE" w:rsidRPr="009234DE" w:rsidRDefault="00570EAE" w:rsidP="00570EAE">
      <w:pPr>
        <w:rPr>
          <w:i/>
        </w:rPr>
      </w:pPr>
    </w:p>
    <w:p w:rsidR="00570EAE" w:rsidRPr="009234DE" w:rsidRDefault="00570EAE" w:rsidP="00570EAE">
      <w:r w:rsidRPr="009234DE">
        <w:rPr>
          <w:b/>
        </w:rPr>
        <w:t>Solvarmeanlæg</w:t>
      </w:r>
    </w:p>
    <w:p w:rsidR="00570EAE" w:rsidRPr="009234DE" w:rsidRDefault="00570EAE" w:rsidP="00570EAE">
      <w:r w:rsidRPr="009234DE">
        <w:t>I forbindelse med revurderingen meddeles godkendelse af solvarmeanlægget som tidligere - i 201</w:t>
      </w:r>
      <w:r>
        <w:t>1</w:t>
      </w:r>
      <w:r w:rsidRPr="009234DE">
        <w:t>-   201</w:t>
      </w:r>
      <w:r>
        <w:t>3</w:t>
      </w:r>
      <w:r w:rsidRPr="009234DE">
        <w:t xml:space="preserve"> er opstillet på virksomheden.</w:t>
      </w:r>
    </w:p>
    <w:p w:rsidR="00570EAE" w:rsidRPr="009234DE" w:rsidRDefault="00570EAE" w:rsidP="00570EAE">
      <w:pPr>
        <w:rPr>
          <w:i/>
        </w:rPr>
      </w:pPr>
    </w:p>
    <w:p w:rsidR="00570EAE" w:rsidRPr="009234DE" w:rsidRDefault="00570EAE" w:rsidP="00570EAE">
      <w:pPr>
        <w:rPr>
          <w:b/>
        </w:rPr>
      </w:pPr>
      <w:r w:rsidRPr="009234DE">
        <w:rPr>
          <w:b/>
        </w:rPr>
        <w:t>Etablering af træpille kedel</w:t>
      </w:r>
    </w:p>
    <w:p w:rsidR="00570EAE" w:rsidRPr="009234DE" w:rsidRDefault="00570EAE" w:rsidP="00570EAE">
      <w:pPr>
        <w:rPr>
          <w:lang w:val="x-none"/>
        </w:rPr>
      </w:pPr>
      <w:r w:rsidRPr="009234DE">
        <w:t xml:space="preserve">Ved nærværende afgørelse meddeles endvidere godkendelse af ansøgte udvidelse med 1,6MW træpillekedel </w:t>
      </w:r>
      <w:r>
        <w:t xml:space="preserve">i henhold til </w:t>
      </w:r>
      <w:r w:rsidRPr="009234DE">
        <w:t>Miljøbeskyttelseslovens § 33.</w:t>
      </w:r>
    </w:p>
    <w:p w:rsidR="00570EAE" w:rsidRPr="009234DE" w:rsidRDefault="00570EAE" w:rsidP="00570EAE"/>
    <w:p w:rsidR="00570EAE" w:rsidRPr="009234DE" w:rsidRDefault="00570EAE" w:rsidP="00570EAE">
      <w:r w:rsidRPr="009234DE">
        <w:t>Ved afgørelsen bortfalder vilkårene i eksisterende godkendelse. Nærværende afgørelse udgør herefter virksomhedens samlede reguleringsgrundlag efter miljøbeskyttelseslovens kapitel 5.</w:t>
      </w:r>
    </w:p>
    <w:p w:rsidR="00570EAE" w:rsidRPr="009234DE" w:rsidRDefault="00570EAE" w:rsidP="00570EAE">
      <w:pPr>
        <w:pStyle w:val="Overskrift1"/>
        <w:numPr>
          <w:ilvl w:val="0"/>
          <w:numId w:val="1"/>
        </w:numPr>
        <w:spacing w:before="360" w:after="240"/>
        <w:ind w:left="431" w:hanging="431"/>
      </w:pPr>
      <w:bookmarkStart w:id="9" w:name="_Toc223777071"/>
      <w:bookmarkStart w:id="10" w:name="_Toc224005251"/>
      <w:r w:rsidRPr="009234DE">
        <w:t>Varsling af påbud</w:t>
      </w:r>
      <w:bookmarkEnd w:id="9"/>
      <w:bookmarkEnd w:id="10"/>
      <w:r>
        <w:t xml:space="preserve"> - høringssvar</w:t>
      </w:r>
    </w:p>
    <w:p w:rsidR="00570EAE" w:rsidRPr="009234DE" w:rsidRDefault="00570EAE" w:rsidP="00570EAE">
      <w:pPr>
        <w:tabs>
          <w:tab w:val="left" w:pos="567"/>
        </w:tabs>
        <w:jc w:val="both"/>
      </w:pPr>
      <w:r w:rsidRPr="009234DE">
        <w:t xml:space="preserve">Et udkast til afgørelsen har i overensstemmelse med miljøbeskyttelseslovens § 75 været varslet over for virksomheden. </w:t>
      </w:r>
    </w:p>
    <w:p w:rsidR="00570EAE" w:rsidRPr="009234DE" w:rsidRDefault="00570EAE" w:rsidP="00570EAE">
      <w:pPr>
        <w:tabs>
          <w:tab w:val="left" w:pos="567"/>
        </w:tabs>
        <w:jc w:val="both"/>
      </w:pPr>
    </w:p>
    <w:p w:rsidR="00570EAE" w:rsidRPr="00275393" w:rsidRDefault="00570EAE" w:rsidP="00570EAE">
      <w:r w:rsidRPr="007903CD">
        <w:t>Billund Kommune har i den forbindelse modtaget bemærkninger fra ansøger</w:t>
      </w:r>
      <w:r w:rsidRPr="00275393">
        <w:t xml:space="preserve">. Bemærkninger vedr. præstationskontrol er indarbejdet i afsnit 4.9 og vilkår 17-23. </w:t>
      </w:r>
    </w:p>
    <w:p w:rsidR="00570EAE" w:rsidRPr="00275393" w:rsidRDefault="00570EAE" w:rsidP="00570EAE"/>
    <w:p w:rsidR="00570EAE" w:rsidRPr="009234DE" w:rsidRDefault="00570EAE" w:rsidP="00570EAE">
      <w:r w:rsidRPr="00275393">
        <w:t>Derudover var bemærkningerne af redaktionel karakter og indarbejdet i den endelige afgørelse.</w:t>
      </w:r>
    </w:p>
    <w:p w:rsidR="00570EAE" w:rsidRPr="009234DE" w:rsidRDefault="00570EAE" w:rsidP="00570EAE">
      <w:pPr>
        <w:pStyle w:val="Overskrift1"/>
        <w:numPr>
          <w:ilvl w:val="0"/>
          <w:numId w:val="1"/>
        </w:numPr>
        <w:spacing w:before="360" w:after="240"/>
        <w:ind w:left="431" w:hanging="431"/>
      </w:pPr>
      <w:bookmarkStart w:id="11" w:name="_Toc223777072"/>
      <w:bookmarkStart w:id="12" w:name="_Toc224005252"/>
      <w:r w:rsidRPr="009234DE">
        <w:t>Planlægningsmæssige forudsætninger</w:t>
      </w:r>
      <w:bookmarkEnd w:id="11"/>
      <w:bookmarkEnd w:id="12"/>
    </w:p>
    <w:p w:rsidR="00570EAE" w:rsidRPr="009234DE" w:rsidRDefault="00570EAE" w:rsidP="00570EAE">
      <w:pPr>
        <w:pStyle w:val="Overskrift2"/>
        <w:numPr>
          <w:ilvl w:val="1"/>
          <w:numId w:val="1"/>
        </w:numPr>
        <w:spacing w:before="240" w:after="240"/>
      </w:pPr>
      <w:r w:rsidRPr="009234DE">
        <w:t>Kommuneplan</w:t>
      </w:r>
    </w:p>
    <w:p w:rsidR="00570EAE" w:rsidRPr="009234DE" w:rsidRDefault="00570EAE" w:rsidP="00570EAE">
      <w:r w:rsidRPr="009234DE">
        <w:t>Området ligger inden for rammeområde 5E.2 i Kommuneplan 2013-2025 for Billund Kommune. Rammeområdet er udlagt til blandet bolig- og erhvervsområde inden for virksomhedsklasse 2-4.</w:t>
      </w:r>
    </w:p>
    <w:p w:rsidR="00570EAE" w:rsidRPr="009234DE" w:rsidRDefault="00570EAE" w:rsidP="00570EAE">
      <w:pPr>
        <w:pStyle w:val="Overskrift2"/>
        <w:numPr>
          <w:ilvl w:val="1"/>
          <w:numId w:val="1"/>
        </w:numPr>
        <w:spacing w:before="240" w:after="240"/>
      </w:pPr>
      <w:r w:rsidRPr="009234DE">
        <w:t xml:space="preserve">Lokalplaner </w:t>
      </w:r>
    </w:p>
    <w:p w:rsidR="00570EAE" w:rsidRDefault="00570EAE" w:rsidP="00570EAE">
      <w:r w:rsidRPr="009234DE">
        <w:t>Området er omfattet af lokalplan nr. 58, Lokalplan for område til håndværksvirksomhed og let industri samt kontor- og handelsvirksomhed ved Østermarksvej i Hejnsvig By. Området ligger i byzone.</w:t>
      </w:r>
    </w:p>
    <w:p w:rsidR="00570EAE" w:rsidRDefault="00570EAE" w:rsidP="00570EAE"/>
    <w:p w:rsidR="00570EAE" w:rsidRPr="009234DE" w:rsidRDefault="00570EAE" w:rsidP="00570EAE">
      <w:r>
        <w:t>Varmeværkets solvarmeanlæg er beliggende i lokalplan 231-Erhvervsområde til solfangernlæg ved Østermarksvej i Hejnsvig. Området ligger i byzone.</w:t>
      </w:r>
    </w:p>
    <w:p w:rsidR="00570EAE" w:rsidRPr="009234DE" w:rsidRDefault="00570EAE" w:rsidP="00570EAE"/>
    <w:p w:rsidR="00570EAE" w:rsidRPr="009234DE" w:rsidRDefault="00570EAE" w:rsidP="00570EAE">
      <w:pPr>
        <w:tabs>
          <w:tab w:val="left" w:pos="5670"/>
        </w:tabs>
        <w:spacing w:line="240" w:lineRule="auto"/>
        <w:jc w:val="both"/>
        <w:rPr>
          <w:iCs/>
          <w:lang w:eastAsia="da-DK"/>
        </w:rPr>
      </w:pPr>
      <w:r w:rsidRPr="009234DE">
        <w:rPr>
          <w:rFonts w:eastAsia="Calibri" w:cs="Arial"/>
        </w:rPr>
        <w:t>Lokalplan</w:t>
      </w:r>
      <w:r w:rsidRPr="009234DE">
        <w:rPr>
          <w:iCs/>
          <w:lang w:eastAsia="da-DK"/>
        </w:rPr>
        <w:t>område</w:t>
      </w:r>
      <w:r>
        <w:rPr>
          <w:iCs/>
          <w:lang w:eastAsia="da-DK"/>
        </w:rPr>
        <w:t xml:space="preserve">rne </w:t>
      </w:r>
      <w:r w:rsidRPr="009234DE">
        <w:rPr>
          <w:iCs/>
          <w:lang w:eastAsia="da-DK"/>
        </w:rPr>
        <w:t xml:space="preserve">samt lokalplanområder omkring fjernvarmeværket er vist i </w:t>
      </w:r>
      <w:r>
        <w:rPr>
          <w:iCs/>
          <w:lang w:eastAsia="da-DK"/>
        </w:rPr>
        <w:t>Figur 1</w:t>
      </w:r>
      <w:r w:rsidRPr="009234DE">
        <w:rPr>
          <w:iCs/>
          <w:lang w:eastAsia="da-DK"/>
        </w:rPr>
        <w:t>.</w:t>
      </w:r>
      <w:r w:rsidRPr="00273386">
        <w:rPr>
          <w:noProof/>
          <w:lang w:eastAsia="da-DK"/>
        </w:rPr>
        <w:t xml:space="preserve"> </w:t>
      </w:r>
      <w:r>
        <w:rPr>
          <w:noProof/>
          <w:lang w:eastAsia="da-DK"/>
        </w:rPr>
        <w:t>Lokalplan 58 afgrænses af sort ramme. Lokalplan 231 afgrænses af blå ramme.</w:t>
      </w:r>
    </w:p>
    <w:p w:rsidR="00570EAE" w:rsidRDefault="00570EAE" w:rsidP="00570EAE">
      <w:pPr>
        <w:tabs>
          <w:tab w:val="left" w:pos="5670"/>
        </w:tabs>
        <w:spacing w:line="240" w:lineRule="auto"/>
        <w:jc w:val="both"/>
        <w:rPr>
          <w:iCs/>
          <w:lang w:eastAsia="da-DK"/>
        </w:rPr>
      </w:pPr>
    </w:p>
    <w:p w:rsidR="00570EAE" w:rsidRDefault="000F6D32" w:rsidP="00570EAE">
      <w:pPr>
        <w:tabs>
          <w:tab w:val="left" w:pos="5670"/>
        </w:tabs>
        <w:spacing w:line="240" w:lineRule="auto"/>
        <w:jc w:val="both"/>
        <w:rPr>
          <w:noProof/>
          <w:lang w:eastAsia="da-DK"/>
        </w:rPr>
      </w:pPr>
      <w:r w:rsidRPr="00A30631">
        <w:rPr>
          <w:noProof/>
          <w:lang w:eastAsia="da-DK"/>
        </w:rPr>
        <w:lastRenderedPageBreak/>
        <w:drawing>
          <wp:inline distT="0" distB="0" distL="0" distR="0" wp14:anchorId="561EC761" wp14:editId="75D3B4BE">
            <wp:extent cx="5848350" cy="3990975"/>
            <wp:effectExtent l="0" t="0" r="0" b="9525"/>
            <wp:docPr id="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990975"/>
                    </a:xfrm>
                    <a:prstGeom prst="rect">
                      <a:avLst/>
                    </a:prstGeom>
                    <a:noFill/>
                    <a:ln>
                      <a:noFill/>
                    </a:ln>
                  </pic:spPr>
                </pic:pic>
              </a:graphicData>
            </a:graphic>
          </wp:inline>
        </w:drawing>
      </w:r>
    </w:p>
    <w:p w:rsidR="00570EAE" w:rsidRDefault="00570EAE" w:rsidP="00570EAE">
      <w:pPr>
        <w:tabs>
          <w:tab w:val="left" w:pos="5670"/>
        </w:tabs>
        <w:spacing w:line="240" w:lineRule="auto"/>
        <w:jc w:val="both"/>
        <w:rPr>
          <w:noProof/>
          <w:lang w:eastAsia="da-DK"/>
        </w:rPr>
      </w:pPr>
    </w:p>
    <w:p w:rsidR="00570EAE" w:rsidRPr="00275393" w:rsidRDefault="00570EAE" w:rsidP="00570EAE">
      <w:pPr>
        <w:tabs>
          <w:tab w:val="left" w:pos="5670"/>
        </w:tabs>
        <w:spacing w:line="240" w:lineRule="auto"/>
        <w:jc w:val="both"/>
        <w:rPr>
          <w:noProof/>
          <w:sz w:val="16"/>
          <w:szCs w:val="16"/>
          <w:lang w:eastAsia="da-DK"/>
        </w:rPr>
      </w:pPr>
      <w:r w:rsidRPr="00275393">
        <w:rPr>
          <w:noProof/>
          <w:sz w:val="16"/>
          <w:szCs w:val="16"/>
          <w:lang w:eastAsia="da-DK"/>
        </w:rPr>
        <w:t>Figur 1. Lokalplanområderne og Varmeværkets placering (skraveret).</w:t>
      </w:r>
    </w:p>
    <w:p w:rsidR="00570EAE" w:rsidRPr="009234DE" w:rsidRDefault="00570EAE" w:rsidP="00570EAE">
      <w:pPr>
        <w:pStyle w:val="Overskrift2"/>
        <w:numPr>
          <w:ilvl w:val="1"/>
          <w:numId w:val="1"/>
        </w:numPr>
        <w:spacing w:before="240" w:after="240"/>
      </w:pPr>
      <w:r w:rsidRPr="009234DE">
        <w:t>Spildevandsplan</w:t>
      </w:r>
    </w:p>
    <w:p w:rsidR="00570EAE" w:rsidRPr="009234DE" w:rsidRDefault="00570EAE" w:rsidP="00570EAE">
      <w:pPr>
        <w:rPr>
          <w:rFonts w:cs="Arial"/>
        </w:rPr>
      </w:pPr>
      <w:r w:rsidRPr="009234DE">
        <w:t>Billund Kommunes Spildevandsplan 2011-2018 er den gældende plan for spildevandshåndteringen i Billund Kommune. Fjernvarmeværket er beliggende i opland HE14. Oplandet er separatkloakeret.</w:t>
      </w:r>
      <w:r w:rsidRPr="009234DE">
        <w:rPr>
          <w:rFonts w:cs="Arial"/>
        </w:rPr>
        <w:t xml:space="preserve"> </w:t>
      </w:r>
    </w:p>
    <w:p w:rsidR="00570EAE" w:rsidRPr="009234DE" w:rsidRDefault="00570EAE" w:rsidP="00570EAE">
      <w:pPr>
        <w:pStyle w:val="Overskrift2"/>
        <w:numPr>
          <w:ilvl w:val="1"/>
          <w:numId w:val="1"/>
        </w:numPr>
        <w:spacing w:before="240" w:after="240"/>
      </w:pPr>
      <w:r w:rsidRPr="009234DE">
        <w:t>Vurdering af Virkninger på Miljøet (VVM)</w:t>
      </w:r>
    </w:p>
    <w:p w:rsidR="00570EAE" w:rsidRPr="009234DE" w:rsidRDefault="00570EAE" w:rsidP="00570EAE">
      <w:r w:rsidRPr="009234DE">
        <w:t xml:space="preserve">Fjernvarmeværket er omfattet af VVM-bekendtgørelsens bilag 2, pkt. 3a: ”Energiindustrien: Industrianlæg til fremstilling af elektricitet, damp og varmt vand”. </w:t>
      </w:r>
    </w:p>
    <w:p w:rsidR="00570EAE" w:rsidRPr="009234DE" w:rsidRDefault="00570EAE" w:rsidP="00570EAE">
      <w:r w:rsidRPr="009234DE">
        <w:t>VVM-bekendtgørelsens bilag 2, pkt. 14 omfatter ændringer eller udvidelser af anlæg i bilag 1 eller bilag 2, som allerede er godkendt, er udført eller er ved at blive udført, når de kan være til skade for miljøet. I overensstemmelse med bekendtgørelsens §3 stk. 1, har Billund Kommune foretaget en vurdering af, hvorvidt de af sagen omfattede udvidelser er omfattet af planlovens regler om udarbejdelse af VVM-redegørelse. Vurderingen er foretaget som en screening i henhold til kriterierne i VVM-bekendtgørelsens bilag 3. På baggrund af den foretagne screening er det kommunens vurdering, at udvidelserne ikke er VVM-pligtige.</w:t>
      </w:r>
    </w:p>
    <w:p w:rsidR="00570EAE" w:rsidRPr="009234DE" w:rsidRDefault="00570EAE" w:rsidP="00570EAE"/>
    <w:p w:rsidR="00570EAE" w:rsidRPr="009234DE" w:rsidRDefault="00570EAE" w:rsidP="00570EAE">
      <w:pPr>
        <w:pStyle w:val="Overskrift2"/>
        <w:numPr>
          <w:ilvl w:val="1"/>
          <w:numId w:val="1"/>
        </w:numPr>
        <w:spacing w:before="240" w:after="240"/>
      </w:pPr>
      <w:r w:rsidRPr="009234DE">
        <w:t>Internationale naturbeskyttelsesområder</w:t>
      </w:r>
    </w:p>
    <w:p w:rsidR="00570EAE" w:rsidRPr="009234DE" w:rsidRDefault="00570EAE" w:rsidP="00570EAE">
      <w:r w:rsidRPr="009234DE">
        <w:t>I henhold til §6 stk. 1 i Habitatbekendtgørelsen skal der foretages en vurdering af, om de af sagen omfattede udvidelser i sig selv, eller i forbindelse med andre planer og projekter, kan påvirke et Natura 2000-område væsentligt. Tilsvarende krav vedrørende påvirkning i relation til beskyttede arter fremgår af bekendtgørelsens §10.</w:t>
      </w:r>
    </w:p>
    <w:p w:rsidR="00570EAE" w:rsidRPr="009234DE" w:rsidRDefault="00570EAE" w:rsidP="00570EAE">
      <w:r w:rsidRPr="009234DE">
        <w:lastRenderedPageBreak/>
        <w:t>Nærmeste Natura 2000 område er Hedeområder ved St. Råbjerg nr. 85. Natura 2000 området er både habitatområde (H74) samt fuglebeskyttelsesområde (F48). Natura 2000 området ligger ca. 3 km. fra det ansøgte projekt.</w:t>
      </w:r>
    </w:p>
    <w:p w:rsidR="00570EAE" w:rsidRPr="009234DE" w:rsidRDefault="00570EAE" w:rsidP="00570EAE">
      <w:r w:rsidRPr="009234DE">
        <w:t>Billund Kommune har vurderet, at det ikke er sandsynligt, at projektet kan påvirke ovenstående Natura 2000 område væsentligt, og det er derfor besluttet ikke at foretage en konsekvensvurdering.</w:t>
      </w:r>
      <w:r w:rsidRPr="009234DE">
        <w:br/>
        <w:t>Vurderingen/afgørelsen er gennemført i henhold til §7 og 8 i ”Bekendtgørelse om udpegning og administration af internationale naturbeskyttelsesområder samt beskyttelse af visse arter” (bek.nr. 408 af 1. maj 2007).</w:t>
      </w:r>
    </w:p>
    <w:p w:rsidR="00570EAE" w:rsidRPr="009234DE" w:rsidRDefault="00570EAE" w:rsidP="00570EAE">
      <w:r w:rsidRPr="009234DE">
        <w:rPr>
          <w:u w:val="single"/>
        </w:rPr>
        <w:br/>
        <w:t>Særligt beskyttede arter og Bilag IV arter.</w:t>
      </w:r>
      <w:r w:rsidRPr="009234DE">
        <w:rPr>
          <w:u w:val="single"/>
        </w:rPr>
        <w:br/>
      </w:r>
      <w:r w:rsidRPr="009234DE">
        <w:t>Billund Kommune vurderer, at projektet ikke forringer levevilkårene for dyre- og plantearter omfattet af Habitatdirektivets bilag IV. Detaljeret kendskab til de enkelte arters forekomst indenfor og i nærheden af projektområdet haves dog ikke.</w:t>
      </w:r>
    </w:p>
    <w:p w:rsidR="00570EAE" w:rsidRPr="009234DE" w:rsidRDefault="00570EAE" w:rsidP="00570EAE">
      <w:r w:rsidRPr="009234DE">
        <w:rPr>
          <w:u w:val="single"/>
        </w:rPr>
        <w:br/>
        <w:t>Rødlistearter</w:t>
      </w:r>
      <w:r w:rsidRPr="009234DE">
        <w:rPr>
          <w:u w:val="single"/>
        </w:rPr>
        <w:br/>
      </w:r>
      <w:r w:rsidRPr="009234DE">
        <w:t>Den væsentligste årsag til, at dyre- og plantearter er så pressede at de optages på Rødlisten er, at deres levesteder er forsvundet. Arterne optræder ofte i små isolerede bestande og bliver desuden presset af klimaændringer og kvælstofdeposition mm. Billund Kommune har ikke kendskab til rødlistearter inden for projektområdet eller i nærområdet. Billund Kommune vurderer ikke at projektet vil have nogle væsentlige negative påvirkninger på rødlistearter.</w:t>
      </w:r>
    </w:p>
    <w:p w:rsidR="00570EAE" w:rsidRPr="009234DE" w:rsidRDefault="00570EAE" w:rsidP="00570EAE">
      <w:r w:rsidRPr="009234DE">
        <w:t>Vurderingen/afgørelsen er truffet efter §11 i bek. nr. 1828 af 16. december 2015.</w:t>
      </w:r>
    </w:p>
    <w:p w:rsidR="00570EAE" w:rsidRPr="009234DE" w:rsidRDefault="00570EAE" w:rsidP="00570EAE"/>
    <w:p w:rsidR="00570EAE" w:rsidRPr="009234DE" w:rsidRDefault="00570EAE" w:rsidP="00570EAE">
      <w:pPr>
        <w:pStyle w:val="Overskrift1"/>
        <w:numPr>
          <w:ilvl w:val="0"/>
          <w:numId w:val="1"/>
        </w:numPr>
        <w:spacing w:before="360" w:after="240"/>
        <w:ind w:left="431" w:hanging="431"/>
      </w:pPr>
      <w:bookmarkStart w:id="13" w:name="_Toc223777073"/>
      <w:bookmarkStart w:id="14" w:name="_Toc224005253"/>
      <w:r w:rsidRPr="009234DE">
        <w:t>Miljømæssig beskrivelse og begrundelse for afgørelsen</w:t>
      </w:r>
      <w:bookmarkEnd w:id="13"/>
      <w:bookmarkEnd w:id="14"/>
    </w:p>
    <w:p w:rsidR="00570EAE" w:rsidRPr="009234DE" w:rsidRDefault="00570EAE" w:rsidP="00570EAE">
      <w:pPr>
        <w:rPr>
          <w:rFonts w:cs="Arial"/>
        </w:rPr>
      </w:pPr>
      <w:r w:rsidRPr="009234DE">
        <w:rPr>
          <w:rFonts w:cs="Arial"/>
        </w:rPr>
        <w:t>Fjernvarmeværket er placeret på Østermarksvej 25, Hejnsvig, 10dy, Hejnsvig by, Hejnsvig</w:t>
      </w:r>
      <w:r w:rsidRPr="004B1AE9">
        <w:rPr>
          <w:rFonts w:cs="Arial"/>
        </w:rPr>
        <w:t xml:space="preserve">, </w:t>
      </w:r>
      <w:r w:rsidRPr="00275393">
        <w:rPr>
          <w:rFonts w:cs="Arial"/>
        </w:rPr>
        <w:t>se figur 1</w:t>
      </w:r>
      <w:r w:rsidRPr="004B1AE9">
        <w:rPr>
          <w:rFonts w:cs="Arial"/>
        </w:rPr>
        <w:t>.</w:t>
      </w:r>
    </w:p>
    <w:p w:rsidR="00570EAE" w:rsidRPr="009234DE" w:rsidRDefault="00570EAE" w:rsidP="00570EAE"/>
    <w:p w:rsidR="00570EAE" w:rsidRPr="009234DE" w:rsidRDefault="00570EAE" w:rsidP="00570EAE">
      <w:pPr>
        <w:rPr>
          <w:rFonts w:cs="Arial"/>
        </w:rPr>
      </w:pPr>
      <w:r w:rsidRPr="009234DE">
        <w:rPr>
          <w:rFonts w:cs="Arial"/>
        </w:rPr>
        <w:t xml:space="preserve">Hejnsvig Varmeværk er inkluderet på listen over de 85 naturgasfyrede værker med den højeste varmepris og har i fortsættelse heraf fået mulighed for at etablere et biomassebaseret varmeproduktionsanlæg. </w:t>
      </w:r>
    </w:p>
    <w:p w:rsidR="00570EAE" w:rsidRPr="009234DE" w:rsidRDefault="00570EAE" w:rsidP="00570EAE">
      <w:pPr>
        <w:rPr>
          <w:rFonts w:cs="Arial"/>
        </w:rPr>
      </w:pPr>
    </w:p>
    <w:p w:rsidR="00570EAE" w:rsidRPr="009234DE" w:rsidRDefault="00570EAE" w:rsidP="00570EAE">
      <w:pPr>
        <w:rPr>
          <w:rFonts w:cs="Arial"/>
        </w:rPr>
      </w:pPr>
    </w:p>
    <w:p w:rsidR="00570EAE" w:rsidRPr="009234DE" w:rsidRDefault="00570EAE" w:rsidP="00570EAE">
      <w:pPr>
        <w:pStyle w:val="Overskrift2"/>
        <w:numPr>
          <w:ilvl w:val="1"/>
          <w:numId w:val="1"/>
        </w:numPr>
        <w:spacing w:before="240" w:after="240"/>
      </w:pPr>
      <w:bookmarkStart w:id="15" w:name="_Toc223777074"/>
      <w:bookmarkStart w:id="16" w:name="_Toc224005254"/>
      <w:r w:rsidRPr="009234DE">
        <w:t>Indretning</w:t>
      </w:r>
      <w:bookmarkEnd w:id="15"/>
      <w:bookmarkEnd w:id="16"/>
    </w:p>
    <w:p w:rsidR="00570EAE" w:rsidRPr="009234DE" w:rsidRDefault="00570EAE" w:rsidP="00570EAE">
      <w:pPr>
        <w:rPr>
          <w:rFonts w:cs="Arial"/>
        </w:rPr>
      </w:pPr>
      <w:r w:rsidRPr="009234DE">
        <w:rPr>
          <w:rFonts w:cs="Arial"/>
        </w:rPr>
        <w:t>Hejnsvig Varmeværk a.m.b.a, beliggende Østermarksvej 25, 7250 Hejnsvig, producerer i dag sin varmeproduktion på 2 stk. gasmotorer, en gaskedel og solvarmeanlæg. Der er opstillet en 28 m skorsten og en ca</w:t>
      </w:r>
      <w:r>
        <w:rPr>
          <w:rFonts w:cs="Arial"/>
        </w:rPr>
        <w:t>.</w:t>
      </w:r>
      <w:r w:rsidRPr="009234DE">
        <w:rPr>
          <w:rFonts w:cs="Arial"/>
        </w:rPr>
        <w:t xml:space="preserve"> 15 m høj varmeakkumuleringstank på 1.100m3.</w:t>
      </w:r>
    </w:p>
    <w:p w:rsidR="00570EAE" w:rsidRPr="009234DE" w:rsidRDefault="00570EAE" w:rsidP="00570EAE">
      <w:pPr>
        <w:rPr>
          <w:rFonts w:cs="Arial"/>
        </w:rPr>
      </w:pPr>
    </w:p>
    <w:p w:rsidR="00570EAE" w:rsidRPr="009234DE" w:rsidRDefault="00570EAE" w:rsidP="00570EAE">
      <w:r w:rsidRPr="009234DE">
        <w:t>Der er opstillet solvarmeanlægget i tilknytning til varmeværket. Det udgør et samlet areal på 2,2 ha. Solfangerne er opstillet med en maksimal højde på 2,5 m.</w:t>
      </w:r>
    </w:p>
    <w:p w:rsidR="00570EAE" w:rsidRPr="009234DE" w:rsidRDefault="00570EAE" w:rsidP="00570EAE">
      <w:pPr>
        <w:rPr>
          <w:rFonts w:cs="Arial"/>
        </w:rPr>
      </w:pPr>
    </w:p>
    <w:p w:rsidR="00570EAE" w:rsidRPr="009234DE" w:rsidRDefault="00570EAE" w:rsidP="00570EAE">
      <w:pPr>
        <w:rPr>
          <w:rFonts w:cs="Arial"/>
        </w:rPr>
      </w:pPr>
      <w:r w:rsidRPr="009234DE">
        <w:rPr>
          <w:rFonts w:cs="Arial"/>
        </w:rPr>
        <w:t>På baggrund af ønsket om at producere varme billigst muligt ønsker Hejnsvig Varmeværk at etablere et biomassebaseret varmeproduktionsanlæg på 1,6 MW.</w:t>
      </w:r>
    </w:p>
    <w:p w:rsidR="00570EAE" w:rsidRPr="009234DE" w:rsidRDefault="00570EAE" w:rsidP="00570EAE">
      <w:pPr>
        <w:rPr>
          <w:rFonts w:cs="Arial"/>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Der etableres ny bygning, hvori der installeres 1 stk. 1,6 MW biobrændselskedel med tilhørende hjælpeanlæg, 1 stk. skorsten og 2 stk. træpille silo placeret på areal ved eksisterende bygning på Østermarksvej 25. </w:t>
      </w:r>
    </w:p>
    <w:p w:rsidR="00570EAE" w:rsidRPr="009234DE" w:rsidRDefault="00570EAE" w:rsidP="00570EAE">
      <w:pPr>
        <w:rPr>
          <w:rFonts w:cs="Arial"/>
          <w:lang w:eastAsia="da-DK"/>
        </w:rPr>
      </w:pPr>
    </w:p>
    <w:p w:rsidR="00570EAE" w:rsidRPr="009234DE" w:rsidRDefault="00570EAE" w:rsidP="00570EAE">
      <w:pPr>
        <w:rPr>
          <w:rFonts w:cs="Arial"/>
        </w:rPr>
      </w:pPr>
      <w:r w:rsidRPr="009234DE">
        <w:rPr>
          <w:rFonts w:cs="Arial"/>
          <w:lang w:eastAsia="da-DK"/>
        </w:rPr>
        <w:lastRenderedPageBreak/>
        <w:t>Spildevandsafledning fra virksomheden forbliver uændret. Der etableres tagnedløb med afledning til sandfangs brønd og faskine på eget grundstykke.</w:t>
      </w:r>
    </w:p>
    <w:p w:rsidR="00570EAE" w:rsidRPr="009234DE" w:rsidRDefault="00570EAE" w:rsidP="00570EAE">
      <w:pPr>
        <w:rPr>
          <w:rFonts w:cs="Arial"/>
        </w:rPr>
      </w:pPr>
    </w:p>
    <w:p w:rsidR="00570EAE" w:rsidRDefault="00570EAE" w:rsidP="00570EAE">
      <w:pPr>
        <w:rPr>
          <w:rFonts w:cs="Arial"/>
        </w:rPr>
      </w:pPr>
      <w:r w:rsidRPr="009234DE">
        <w:rPr>
          <w:rFonts w:cs="Arial"/>
        </w:rPr>
        <w:t>Områdets indretning fremgår af nedenstående figur.</w:t>
      </w:r>
    </w:p>
    <w:p w:rsidR="00570EAE" w:rsidRPr="009234DE" w:rsidRDefault="00570EAE" w:rsidP="00570EAE">
      <w:pPr>
        <w:rPr>
          <w:rFonts w:cs="Arial"/>
        </w:rPr>
      </w:pPr>
    </w:p>
    <w:p w:rsidR="00570EAE" w:rsidRPr="009234DE" w:rsidRDefault="000F6D32" w:rsidP="00570EAE">
      <w:r w:rsidRPr="00A30631">
        <w:rPr>
          <w:noProof/>
          <w:lang w:eastAsia="da-DK"/>
        </w:rPr>
        <w:drawing>
          <wp:inline distT="0" distB="0" distL="0" distR="0" wp14:anchorId="55C9DB6D" wp14:editId="3BF3CEEC">
            <wp:extent cx="5248275" cy="3209925"/>
            <wp:effectExtent l="0" t="0" r="9525" b="9525"/>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275" cy="3209925"/>
                    </a:xfrm>
                    <a:prstGeom prst="rect">
                      <a:avLst/>
                    </a:prstGeom>
                    <a:noFill/>
                    <a:ln>
                      <a:noFill/>
                    </a:ln>
                  </pic:spPr>
                </pic:pic>
              </a:graphicData>
            </a:graphic>
          </wp:inline>
        </w:drawing>
      </w:r>
    </w:p>
    <w:p w:rsidR="00570EAE" w:rsidRPr="009234DE" w:rsidRDefault="00570EAE" w:rsidP="00570EAE">
      <w:pPr>
        <w:rPr>
          <w:sz w:val="16"/>
          <w:szCs w:val="16"/>
        </w:rPr>
      </w:pPr>
      <w:r w:rsidRPr="00591816">
        <w:rPr>
          <w:sz w:val="16"/>
          <w:szCs w:val="16"/>
        </w:rPr>
        <w:t>Fig. 2: Områdets</w:t>
      </w:r>
      <w:r w:rsidRPr="009234DE">
        <w:rPr>
          <w:sz w:val="16"/>
          <w:szCs w:val="16"/>
        </w:rPr>
        <w:t xml:space="preserve"> indretning. </w:t>
      </w:r>
    </w:p>
    <w:p w:rsidR="00570EAE" w:rsidRPr="009234DE" w:rsidRDefault="00570EAE" w:rsidP="00570EAE">
      <w:pPr>
        <w:rPr>
          <w:sz w:val="16"/>
          <w:szCs w:val="16"/>
        </w:rPr>
      </w:pPr>
    </w:p>
    <w:p w:rsidR="00570EAE" w:rsidRDefault="00570EAE" w:rsidP="00570EAE">
      <w:pPr>
        <w:pStyle w:val="Overskrift2"/>
        <w:numPr>
          <w:ilvl w:val="1"/>
          <w:numId w:val="1"/>
        </w:numPr>
        <w:spacing w:before="240" w:after="240"/>
      </w:pPr>
      <w:r>
        <w:t>Drift</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Den årlige varmepro</w:t>
      </w:r>
      <w:r w:rsidR="00591816">
        <w:rPr>
          <w:rFonts w:cs="Arial"/>
          <w:lang w:eastAsia="da-DK"/>
        </w:rPr>
        <w:t>duktion for Hejnsvig Varmeværk a</w:t>
      </w:r>
      <w:r w:rsidRPr="009234DE">
        <w:rPr>
          <w:rFonts w:cs="Arial"/>
          <w:lang w:eastAsia="da-DK"/>
        </w:rPr>
        <w:t>.m.b.</w:t>
      </w:r>
      <w:r w:rsidR="00591816">
        <w:rPr>
          <w:rFonts w:cs="Arial"/>
          <w:lang w:eastAsia="da-DK"/>
        </w:rPr>
        <w:t>a</w:t>
      </w:r>
      <w:r w:rsidRPr="009234DE">
        <w:rPr>
          <w:rFonts w:cs="Arial"/>
          <w:lang w:eastAsia="da-DK"/>
        </w:rPr>
        <w:t xml:space="preserve"> udgør 9.419 MWh i et normalt år. </w:t>
      </w:r>
    </w:p>
    <w:p w:rsidR="00570EAE" w:rsidRPr="009234DE" w:rsidRDefault="00570EAE" w:rsidP="00570EAE">
      <w:pPr>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Varmeproduktionen på det nye anlæg vil foregå på alle tider af døgnet, ugen og året og vil blive suppleret fra det eksisterende anlæg ved eventuelle spidsbelastninger. </w:t>
      </w:r>
    </w:p>
    <w:p w:rsidR="00570EAE" w:rsidRPr="009234DE" w:rsidRDefault="00570EAE" w:rsidP="00570EAE">
      <w:pPr>
        <w:pStyle w:val="Brdtekstindrykning"/>
        <w:tabs>
          <w:tab w:val="left" w:pos="993"/>
        </w:tabs>
        <w:spacing w:line="280" w:lineRule="atLeast"/>
        <w:ind w:left="0" w:firstLine="0"/>
        <w:jc w:val="left"/>
        <w:rPr>
          <w:sz w:val="20"/>
          <w:szCs w:val="20"/>
        </w:rPr>
      </w:pPr>
    </w:p>
    <w:p w:rsidR="00570EAE" w:rsidRPr="009234DE" w:rsidRDefault="00570EAE" w:rsidP="00570EAE">
      <w:pPr>
        <w:pStyle w:val="Brdtekstindrykning"/>
        <w:tabs>
          <w:tab w:val="left" w:pos="993"/>
        </w:tabs>
        <w:spacing w:line="280" w:lineRule="atLeast"/>
        <w:ind w:left="0" w:firstLine="0"/>
        <w:jc w:val="left"/>
        <w:rPr>
          <w:sz w:val="20"/>
          <w:szCs w:val="20"/>
        </w:rPr>
      </w:pPr>
      <w:r w:rsidRPr="009234DE">
        <w:rPr>
          <w:sz w:val="20"/>
          <w:szCs w:val="20"/>
        </w:rPr>
        <w:t>El produktionen fra eksisterende gasmotorer kan foregå på alle tider af døgnet, ugen og året, dog kun når dette er rentabelt.</w:t>
      </w:r>
    </w:p>
    <w:p w:rsidR="00570EAE" w:rsidRPr="009234DE" w:rsidRDefault="00570EAE" w:rsidP="00570EAE">
      <w:pPr>
        <w:autoSpaceDE w:val="0"/>
        <w:autoSpaceDN w:val="0"/>
        <w:adjustRightInd w:val="0"/>
        <w:spacing w:line="240" w:lineRule="auto"/>
        <w:rPr>
          <w:rFonts w:cs="Arial"/>
          <w:b/>
          <w:bCs/>
          <w:lang w:eastAsia="da-DK"/>
        </w:rPr>
      </w:pPr>
    </w:p>
    <w:p w:rsidR="00570EAE" w:rsidRPr="009234DE" w:rsidRDefault="00570EAE" w:rsidP="00570EAE">
      <w:pPr>
        <w:autoSpaceDE w:val="0"/>
        <w:autoSpaceDN w:val="0"/>
        <w:adjustRightInd w:val="0"/>
        <w:spacing w:line="240" w:lineRule="auto"/>
        <w:rPr>
          <w:rFonts w:cs="Arial"/>
          <w:b/>
          <w:bCs/>
          <w:lang w:eastAsia="da-DK"/>
        </w:rPr>
      </w:pPr>
      <w:r w:rsidRPr="009234DE">
        <w:rPr>
          <w:rFonts w:cs="Arial"/>
          <w:b/>
          <w:bCs/>
          <w:lang w:eastAsia="da-DK"/>
        </w:rPr>
        <w:t xml:space="preserve">Eksisterende anlæg.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410"/>
        <w:gridCol w:w="1842"/>
      </w:tblGrid>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Gasmotorer: </w:t>
            </w: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El-ydelse</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2080 kW</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Varmeydelse</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3025 kW</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Indfyret</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5622 kW</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 xml:space="preserve">El-virkningsgrad </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37%</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Varmevirkningsgrad</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53,8%</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Gaskedel:</w:t>
            </w: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Varmeydelse</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2.658 kW</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Virkningsgrad</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101 %</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Solfangere: </w:t>
            </w: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5.766 m2 </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Akkumuleringstank: </w:t>
            </w: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 xml:space="preserve">Nyttevolumen </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1.000 m3 </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lang w:eastAsia="da-DK"/>
              </w:rPr>
              <w:t xml:space="preserve">Energiindhold </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63,7 MWh</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r>
    </w:tbl>
    <w:p w:rsidR="00570EAE" w:rsidRPr="009234DE" w:rsidRDefault="00570EAE" w:rsidP="00570EAE">
      <w:pPr>
        <w:rPr>
          <w:rFonts w:cs="Arial"/>
        </w:rPr>
      </w:pP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Der vil ikke ske ændringer i brændselstyper, øvrige stoffer eller maksimale mængder. Derfor henvises til gældende miljøgodkendelse for det eksisterende anlæg</w:t>
      </w:r>
      <w:r>
        <w:rPr>
          <w:rFonts w:cs="Arial"/>
          <w:lang w:eastAsia="da-DK"/>
        </w:rPr>
        <w:t>, bilag 2</w:t>
      </w:r>
      <w:r w:rsidRPr="009234DE">
        <w:rPr>
          <w:rFonts w:cs="Arial"/>
          <w:lang w:eastAsia="da-DK"/>
        </w:rPr>
        <w:t xml:space="preserve">. Dog gøres der opmærksom på at der er fejl i gældende miljøgodkendelse vedr. tanke til olier og spildolier. De faktiske forhold er som registreret i BBR 4 x 1200L. </w:t>
      </w:r>
    </w:p>
    <w:p w:rsidR="00570EAE" w:rsidRPr="009234DE" w:rsidRDefault="00570EAE" w:rsidP="00570EAE">
      <w:pPr>
        <w:rPr>
          <w:rFonts w:cs="Arial"/>
        </w:rPr>
      </w:pPr>
    </w:p>
    <w:p w:rsidR="00570EAE" w:rsidRPr="009234DE" w:rsidRDefault="00570EAE" w:rsidP="00570EAE">
      <w:pPr>
        <w:autoSpaceDE w:val="0"/>
        <w:autoSpaceDN w:val="0"/>
        <w:adjustRightInd w:val="0"/>
        <w:spacing w:line="240" w:lineRule="auto"/>
        <w:rPr>
          <w:rFonts w:cs="Arial"/>
          <w:lang w:eastAsia="da-DK"/>
        </w:rPr>
      </w:pPr>
      <w:r w:rsidRPr="009234DE">
        <w:rPr>
          <w:rFonts w:cs="Arial"/>
          <w:b/>
          <w:bCs/>
          <w:lang w:eastAsia="da-DK"/>
        </w:rPr>
        <w:t xml:space="preserve">Eksisterende Solvarme anlæg: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Solvarmeanlægget består af ca. 5800m2 solvarmepaneler, rørsystem og tank. Anlægget er påfyldt ca. 10.000 liter glykol blanding bestående af 40% monopro</w:t>
      </w:r>
      <w:r>
        <w:rPr>
          <w:rFonts w:cs="Arial"/>
          <w:lang w:eastAsia="da-DK"/>
        </w:rPr>
        <w:t>p</w:t>
      </w:r>
      <w:r w:rsidRPr="009234DE">
        <w:rPr>
          <w:rFonts w:cs="Arial"/>
          <w:lang w:eastAsia="da-DK"/>
        </w:rPr>
        <w:t xml:space="preserve">ylenglykol og 60% demineraliseret vand. </w:t>
      </w:r>
    </w:p>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Frem- og returløb fra solfangeranlægget er koblet til akkumuleringstanken ved varmeværket. Derudover er der 4 stk. ekspansionsbeholdere på 600 l. Alle rør er forsynet med kobbertråde til lokalisering af fugtdannelse herunder udslip. Anlægget er en lukket kreds uden behov for efterfyldning og der er derfor ikke et oplag af glykolblandingen. </w:t>
      </w:r>
    </w:p>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For beskrivelse</w:t>
      </w:r>
      <w:r>
        <w:rPr>
          <w:rFonts w:cs="Arial"/>
          <w:lang w:eastAsia="da-DK"/>
        </w:rPr>
        <w:t xml:space="preserve"> af solvarmeanlæg, beredskabsplan</w:t>
      </w:r>
      <w:r w:rsidRPr="009234DE">
        <w:rPr>
          <w:rFonts w:cs="Arial"/>
          <w:lang w:eastAsia="da-DK"/>
        </w:rPr>
        <w:t xml:space="preserve"> og datablad på monoproylenglykol</w:t>
      </w:r>
      <w:r w:rsidRPr="00275393">
        <w:rPr>
          <w:rFonts w:cs="Arial"/>
          <w:lang w:eastAsia="da-DK"/>
        </w:rPr>
        <w:t>, se bilag 5.</w:t>
      </w:r>
      <w:r w:rsidRPr="009234DE">
        <w:rPr>
          <w:rFonts w:cs="Arial"/>
          <w:lang w:eastAsia="da-DK"/>
        </w:rPr>
        <w:t xml:space="preserve"> </w:t>
      </w:r>
    </w:p>
    <w:p w:rsidR="00570EAE" w:rsidRPr="009234DE" w:rsidRDefault="00570EAE" w:rsidP="00570EAE">
      <w:pPr>
        <w:rPr>
          <w:rFonts w:cs="Arial"/>
        </w:rPr>
      </w:pPr>
    </w:p>
    <w:p w:rsidR="00570EAE" w:rsidRPr="009234DE" w:rsidRDefault="00570EAE" w:rsidP="00570EAE">
      <w:pPr>
        <w:rPr>
          <w:rFonts w:cs="Arial"/>
        </w:rPr>
      </w:pPr>
    </w:p>
    <w:p w:rsidR="00570EAE" w:rsidRPr="009234DE" w:rsidRDefault="00570EAE" w:rsidP="00570EAE">
      <w:pPr>
        <w:rPr>
          <w:rFonts w:cs="Arial"/>
          <w:b/>
        </w:rPr>
      </w:pPr>
      <w:r w:rsidRPr="009234DE">
        <w:rPr>
          <w:rFonts w:cs="Arial"/>
          <w:b/>
        </w:rPr>
        <w:t>Ny</w:t>
      </w:r>
      <w:r w:rsidR="00591816">
        <w:rPr>
          <w:rFonts w:cs="Arial"/>
          <w:b/>
        </w:rPr>
        <w:t>t biomassekedel-</w:t>
      </w:r>
      <w:r w:rsidRPr="009234DE">
        <w:rPr>
          <w:rFonts w:cs="Arial"/>
          <w:b/>
        </w:rPr>
        <w:t>anlæg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410"/>
        <w:gridCol w:w="1842"/>
      </w:tblGrid>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Biomasse kedel</w:t>
            </w:r>
          </w:p>
        </w:tc>
        <w:tc>
          <w:tcPr>
            <w:tcW w:w="2410"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Varmeydelse</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1600 kW</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rPr>
              <w:t>Indfyret</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1731 kW</w:t>
            </w:r>
          </w:p>
        </w:tc>
      </w:tr>
      <w:tr w:rsidR="00570EAE" w:rsidRPr="009234DE" w:rsidTr="00E81C8C">
        <w:tc>
          <w:tcPr>
            <w:tcW w:w="2107" w:type="dxa"/>
            <w:shd w:val="clear" w:color="auto" w:fill="auto"/>
          </w:tcPr>
          <w:p w:rsidR="00570EAE" w:rsidRPr="009234DE" w:rsidRDefault="00570EAE" w:rsidP="00E81C8C">
            <w:pPr>
              <w:autoSpaceDE w:val="0"/>
              <w:autoSpaceDN w:val="0"/>
              <w:adjustRightInd w:val="0"/>
              <w:spacing w:line="240" w:lineRule="auto"/>
              <w:rPr>
                <w:rFonts w:cs="Arial"/>
                <w:lang w:eastAsia="da-DK"/>
              </w:rPr>
            </w:pPr>
          </w:p>
        </w:tc>
        <w:tc>
          <w:tcPr>
            <w:tcW w:w="2410" w:type="dxa"/>
            <w:shd w:val="clear" w:color="auto" w:fill="auto"/>
          </w:tcPr>
          <w:p w:rsidR="00570EAE" w:rsidRPr="009234DE" w:rsidRDefault="00570EAE" w:rsidP="00E81C8C">
            <w:pPr>
              <w:autoSpaceDE w:val="0"/>
              <w:autoSpaceDN w:val="0"/>
              <w:adjustRightInd w:val="0"/>
              <w:spacing w:line="240" w:lineRule="auto"/>
              <w:rPr>
                <w:rFonts w:cs="Arial"/>
              </w:rPr>
            </w:pPr>
            <w:r w:rsidRPr="009234DE">
              <w:rPr>
                <w:rFonts w:cs="Arial"/>
              </w:rPr>
              <w:t>Virkningsgrad</w:t>
            </w:r>
          </w:p>
        </w:tc>
        <w:tc>
          <w:tcPr>
            <w:tcW w:w="1842" w:type="dxa"/>
            <w:shd w:val="clear" w:color="auto" w:fill="auto"/>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92,5%</w:t>
            </w:r>
          </w:p>
        </w:tc>
      </w:tr>
    </w:tbl>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b/>
          <w:bCs/>
          <w:lang w:eastAsia="da-DK"/>
        </w:rPr>
        <w:t xml:space="preserve">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Brændsel: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Årligt forbrug af biobrændsel i form af træpiller estimeres til 2700-3300 tons/år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Træpillerne lagres løbende i 2 træpille siloer med et samlet volumen på ca. 152 m3 og en samlet kapacitet på ca. 114 Ton. </w:t>
      </w:r>
    </w:p>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Råvand: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I forbindelse med installationen påfyldes procesvand i form af behandlet råvand påfyldningen er en engangspåfyldning, som sker gennem fjernvarmesystem tilknyttet det eksisterende anlæg på Østermarks vej 25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Som spædevand ved ekstraordinære utætheder i kedelsystem.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Som slukningsvand i tilfælde af ekstraordinær tilbagebrand i anlæg. </w:t>
      </w:r>
    </w:p>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Olie: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Til hydraulikstationer i forbindelser med biomassekedelanlægget vil der være behov for olie, som udgør ca. 100 l. pr. år. </w:t>
      </w:r>
    </w:p>
    <w:p w:rsidR="00570EAE" w:rsidRPr="009234DE" w:rsidRDefault="00570EAE" w:rsidP="00570EAE">
      <w:pPr>
        <w:autoSpaceDE w:val="0"/>
        <w:autoSpaceDN w:val="0"/>
        <w:adjustRightInd w:val="0"/>
        <w:spacing w:line="240" w:lineRule="auto"/>
        <w:rPr>
          <w:rFonts w:cs="Arial"/>
          <w:b/>
          <w:bCs/>
          <w:lang w:eastAsia="da-DK"/>
        </w:rPr>
      </w:pPr>
    </w:p>
    <w:p w:rsidR="00570EAE" w:rsidRPr="009234DE" w:rsidRDefault="00570EAE" w:rsidP="00570EAE">
      <w:pPr>
        <w:autoSpaceDE w:val="0"/>
        <w:autoSpaceDN w:val="0"/>
        <w:adjustRightInd w:val="0"/>
        <w:spacing w:line="240" w:lineRule="auto"/>
        <w:rPr>
          <w:rFonts w:cs="Arial"/>
          <w:b/>
          <w:bCs/>
          <w:lang w:eastAsia="da-DK"/>
        </w:rPr>
      </w:pPr>
    </w:p>
    <w:p w:rsidR="00570EAE" w:rsidRPr="009234DE" w:rsidRDefault="00570EAE" w:rsidP="00570EAE">
      <w:pPr>
        <w:pStyle w:val="Brdtekstindrykning"/>
        <w:tabs>
          <w:tab w:val="left" w:pos="993"/>
        </w:tabs>
        <w:spacing w:line="280" w:lineRule="atLeast"/>
        <w:ind w:left="0" w:firstLine="0"/>
        <w:jc w:val="left"/>
        <w:rPr>
          <w:b/>
          <w:sz w:val="20"/>
          <w:szCs w:val="20"/>
        </w:rPr>
      </w:pPr>
      <w:r w:rsidRPr="009234DE">
        <w:rPr>
          <w:b/>
          <w:sz w:val="20"/>
          <w:szCs w:val="20"/>
        </w:rPr>
        <w:t>Til- og frakørsel</w:t>
      </w: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Tilkørsel af biobrændsel ved maksimal drift udgør 1-2 tankbiler pr. uge. Støjbelastningen i denne forbindelse vurderes til at være acceptabel for erhvervsområdet. </w:t>
      </w: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Der er ikke yderligere transport til og fra værket. </w:t>
      </w:r>
    </w:p>
    <w:p w:rsidR="00570EAE" w:rsidRPr="009234DE" w:rsidRDefault="00570EAE" w:rsidP="00570EAE">
      <w:pPr>
        <w:pStyle w:val="Brdtekstindrykning"/>
        <w:tabs>
          <w:tab w:val="left" w:pos="993"/>
        </w:tabs>
        <w:spacing w:line="280" w:lineRule="atLeast"/>
        <w:ind w:left="0" w:firstLine="0"/>
        <w:jc w:val="left"/>
        <w:rPr>
          <w:sz w:val="20"/>
          <w:szCs w:val="20"/>
        </w:rPr>
      </w:pPr>
    </w:p>
    <w:p w:rsidR="00570EAE" w:rsidRPr="009234DE" w:rsidRDefault="00570EAE" w:rsidP="00570EAE">
      <w:pPr>
        <w:pStyle w:val="Brdtekstindrykning"/>
        <w:tabs>
          <w:tab w:val="left" w:pos="993"/>
        </w:tabs>
        <w:spacing w:line="280" w:lineRule="atLeast"/>
        <w:ind w:left="0" w:firstLine="0"/>
        <w:jc w:val="left"/>
        <w:rPr>
          <w:sz w:val="20"/>
          <w:szCs w:val="20"/>
        </w:rPr>
      </w:pPr>
    </w:p>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Pr>
        <w:rPr>
          <w:rFonts w:cs="Arial"/>
        </w:rPr>
      </w:pPr>
    </w:p>
    <w:p w:rsidR="00570EAE" w:rsidRPr="009234DE" w:rsidRDefault="00570EAE" w:rsidP="00570EAE">
      <w:pPr>
        <w:rPr>
          <w:rFonts w:cs="Arial"/>
        </w:rPr>
      </w:pPr>
    </w:p>
    <w:p w:rsidR="00570EAE" w:rsidRPr="009234DE" w:rsidRDefault="00570EAE" w:rsidP="00570EAE">
      <w:pPr>
        <w:rPr>
          <w:rFonts w:cs="Arial"/>
          <w:u w:val="single"/>
        </w:rPr>
      </w:pPr>
      <w:r w:rsidRPr="009234DE">
        <w:rPr>
          <w:rFonts w:cs="Arial"/>
          <w:u w:val="single"/>
        </w:rPr>
        <w:t>Generelt</w:t>
      </w:r>
    </w:p>
    <w:p w:rsidR="00570EAE" w:rsidRPr="009234DE" w:rsidRDefault="00570EAE" w:rsidP="00570EAE">
      <w:pPr>
        <w:rPr>
          <w:rFonts w:cs="Arial"/>
        </w:rPr>
      </w:pPr>
      <w:r w:rsidRPr="009234DE">
        <w:rPr>
          <w:rFonts w:cs="Arial"/>
        </w:rPr>
        <w:t>Udgangspunktet for revurdering af vilkår for værket er standardvilkår anført i afsnit 11 i standardvilkårsbekendtgørelsen: ”Generelt: vilkår 1 og 2”.</w:t>
      </w:r>
    </w:p>
    <w:p w:rsidR="00570EAE" w:rsidRPr="009234DE" w:rsidRDefault="00570EAE" w:rsidP="00570EAE">
      <w:pPr>
        <w:rPr>
          <w:rFonts w:cs="Arial"/>
        </w:rPr>
      </w:pPr>
    </w:p>
    <w:p w:rsidR="00570EAE" w:rsidRPr="009234DE" w:rsidRDefault="00570EAE" w:rsidP="00570EAE">
      <w:pPr>
        <w:rPr>
          <w:rFonts w:cs="Arial"/>
        </w:rPr>
      </w:pPr>
      <w:r w:rsidRPr="009234DE">
        <w:rPr>
          <w:rFonts w:cs="Arial"/>
        </w:rPr>
        <w:t>På den baggrund er standardvilkår nr. 1 vedrørende ophør af virksomhedens drift, samt standardvilkår nr. 2 om definition på befæstede arealer, fastsat i nærværende afgørelse.</w:t>
      </w:r>
    </w:p>
    <w:p w:rsidR="00570EAE" w:rsidRPr="009234DE" w:rsidRDefault="00570EAE" w:rsidP="00570EAE">
      <w:pPr>
        <w:rPr>
          <w:rFonts w:cs="Arial"/>
        </w:rPr>
      </w:pPr>
    </w:p>
    <w:p w:rsidR="00570EAE" w:rsidRPr="009234DE" w:rsidRDefault="00570EAE" w:rsidP="00570EAE">
      <w:pPr>
        <w:rPr>
          <w:rFonts w:cs="Arial"/>
          <w:u w:val="single"/>
        </w:rPr>
      </w:pPr>
      <w:r w:rsidRPr="009234DE">
        <w:rPr>
          <w:rFonts w:cs="Arial"/>
          <w:u w:val="single"/>
        </w:rPr>
        <w:t>Indretning og drift</w:t>
      </w:r>
    </w:p>
    <w:p w:rsidR="00570EAE" w:rsidRPr="009234DE" w:rsidRDefault="00570EAE" w:rsidP="00570EAE">
      <w:pPr>
        <w:rPr>
          <w:rFonts w:cs="Arial"/>
        </w:rPr>
      </w:pPr>
      <w:r w:rsidRPr="009234DE">
        <w:rPr>
          <w:rFonts w:cs="Arial"/>
        </w:rPr>
        <w:lastRenderedPageBreak/>
        <w:t>Udgangspunktet for fastsættelse af vilkår for indretning og drift af værket er standardvilkår anført i afsnit 11 i standardvilkårsbekendtgørelsen: ”Indretning og drift: vilkår 3 - 6”.</w:t>
      </w:r>
    </w:p>
    <w:p w:rsidR="00570EAE" w:rsidRPr="009234DE" w:rsidRDefault="00570EAE" w:rsidP="00570EAE">
      <w:pPr>
        <w:rPr>
          <w:rFonts w:cs="Arial"/>
        </w:rPr>
      </w:pPr>
    </w:p>
    <w:p w:rsidR="00570EAE" w:rsidRPr="009234DE" w:rsidRDefault="00570EAE" w:rsidP="00570EAE">
      <w:pPr>
        <w:rPr>
          <w:rFonts w:cs="Arial"/>
        </w:rPr>
      </w:pPr>
      <w:r w:rsidRPr="009234DE">
        <w:rPr>
          <w:rFonts w:cs="Arial"/>
        </w:rPr>
        <w:t>Vedrørende fastsættelse af vilkår om afkasthøjder, jf. standardvilkår 4, har virksomheden i forbindelse med ansøgning om godkendelsen af 9. december 1999 ladet foretage OML-beregninger af afkasthøjder for det eksisterende anlæg, afkasthøjde på 28 m er fastsat i vilkår D4. Tilsvarende er der for det nye biomassebaserede anlæg foretaget OML beregning af afkasthøjden. De to afkasthøjder indarbejdes i vilkåret.</w:t>
      </w:r>
    </w:p>
    <w:p w:rsidR="00570EAE" w:rsidRDefault="00570EAE" w:rsidP="00570EAE">
      <w:pPr>
        <w:rPr>
          <w:rFonts w:cs="Arial"/>
        </w:rPr>
      </w:pPr>
    </w:p>
    <w:p w:rsidR="00570EAE" w:rsidRDefault="00570EAE" w:rsidP="00570EAE">
      <w:pPr>
        <w:rPr>
          <w:rFonts w:cs="Arial"/>
        </w:rPr>
      </w:pPr>
      <w:r>
        <w:rPr>
          <w:rFonts w:cs="Arial"/>
        </w:rPr>
        <w:t xml:space="preserve">Vedrørende håndtering og aflæsning af faste brændsler er standardvilkår 5 suppleret med vilkår om at </w:t>
      </w:r>
      <w:r w:rsidRPr="009234DE">
        <w:t xml:space="preserve">Aflæsning og håndtering af faste brændsler skal ske </w:t>
      </w:r>
      <w:r>
        <w:t>direkte i dertil indrettede siloer.</w:t>
      </w:r>
    </w:p>
    <w:p w:rsidR="00570EAE" w:rsidRPr="009234DE" w:rsidRDefault="00570EAE" w:rsidP="00570EAE">
      <w:pPr>
        <w:rPr>
          <w:rFonts w:cs="Arial"/>
        </w:rPr>
      </w:pPr>
    </w:p>
    <w:p w:rsidR="00570EAE" w:rsidRPr="009234DE" w:rsidRDefault="00570EAE" w:rsidP="00570EAE">
      <w:pPr>
        <w:rPr>
          <w:rFonts w:cs="Arial"/>
        </w:rPr>
      </w:pPr>
      <w:r w:rsidRPr="009234DE">
        <w:rPr>
          <w:rFonts w:cs="Arial"/>
        </w:rPr>
        <w:t>Der er redegjort nærmere for luftforureningsforholdene i nedenstående afsnit 4.4 om luftforurening.</w:t>
      </w:r>
    </w:p>
    <w:p w:rsidR="00570EAE" w:rsidRPr="009234DE" w:rsidRDefault="00570EAE" w:rsidP="00570EAE">
      <w:pPr>
        <w:rPr>
          <w:rFonts w:cs="Arial"/>
        </w:rPr>
      </w:pPr>
    </w:p>
    <w:p w:rsidR="00570EAE" w:rsidRPr="009234DE" w:rsidRDefault="00570EAE" w:rsidP="00570EAE">
      <w:pPr>
        <w:rPr>
          <w:rFonts w:cs="Arial"/>
        </w:rPr>
      </w:pPr>
    </w:p>
    <w:p w:rsidR="00570EAE" w:rsidRPr="00275393" w:rsidRDefault="00570EAE" w:rsidP="00570EAE">
      <w:pPr>
        <w:rPr>
          <w:rFonts w:cs="Arial"/>
          <w:u w:val="single"/>
        </w:rPr>
      </w:pPr>
      <w:r w:rsidRPr="00275393">
        <w:rPr>
          <w:rFonts w:cs="Arial"/>
          <w:u w:val="single"/>
        </w:rPr>
        <w:t>Til- og frakørsel</w:t>
      </w:r>
    </w:p>
    <w:p w:rsidR="00570EAE" w:rsidRPr="00275393" w:rsidRDefault="00570EAE" w:rsidP="00570EAE">
      <w:pPr>
        <w:rPr>
          <w:rFonts w:cs="Arial"/>
        </w:rPr>
      </w:pPr>
      <w:r w:rsidRPr="00275393">
        <w:rPr>
          <w:rFonts w:cs="Arial"/>
        </w:rPr>
        <w:t xml:space="preserve">Det er Billund Kommunes vurdering, at udvidelsen og ændringen kun medfører en begrænset forøgelse af transporten på de lokale indfaldsveje til anlægget. Med baggrund i adgangsforholdene til anlægget og beliggenheden af nærmeste nabobeboelser vurderer Billund Kommune, at transport til og fra anlægget vil kunne foregå uden væsentlige miljømæssige gener for omgivelserne. </w:t>
      </w:r>
    </w:p>
    <w:p w:rsidR="00570EAE" w:rsidRPr="009234DE" w:rsidRDefault="00570EAE" w:rsidP="00570EAE">
      <w:pPr>
        <w:rPr>
          <w:rFonts w:cs="Arial"/>
        </w:rPr>
      </w:pPr>
    </w:p>
    <w:p w:rsidR="00570EAE" w:rsidRPr="009234DE" w:rsidRDefault="00570EAE" w:rsidP="00570EAE">
      <w:pPr>
        <w:pStyle w:val="Overskrift2"/>
        <w:numPr>
          <w:ilvl w:val="1"/>
          <w:numId w:val="1"/>
        </w:numPr>
        <w:spacing w:before="240" w:after="240"/>
      </w:pPr>
      <w:bookmarkStart w:id="17" w:name="_Toc223777075"/>
      <w:bookmarkStart w:id="18" w:name="_Toc224005259"/>
      <w:r w:rsidRPr="009234DE">
        <w:t>Støj</w:t>
      </w:r>
      <w:bookmarkEnd w:id="17"/>
      <w:bookmarkEnd w:id="18"/>
    </w:p>
    <w:p w:rsidR="00570EAE" w:rsidRPr="009234DE" w:rsidRDefault="00570EAE" w:rsidP="00570EAE">
      <w:pPr>
        <w:autoSpaceDE w:val="0"/>
        <w:autoSpaceDN w:val="0"/>
        <w:adjustRightInd w:val="0"/>
        <w:spacing w:line="276" w:lineRule="auto"/>
        <w:rPr>
          <w:rFonts w:cs="Arial"/>
          <w:lang w:eastAsia="da-DK"/>
        </w:rPr>
      </w:pPr>
      <w:r w:rsidRPr="009234DE">
        <w:rPr>
          <w:rFonts w:cs="Arial"/>
          <w:b/>
          <w:bCs/>
          <w:lang w:eastAsia="da-DK"/>
        </w:rPr>
        <w:t xml:space="preserve">For planlagte ny-opførelse af Biomasse kedel: </w:t>
      </w:r>
    </w:p>
    <w:p w:rsidR="00570EAE" w:rsidRPr="009234DE" w:rsidRDefault="00570EAE" w:rsidP="00570EAE">
      <w:pPr>
        <w:autoSpaceDE w:val="0"/>
        <w:autoSpaceDN w:val="0"/>
        <w:adjustRightInd w:val="0"/>
        <w:spacing w:line="276" w:lineRule="auto"/>
        <w:rPr>
          <w:rFonts w:cs="Arial"/>
          <w:bCs/>
          <w:lang w:eastAsia="da-DK"/>
        </w:rPr>
      </w:pPr>
      <w:r w:rsidRPr="009234DE">
        <w:rPr>
          <w:rFonts w:cs="Arial"/>
          <w:bCs/>
          <w:lang w:eastAsia="da-DK"/>
        </w:rPr>
        <w:t>Støj- og vibrationskilder er:</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Røggassugere</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Pumper</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Forbrændingsluftblæsere</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Skorsten</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Ventilationsindtag</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Afkast</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Udblæsningsrør fra sikkerhedsventiler</w:t>
      </w:r>
    </w:p>
    <w:p w:rsidR="00570EAE" w:rsidRPr="009234DE" w:rsidRDefault="00570EAE" w:rsidP="00570EAE">
      <w:pPr>
        <w:numPr>
          <w:ilvl w:val="0"/>
          <w:numId w:val="38"/>
        </w:numPr>
        <w:autoSpaceDE w:val="0"/>
        <w:autoSpaceDN w:val="0"/>
        <w:adjustRightInd w:val="0"/>
        <w:spacing w:line="276" w:lineRule="auto"/>
        <w:rPr>
          <w:rFonts w:cs="Arial"/>
          <w:bCs/>
          <w:lang w:eastAsia="da-DK"/>
        </w:rPr>
      </w:pPr>
      <w:r w:rsidRPr="009234DE">
        <w:rPr>
          <w:rFonts w:cs="Arial"/>
          <w:bCs/>
          <w:lang w:eastAsia="da-DK"/>
        </w:rPr>
        <w:t>Riste</w:t>
      </w:r>
    </w:p>
    <w:p w:rsidR="00570EAE" w:rsidRPr="009234DE" w:rsidRDefault="00570EAE" w:rsidP="00570EAE">
      <w:pPr>
        <w:autoSpaceDE w:val="0"/>
        <w:autoSpaceDN w:val="0"/>
        <w:adjustRightInd w:val="0"/>
        <w:spacing w:line="276" w:lineRule="auto"/>
        <w:rPr>
          <w:rFonts w:cs="Arial"/>
          <w:bCs/>
          <w:lang w:eastAsia="da-DK"/>
        </w:rPr>
      </w:pPr>
    </w:p>
    <w:p w:rsidR="00570EAE" w:rsidRPr="009234DE" w:rsidRDefault="00570EAE" w:rsidP="00570EAE">
      <w:pPr>
        <w:autoSpaceDE w:val="0"/>
        <w:autoSpaceDN w:val="0"/>
        <w:adjustRightInd w:val="0"/>
        <w:spacing w:line="276" w:lineRule="auto"/>
        <w:rPr>
          <w:rFonts w:cs="Arial"/>
          <w:lang w:eastAsia="da-DK"/>
        </w:rPr>
      </w:pPr>
      <w:r w:rsidRPr="009234DE">
        <w:rPr>
          <w:rFonts w:cs="Arial"/>
          <w:bCs/>
          <w:lang w:eastAsia="da-DK"/>
        </w:rPr>
        <w:t xml:space="preserve">Alle støjende komponenter vil blive individuelt støjisoleret/-afskærmet, således at støjgrænserne i skel er overholdt. </w:t>
      </w:r>
      <w:r w:rsidRPr="009234DE">
        <w:rPr>
          <w:rFonts w:cs="Arial"/>
          <w:lang w:eastAsia="da-DK"/>
        </w:rPr>
        <w:t xml:space="preserve">Vibrationerne reduceres mest muligt ved at opstille nævnte komponenter på svingningsdæmpere. </w:t>
      </w:r>
    </w:p>
    <w:p w:rsidR="00570EAE" w:rsidRPr="009234DE" w:rsidRDefault="00570EAE" w:rsidP="00570EAE">
      <w:pPr>
        <w:autoSpaceDE w:val="0"/>
        <w:autoSpaceDN w:val="0"/>
        <w:adjustRightInd w:val="0"/>
        <w:spacing w:line="276" w:lineRule="auto"/>
        <w:rPr>
          <w:rFonts w:cs="Arial"/>
          <w:b/>
          <w:bCs/>
          <w:lang w:eastAsia="da-DK"/>
        </w:rPr>
      </w:pPr>
    </w:p>
    <w:p w:rsidR="00570EAE" w:rsidRPr="009234DE" w:rsidRDefault="00570EAE" w:rsidP="00570EAE">
      <w:pPr>
        <w:autoSpaceDE w:val="0"/>
        <w:autoSpaceDN w:val="0"/>
        <w:adjustRightInd w:val="0"/>
        <w:spacing w:line="276" w:lineRule="auto"/>
        <w:rPr>
          <w:rFonts w:cs="Arial"/>
          <w:lang w:eastAsia="da-DK"/>
        </w:rPr>
      </w:pPr>
      <w:r w:rsidRPr="009234DE">
        <w:rPr>
          <w:rFonts w:cs="Arial"/>
          <w:lang w:eastAsia="da-DK"/>
        </w:rPr>
        <w:t xml:space="preserve">Støj i forbindelse med tilkørsel af brændsel i form af biobrændsel, leveret med tankbil, vil primært ske i dag timerne. </w:t>
      </w:r>
    </w:p>
    <w:p w:rsidR="00570EAE" w:rsidRPr="009234DE" w:rsidRDefault="00570EAE" w:rsidP="00570EAE">
      <w:pPr>
        <w:autoSpaceDE w:val="0"/>
        <w:autoSpaceDN w:val="0"/>
        <w:adjustRightInd w:val="0"/>
        <w:spacing w:line="276" w:lineRule="auto"/>
        <w:rPr>
          <w:rFonts w:cs="Arial"/>
          <w:b/>
          <w:bCs/>
          <w:lang w:eastAsia="da-DK"/>
        </w:rPr>
      </w:pPr>
    </w:p>
    <w:p w:rsidR="00570EAE" w:rsidRPr="009234DE" w:rsidRDefault="00570EAE" w:rsidP="00570EAE">
      <w:pPr>
        <w:autoSpaceDE w:val="0"/>
        <w:autoSpaceDN w:val="0"/>
        <w:adjustRightInd w:val="0"/>
        <w:spacing w:line="276" w:lineRule="auto"/>
        <w:rPr>
          <w:rFonts w:cs="Arial"/>
          <w:b/>
          <w:lang w:eastAsia="da-DK"/>
        </w:rPr>
      </w:pPr>
      <w:r w:rsidRPr="009234DE">
        <w:rPr>
          <w:rFonts w:cs="Arial"/>
          <w:b/>
          <w:lang w:eastAsia="da-DK"/>
        </w:rPr>
        <w:t xml:space="preserve">Ny Ansøgning biomasseanlæg: </w:t>
      </w:r>
    </w:p>
    <w:p w:rsidR="00570EAE" w:rsidRPr="009234DE" w:rsidRDefault="00570EAE" w:rsidP="00570EAE">
      <w:pPr>
        <w:autoSpaceDE w:val="0"/>
        <w:autoSpaceDN w:val="0"/>
        <w:adjustRightInd w:val="0"/>
        <w:spacing w:line="276" w:lineRule="auto"/>
        <w:rPr>
          <w:rFonts w:cs="Arial"/>
          <w:lang w:eastAsia="da-DK"/>
        </w:rPr>
      </w:pPr>
      <w:r w:rsidRPr="009234DE">
        <w:rPr>
          <w:rFonts w:cs="Arial"/>
          <w:lang w:eastAsia="da-DK"/>
        </w:rPr>
        <w:t xml:space="preserve">Kildestyrker på de enkelte komponenter vurderes til at være uvæsentlige, da støjende komponenter som sugere, blæsere pumper mm., vil blive individuelt isoleret for støj efter behov. </w:t>
      </w:r>
    </w:p>
    <w:p w:rsidR="00570EAE" w:rsidRPr="009234DE" w:rsidRDefault="00570EAE" w:rsidP="00570EAE">
      <w:pPr>
        <w:autoSpaceDE w:val="0"/>
        <w:autoSpaceDN w:val="0"/>
        <w:adjustRightInd w:val="0"/>
        <w:spacing w:line="276" w:lineRule="auto"/>
        <w:rPr>
          <w:rFonts w:cs="Arial"/>
          <w:lang w:eastAsia="da-DK"/>
        </w:rPr>
      </w:pPr>
    </w:p>
    <w:p w:rsidR="00570EAE" w:rsidRPr="009234DE" w:rsidRDefault="00570EAE" w:rsidP="00570EAE">
      <w:pPr>
        <w:autoSpaceDE w:val="0"/>
        <w:autoSpaceDN w:val="0"/>
        <w:adjustRightInd w:val="0"/>
        <w:spacing w:line="276" w:lineRule="auto"/>
        <w:rPr>
          <w:rFonts w:cs="Arial"/>
          <w:b/>
          <w:bCs/>
          <w:lang w:eastAsia="da-DK"/>
        </w:rPr>
      </w:pPr>
    </w:p>
    <w:p w:rsidR="00570EAE" w:rsidRPr="009234DE" w:rsidRDefault="00570EAE" w:rsidP="00570EAE">
      <w:pPr>
        <w:autoSpaceDE w:val="0"/>
        <w:autoSpaceDN w:val="0"/>
        <w:adjustRightInd w:val="0"/>
        <w:spacing w:line="276" w:lineRule="auto"/>
        <w:rPr>
          <w:rFonts w:cs="Arial"/>
          <w:lang w:eastAsia="da-DK"/>
        </w:rPr>
      </w:pPr>
      <w:r w:rsidRPr="009234DE">
        <w:rPr>
          <w:rFonts w:cs="Arial"/>
          <w:b/>
          <w:bCs/>
          <w:lang w:eastAsia="da-DK"/>
        </w:rPr>
        <w:t xml:space="preserve">For det eksisterende Solvarme anlæg: </w:t>
      </w:r>
    </w:p>
    <w:p w:rsidR="00570EAE" w:rsidRPr="009234DE" w:rsidRDefault="00570EAE" w:rsidP="00570EAE">
      <w:pPr>
        <w:autoSpaceDE w:val="0"/>
        <w:autoSpaceDN w:val="0"/>
        <w:adjustRightInd w:val="0"/>
        <w:spacing w:line="276" w:lineRule="auto"/>
        <w:rPr>
          <w:rFonts w:cs="Arial"/>
          <w:lang w:eastAsia="da-DK"/>
        </w:rPr>
      </w:pPr>
      <w:r w:rsidRPr="009234DE">
        <w:rPr>
          <w:rFonts w:cs="Arial"/>
          <w:lang w:eastAsia="da-DK"/>
        </w:rPr>
        <w:t xml:space="preserve">Der forekommer ingen støj fra anlægget udendørs. Pumperne til anlægget er placeret indendørs i eksisterende støjdæmpede bygning. </w:t>
      </w:r>
    </w:p>
    <w:p w:rsidR="00570EAE" w:rsidRPr="009234DE" w:rsidRDefault="00570EAE" w:rsidP="00570EAE">
      <w:pPr>
        <w:autoSpaceDE w:val="0"/>
        <w:autoSpaceDN w:val="0"/>
        <w:adjustRightInd w:val="0"/>
        <w:spacing w:line="276" w:lineRule="auto"/>
        <w:rPr>
          <w:rFonts w:cs="Arial"/>
          <w:bCs/>
          <w:lang w:eastAsia="da-DK"/>
        </w:rPr>
      </w:pPr>
    </w:p>
    <w:p w:rsidR="00570EAE" w:rsidRPr="009234DE" w:rsidRDefault="00570EAE" w:rsidP="00570EAE">
      <w:pPr>
        <w:autoSpaceDE w:val="0"/>
        <w:autoSpaceDN w:val="0"/>
        <w:adjustRightInd w:val="0"/>
        <w:spacing w:line="276" w:lineRule="auto"/>
        <w:rPr>
          <w:rFonts w:cs="Arial"/>
          <w:lang w:eastAsia="da-DK"/>
        </w:rPr>
      </w:pPr>
      <w:r w:rsidRPr="009234DE">
        <w:rPr>
          <w:rFonts w:cs="Arial"/>
          <w:b/>
          <w:bCs/>
          <w:lang w:eastAsia="da-DK"/>
        </w:rPr>
        <w:t xml:space="preserve">For det eksisterende N-gas anlæg: </w:t>
      </w:r>
    </w:p>
    <w:p w:rsidR="00570EAE" w:rsidRPr="009234DE" w:rsidRDefault="00570EAE" w:rsidP="00570EAE">
      <w:pPr>
        <w:autoSpaceDE w:val="0"/>
        <w:autoSpaceDN w:val="0"/>
        <w:adjustRightInd w:val="0"/>
        <w:spacing w:line="276" w:lineRule="auto"/>
        <w:rPr>
          <w:rFonts w:cs="Arial"/>
          <w:lang w:eastAsia="da-DK"/>
        </w:rPr>
      </w:pPr>
      <w:r w:rsidRPr="009234DE">
        <w:rPr>
          <w:rFonts w:cs="Arial"/>
          <w:lang w:eastAsia="da-DK"/>
        </w:rPr>
        <w:t xml:space="preserve">Generelt er der støjdæmpet, så støjgrænserne i skel, jf. lokalplanen er overholdt. </w:t>
      </w:r>
    </w:p>
    <w:p w:rsidR="00570EAE" w:rsidRPr="009234DE" w:rsidRDefault="00570EAE" w:rsidP="00570EAE">
      <w:pPr>
        <w:autoSpaceDE w:val="0"/>
        <w:autoSpaceDN w:val="0"/>
        <w:adjustRightInd w:val="0"/>
        <w:spacing w:line="276" w:lineRule="auto"/>
        <w:rPr>
          <w:rFonts w:cs="Arial"/>
          <w:lang w:eastAsia="da-DK"/>
        </w:rPr>
      </w:pPr>
      <w:r w:rsidRPr="009234DE">
        <w:rPr>
          <w:rFonts w:cs="Arial"/>
          <w:lang w:eastAsia="da-DK"/>
        </w:rPr>
        <w:t xml:space="preserve">Eksisterende støjkilder er: </w:t>
      </w:r>
    </w:p>
    <w:p w:rsidR="00570EAE" w:rsidRPr="009234DE" w:rsidRDefault="00570EAE" w:rsidP="00570EAE">
      <w:pPr>
        <w:numPr>
          <w:ilvl w:val="0"/>
          <w:numId w:val="37"/>
        </w:numPr>
        <w:autoSpaceDE w:val="0"/>
        <w:autoSpaceDN w:val="0"/>
        <w:adjustRightInd w:val="0"/>
        <w:spacing w:line="276" w:lineRule="auto"/>
        <w:rPr>
          <w:rFonts w:cs="Arial"/>
          <w:lang w:eastAsia="da-DK"/>
        </w:rPr>
      </w:pPr>
      <w:r w:rsidRPr="009234DE">
        <w:rPr>
          <w:rFonts w:cs="Arial"/>
          <w:lang w:eastAsia="da-DK"/>
        </w:rPr>
        <w:t xml:space="preserve">Gasmotorer og gaskedel, </w:t>
      </w:r>
    </w:p>
    <w:p w:rsidR="00570EAE" w:rsidRPr="009234DE" w:rsidRDefault="00570EAE" w:rsidP="00570EAE">
      <w:pPr>
        <w:numPr>
          <w:ilvl w:val="0"/>
          <w:numId w:val="37"/>
        </w:numPr>
        <w:autoSpaceDE w:val="0"/>
        <w:autoSpaceDN w:val="0"/>
        <w:adjustRightInd w:val="0"/>
        <w:spacing w:line="276" w:lineRule="auto"/>
        <w:rPr>
          <w:rFonts w:cs="Arial"/>
          <w:lang w:eastAsia="da-DK"/>
        </w:rPr>
      </w:pPr>
      <w:r w:rsidRPr="009234DE">
        <w:rPr>
          <w:rFonts w:cs="Arial"/>
          <w:lang w:eastAsia="da-DK"/>
        </w:rPr>
        <w:t xml:space="preserve">Skorsten, </w:t>
      </w:r>
    </w:p>
    <w:p w:rsidR="00570EAE" w:rsidRPr="009234DE" w:rsidRDefault="00570EAE" w:rsidP="00570EAE">
      <w:pPr>
        <w:numPr>
          <w:ilvl w:val="0"/>
          <w:numId w:val="37"/>
        </w:numPr>
        <w:autoSpaceDE w:val="0"/>
        <w:autoSpaceDN w:val="0"/>
        <w:adjustRightInd w:val="0"/>
        <w:spacing w:line="276" w:lineRule="auto"/>
        <w:rPr>
          <w:rFonts w:cs="Arial"/>
          <w:lang w:eastAsia="da-DK"/>
        </w:rPr>
      </w:pPr>
      <w:r w:rsidRPr="009234DE">
        <w:rPr>
          <w:rFonts w:cs="Arial"/>
          <w:lang w:eastAsia="da-DK"/>
        </w:rPr>
        <w:t xml:space="preserve">Ventilationsindtag og afkast, </w:t>
      </w:r>
    </w:p>
    <w:p w:rsidR="00570EAE" w:rsidRPr="009234DE" w:rsidRDefault="00570EAE" w:rsidP="00570EAE">
      <w:pPr>
        <w:numPr>
          <w:ilvl w:val="0"/>
          <w:numId w:val="37"/>
        </w:numPr>
        <w:autoSpaceDE w:val="0"/>
        <w:autoSpaceDN w:val="0"/>
        <w:adjustRightInd w:val="0"/>
        <w:spacing w:line="276" w:lineRule="auto"/>
        <w:rPr>
          <w:rFonts w:cs="Arial"/>
          <w:lang w:eastAsia="da-DK"/>
        </w:rPr>
      </w:pPr>
      <w:r w:rsidRPr="009234DE">
        <w:rPr>
          <w:rFonts w:cs="Arial"/>
          <w:lang w:eastAsia="da-DK"/>
        </w:rPr>
        <w:t xml:space="preserve">Udblæsningsrør fra sikkerhedsventiler. </w:t>
      </w:r>
    </w:p>
    <w:p w:rsidR="00570EAE" w:rsidRPr="009234DE" w:rsidRDefault="00570EAE" w:rsidP="00570EAE">
      <w:pPr>
        <w:autoSpaceDE w:val="0"/>
        <w:autoSpaceDN w:val="0"/>
        <w:adjustRightInd w:val="0"/>
        <w:spacing w:line="276" w:lineRule="auto"/>
        <w:rPr>
          <w:rFonts w:cs="Arial"/>
          <w:lang w:eastAsia="da-DK"/>
        </w:rPr>
      </w:pPr>
    </w:p>
    <w:p w:rsidR="00570EAE" w:rsidRPr="009234DE" w:rsidRDefault="00570EAE" w:rsidP="00570EAE">
      <w:pPr>
        <w:autoSpaceDE w:val="0"/>
        <w:autoSpaceDN w:val="0"/>
        <w:adjustRightInd w:val="0"/>
        <w:spacing w:line="276" w:lineRule="auto"/>
        <w:rPr>
          <w:rFonts w:cs="Arial"/>
          <w:bCs/>
          <w:lang w:eastAsia="da-DK"/>
        </w:rPr>
      </w:pPr>
      <w:r w:rsidRPr="009234DE">
        <w:rPr>
          <w:rFonts w:cs="Arial"/>
          <w:lang w:eastAsia="da-DK"/>
        </w:rPr>
        <w:t xml:space="preserve">Gasmotorerne er placeret i støjdæmpende motorceller og opstillet på vibrationsdæmpere og selvstændigt fundament. Støjen dæmpes inden udledning til omgivelserne. </w:t>
      </w:r>
      <w:r w:rsidRPr="009234DE">
        <w:rPr>
          <w:rFonts w:cs="Arial"/>
          <w:bCs/>
          <w:lang w:eastAsia="da-DK"/>
        </w:rPr>
        <w:t>I ventilationsindtag og afkast etableres lydbafler til støjdæmpning. I røggassystemet monteres lyddæmpere til dæmpning af udstødsstøj.</w:t>
      </w:r>
    </w:p>
    <w:p w:rsidR="00570EAE" w:rsidRPr="009234DE" w:rsidRDefault="00570EAE" w:rsidP="00570EAE">
      <w:pPr>
        <w:autoSpaceDE w:val="0"/>
        <w:autoSpaceDN w:val="0"/>
        <w:adjustRightInd w:val="0"/>
        <w:spacing w:line="240" w:lineRule="auto"/>
        <w:rPr>
          <w:rFonts w:cs="Arial"/>
          <w:b/>
          <w:bCs/>
          <w:lang w:eastAsia="da-DK"/>
        </w:rPr>
      </w:pPr>
    </w:p>
    <w:p w:rsidR="00570EAE" w:rsidRPr="009234DE" w:rsidRDefault="00570EAE" w:rsidP="00570EAE">
      <w:pPr>
        <w:autoSpaceDE w:val="0"/>
        <w:autoSpaceDN w:val="0"/>
        <w:adjustRightInd w:val="0"/>
        <w:spacing w:line="240" w:lineRule="auto"/>
        <w:rPr>
          <w:rFonts w:cs="Arial"/>
          <w:b/>
          <w:bCs/>
          <w:lang w:eastAsia="da-DK"/>
        </w:rPr>
      </w:pPr>
    </w:p>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 w:rsidR="00570EAE" w:rsidRPr="009234DE" w:rsidRDefault="00570EAE" w:rsidP="00570EAE">
      <w:r w:rsidRPr="009234DE">
        <w:t>Virksomheden er beliggende i lokalplanområde udlagt til håndværksvirksomhed og let industri. Inden for området er der i lokalplanen fastsat støjgrænser 55/45/40 dB(A). I skel mod boligområde beliggende ca. 160 m vest og sydvest for virksomheden er den vejledende støjgrænse 45/40/35dB(A).</w:t>
      </w:r>
    </w:p>
    <w:p w:rsidR="00570EAE" w:rsidRPr="009234DE" w:rsidRDefault="00570EAE" w:rsidP="00570EAE"/>
    <w:p w:rsidR="00570EAE" w:rsidRPr="009234DE" w:rsidRDefault="00570EAE" w:rsidP="00570EAE">
      <w:r w:rsidRPr="009234DE">
        <w:t xml:space="preserve">De nugældende lokalplanområder i værkets omgivelser er vist i </w:t>
      </w:r>
      <w:r>
        <w:t>bilag 3</w:t>
      </w:r>
      <w:r w:rsidRPr="009234DE">
        <w:t>. Det fremgår heraf, at værket mod nord, vest og syd grænser op til håndværks- og industrivirksomheder og mod øst grænser op til område udlagt til solfangeranlæg.</w:t>
      </w:r>
    </w:p>
    <w:p w:rsidR="00570EAE" w:rsidRPr="009234DE" w:rsidRDefault="00570EAE" w:rsidP="00570EAE"/>
    <w:p w:rsidR="00570EAE" w:rsidRPr="009234DE" w:rsidRDefault="00570EAE" w:rsidP="00570EAE">
      <w:r w:rsidRPr="009234DE">
        <w:t>I den eksisterende godkendelse fra 1999 er der fastsat støjgrænser i vilkår D2 (</w:t>
      </w:r>
      <w:r w:rsidRPr="00275393">
        <w:t>se bilag 2).</w:t>
      </w:r>
      <w:r w:rsidRPr="009234DE">
        <w:t xml:space="preserve"> Støjgrænserne er fastlagt i overensstemmelse med betragtningerne i Miljøstyrelsens vejledning nr. 5/1984 om ekstern støj fra virksomheder.</w:t>
      </w:r>
    </w:p>
    <w:p w:rsidR="00570EAE" w:rsidRPr="009234DE" w:rsidRDefault="00570EAE" w:rsidP="00570EAE"/>
    <w:p w:rsidR="00570EAE" w:rsidRPr="009234DE" w:rsidRDefault="00570EAE" w:rsidP="00570EAE">
      <w:r w:rsidRPr="009234DE">
        <w:t xml:space="preserve">I vilkår D3 er fastsat, at der senest 6 mdr. efter værket er sat i drift skal udføres støjdokumentation. </w:t>
      </w:r>
    </w:p>
    <w:p w:rsidR="00570EAE" w:rsidRPr="009234DE" w:rsidRDefault="00570EAE" w:rsidP="00570EAE"/>
    <w:p w:rsidR="00570EAE" w:rsidRPr="009234DE" w:rsidRDefault="00570EAE" w:rsidP="00570EAE">
      <w:r w:rsidRPr="009234DE">
        <w:t>Støjgrænserne i den eksisterende godkendelse videreføres i nærværende afgørelse, idet der dog suppleres med støjgrænser i skel til boligområde vest og sydvest for virksomheden. Der stilles vilkår om dokumentation for overholdelse af støjgrænserne senest 6 måneder efter idriftsættelse af det nye anlæg.</w:t>
      </w:r>
    </w:p>
    <w:p w:rsidR="00570EAE" w:rsidRPr="009234DE" w:rsidRDefault="00570EAE" w:rsidP="00570EAE"/>
    <w:p w:rsidR="00570EAE" w:rsidRPr="009234DE" w:rsidRDefault="00570EAE" w:rsidP="00570EAE">
      <w:pPr>
        <w:rPr>
          <w:u w:val="single"/>
        </w:rPr>
      </w:pPr>
      <w:r w:rsidRPr="009234DE">
        <w:rPr>
          <w:u w:val="single"/>
        </w:rPr>
        <w:t>Lavfrekvent støj, infralyd og vibrationer</w:t>
      </w:r>
    </w:p>
    <w:p w:rsidR="00570EAE" w:rsidRPr="009234DE" w:rsidRDefault="00570EAE" w:rsidP="00570EAE"/>
    <w:p w:rsidR="00570EAE" w:rsidRPr="009234DE" w:rsidRDefault="00570EAE" w:rsidP="00570EAE">
      <w:r w:rsidRPr="009234DE">
        <w:t>I den eksisterende miljøgodkendelse er der ikke foretaget vurderinger eller opstillet vilkår omkring lavfrekvent støj, infralyd og vibrationer.</w:t>
      </w:r>
    </w:p>
    <w:p w:rsidR="00570EAE" w:rsidRPr="009234DE" w:rsidRDefault="00570EAE" w:rsidP="00570EAE"/>
    <w:p w:rsidR="00570EAE" w:rsidRPr="009234DE" w:rsidRDefault="00570EAE" w:rsidP="00570EAE">
      <w:r w:rsidRPr="009234DE">
        <w:t xml:space="preserve">I henhold til Miljøstyrelsens Orientering nr. 9/1997 er et varmeværk en potentiel kilde til frembringelse af lavfrekvent støj, infralyd og vibrationer. I revurderingen vil der blive stillet vilkår om overholdelse af grænseværdier for lavfrekvent støj, infralyd og vibrationer. Der stilles ligeledes vilkår om, at grænseværdierne på kommunens opfordring skal dokumenteres overholdt. </w:t>
      </w:r>
    </w:p>
    <w:p w:rsidR="00570EAE" w:rsidRPr="009234DE" w:rsidRDefault="00570EAE" w:rsidP="00570EAE"/>
    <w:p w:rsidR="00570EAE" w:rsidRPr="009234DE" w:rsidRDefault="00570EAE" w:rsidP="00570EAE">
      <w:pPr>
        <w:pStyle w:val="Overskrift2"/>
        <w:numPr>
          <w:ilvl w:val="1"/>
          <w:numId w:val="1"/>
        </w:numPr>
        <w:spacing w:before="240" w:after="240"/>
      </w:pPr>
      <w:r w:rsidRPr="009234DE">
        <w:t>Luftforurening</w:t>
      </w:r>
    </w:p>
    <w:p w:rsidR="00570EAE" w:rsidRPr="009234DE" w:rsidRDefault="00570EAE" w:rsidP="00570EAE">
      <w:r w:rsidRPr="009234DE">
        <w:t>Varmeværket har følgende anlæg, som emitterer forskellige forureninger til udeluften:</w:t>
      </w:r>
    </w:p>
    <w:p w:rsidR="00570EAE" w:rsidRPr="009234DE" w:rsidRDefault="00570EAE" w:rsidP="00570EAE">
      <w:pPr>
        <w:numPr>
          <w:ilvl w:val="0"/>
          <w:numId w:val="31"/>
        </w:numPr>
      </w:pPr>
      <w:r w:rsidRPr="009234DE">
        <w:lastRenderedPageBreak/>
        <w:t>Anlæg, der fyrer med biomasseaffald: Støv, CO, PAH, NOx og lugtstoffer.</w:t>
      </w:r>
    </w:p>
    <w:p w:rsidR="00570EAE" w:rsidRPr="009234DE" w:rsidRDefault="00570EAE" w:rsidP="00570EAE">
      <w:pPr>
        <w:numPr>
          <w:ilvl w:val="0"/>
          <w:numId w:val="31"/>
        </w:numPr>
      </w:pPr>
      <w:r w:rsidRPr="009234DE">
        <w:t>Gasmotorer, der fyrer med forgasningsgas eller naturgas: CO, NO</w:t>
      </w:r>
      <w:r w:rsidRPr="009234DE">
        <w:rPr>
          <w:vertAlign w:val="subscript"/>
        </w:rPr>
        <w:t>x</w:t>
      </w:r>
      <w:r w:rsidRPr="009234DE">
        <w:t>, UHC, formaldehyd, smøreolie og lugtstoffer.</w:t>
      </w:r>
    </w:p>
    <w:p w:rsidR="00570EAE" w:rsidRPr="009234DE" w:rsidRDefault="00570EAE" w:rsidP="00570EAE">
      <w:pPr>
        <w:numPr>
          <w:ilvl w:val="0"/>
          <w:numId w:val="31"/>
        </w:numPr>
      </w:pPr>
      <w:r w:rsidRPr="009234DE">
        <w:t>Kedler, der fyrer med naturgas eller LPG: CO og NO</w:t>
      </w:r>
      <w:r w:rsidRPr="009234DE">
        <w:rPr>
          <w:vertAlign w:val="subscript"/>
        </w:rPr>
        <w:t>x</w:t>
      </w:r>
      <w:r w:rsidRPr="009234DE">
        <w:t>.</w:t>
      </w:r>
    </w:p>
    <w:p w:rsidR="00570EAE" w:rsidRPr="009234DE" w:rsidRDefault="00570EAE" w:rsidP="00570EAE"/>
    <w:p w:rsidR="00570EAE" w:rsidRPr="009234DE" w:rsidRDefault="00570EAE" w:rsidP="00570EAE">
      <w:r w:rsidRPr="009234DE">
        <w:t xml:space="preserve">På nedenstående figur er placeringen af virksomhedens eksisterende </w:t>
      </w:r>
      <w:r>
        <w:t xml:space="preserve">og kommende </w:t>
      </w:r>
      <w:r w:rsidRPr="009234DE">
        <w:t>afkast vist.</w:t>
      </w:r>
    </w:p>
    <w:p w:rsidR="00570EAE" w:rsidRDefault="00570EAE" w:rsidP="00570EAE"/>
    <w:p w:rsidR="00570EAE" w:rsidRDefault="00570EAE" w:rsidP="00570EAE"/>
    <w:p w:rsidR="00570EAE" w:rsidRPr="009234DE" w:rsidRDefault="000F6D32" w:rsidP="00570EAE">
      <w:r w:rsidRPr="00A30631">
        <w:rPr>
          <w:noProof/>
          <w:lang w:eastAsia="da-DK"/>
        </w:rPr>
        <w:drawing>
          <wp:inline distT="0" distB="0" distL="0" distR="0" wp14:anchorId="135603E9" wp14:editId="65E0C2C1">
            <wp:extent cx="5857875" cy="4200525"/>
            <wp:effectExtent l="0" t="0" r="9525" b="9525"/>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7875" cy="4200525"/>
                    </a:xfrm>
                    <a:prstGeom prst="rect">
                      <a:avLst/>
                    </a:prstGeom>
                    <a:noFill/>
                    <a:ln>
                      <a:noFill/>
                    </a:ln>
                  </pic:spPr>
                </pic:pic>
              </a:graphicData>
            </a:graphic>
          </wp:inline>
        </w:drawing>
      </w:r>
    </w:p>
    <w:p w:rsidR="00570EAE" w:rsidRPr="009234DE" w:rsidRDefault="00570EAE" w:rsidP="00570EAE">
      <w:pPr>
        <w:rPr>
          <w:sz w:val="16"/>
          <w:szCs w:val="16"/>
        </w:rPr>
      </w:pPr>
      <w:r w:rsidRPr="00591816">
        <w:rPr>
          <w:sz w:val="16"/>
          <w:szCs w:val="16"/>
        </w:rPr>
        <w:t>Fig. 3:</w:t>
      </w:r>
      <w:r w:rsidRPr="009234DE">
        <w:rPr>
          <w:sz w:val="16"/>
          <w:szCs w:val="16"/>
        </w:rPr>
        <w:t xml:space="preserve"> </w:t>
      </w:r>
      <w:r>
        <w:rPr>
          <w:sz w:val="16"/>
          <w:szCs w:val="16"/>
        </w:rPr>
        <w:t>Placering af afkast, - hhv. eksisterende skorsten, 28m og kommende skorsten, 20m</w:t>
      </w:r>
      <w:r w:rsidRPr="009234DE">
        <w:rPr>
          <w:sz w:val="16"/>
          <w:szCs w:val="16"/>
        </w:rPr>
        <w:t xml:space="preserve">. </w:t>
      </w:r>
    </w:p>
    <w:p w:rsidR="00570EAE" w:rsidRPr="009234DE" w:rsidRDefault="00570EAE" w:rsidP="00570EAE"/>
    <w:p w:rsidR="00570EAE" w:rsidRPr="009234DE" w:rsidRDefault="00570EAE" w:rsidP="00570EAE">
      <w:r w:rsidRPr="009234DE">
        <w:t>I afsnit 11 i standardvilkårsbekendtgørelsen er der i vilkår 7 opstillet emissionsgrænseværdier for støv, CO og NOx for kedelanlæg. I gasmotorbekendtgørelsen er der opstillet emissionsgrænseværdier for CO og NOx for gasmotorer.</w:t>
      </w:r>
    </w:p>
    <w:p w:rsidR="00570EAE" w:rsidRPr="009234DE" w:rsidRDefault="00570EAE" w:rsidP="00570EAE"/>
    <w:p w:rsidR="00570EAE" w:rsidRPr="009234DE" w:rsidRDefault="00570EAE" w:rsidP="00570EAE">
      <w:pPr>
        <w:rPr>
          <w:b/>
        </w:rPr>
      </w:pPr>
      <w:r w:rsidRPr="009234DE">
        <w:rPr>
          <w:b/>
        </w:rPr>
        <w:t>Eksisterende anlæg</w:t>
      </w:r>
    </w:p>
    <w:p w:rsidR="00570EAE" w:rsidRPr="009234DE" w:rsidRDefault="00570EAE" w:rsidP="00570EAE">
      <w:r w:rsidRPr="009234DE">
        <w:t>I forbindelse med meddelelsen af virksomhedens godkendelse fra 1999 er der på baggrund af emissioner svarende til de dagældende grænseværdier udført OML-beregninger af virksomhedens immissionskoncentrationsbidrag i omgivelserne af NOx og lugt.</w:t>
      </w:r>
    </w:p>
    <w:p w:rsidR="00570EAE" w:rsidRPr="009234DE" w:rsidRDefault="00570EAE" w:rsidP="00570EAE"/>
    <w:p w:rsidR="00570EAE" w:rsidRPr="009234DE" w:rsidRDefault="00570EAE" w:rsidP="00570EAE">
      <w:r w:rsidRPr="009234DE">
        <w:t>Beregningerne viste, at Gasmotorernes immissionskoncentrationsbidrag i omgivelserne af NOx og lugt var på hhv. 53µg/Nm3 og 3LE/Nm3 mg/m</w:t>
      </w:r>
      <w:r w:rsidRPr="009234DE">
        <w:rPr>
          <w:vertAlign w:val="superscript"/>
        </w:rPr>
        <w:t>3</w:t>
      </w:r>
      <w:r w:rsidRPr="009234DE">
        <w:t xml:space="preserve"> ved afkasthøjder på 28 m. Virksomheden kunne herved overholde gasmotorbekendtgørelsens grænseværdier for virksomhedens immissionskoncentrationsbidrag af NO</w:t>
      </w:r>
      <w:r w:rsidRPr="009234DE">
        <w:rPr>
          <w:vertAlign w:val="subscript"/>
        </w:rPr>
        <w:t>x</w:t>
      </w:r>
      <w:r w:rsidRPr="009234DE">
        <w:t>, på 0,125 mg/Nm</w:t>
      </w:r>
      <w:r w:rsidRPr="009234DE">
        <w:rPr>
          <w:vertAlign w:val="superscript"/>
        </w:rPr>
        <w:t>3</w:t>
      </w:r>
      <w:r w:rsidRPr="009234DE">
        <w:t>.</w:t>
      </w:r>
    </w:p>
    <w:p w:rsidR="00570EAE" w:rsidRPr="009234DE" w:rsidRDefault="00570EAE" w:rsidP="00570EAE"/>
    <w:p w:rsidR="00570EAE" w:rsidRPr="004B1AE9" w:rsidRDefault="00570EAE" w:rsidP="00570EAE">
      <w:r w:rsidRPr="009234DE">
        <w:t xml:space="preserve">Virksomheden har efterfølgende ladet foretage emissionsmålinger </w:t>
      </w:r>
      <w:r>
        <w:t xml:space="preserve">på gasmotorerne i henhold til gasmotorbekendtgørelsen, bek.nr. 1450 af 20.december 2012. For anlæg med mindre end 1500 driftstimer, skal der emissionsmåles hvert 3. år. Seneste måling er foretaget i 2013 og viser at </w:t>
      </w:r>
      <w:r>
        <w:lastRenderedPageBreak/>
        <w:t xml:space="preserve">grænseværdierne er overholdt. </w:t>
      </w:r>
      <w:r w:rsidRPr="004B1AE9">
        <w:t>De</w:t>
      </w:r>
      <w:r w:rsidRPr="00275393">
        <w:t xml:space="preserve"> anvendte afkasthøjder vurderes</w:t>
      </w:r>
      <w:r>
        <w:t xml:space="preserve"> derfor</w:t>
      </w:r>
      <w:r w:rsidRPr="00275393">
        <w:t xml:space="preserve"> fortsat at sikre overholdelse af gældende B-værdier.</w:t>
      </w:r>
    </w:p>
    <w:p w:rsidR="00570EAE" w:rsidRPr="009234DE" w:rsidRDefault="00570EAE" w:rsidP="00570EAE"/>
    <w:p w:rsidR="00570EAE" w:rsidRPr="009234DE" w:rsidRDefault="00570EAE" w:rsidP="00570EAE">
      <w:r w:rsidRPr="009234DE">
        <w:t>Miljøstyrelsen har i lugtvejledningen</w:t>
      </w:r>
      <w:r w:rsidRPr="009234DE">
        <w:rPr>
          <w:rStyle w:val="Fodnotehenvisning"/>
        </w:rPr>
        <w:footnoteReference w:id="5"/>
      </w:r>
      <w:r w:rsidRPr="009234DE">
        <w:t xml:space="preserve"> fastsat vejledende grænseværdier for virksomheders bidrag til lugtpåvirkningen i omgivelserne. For boligområder er den vejledende grænseværdi anført til 5 – 10 LE/m</w:t>
      </w:r>
      <w:r w:rsidRPr="009234DE">
        <w:rPr>
          <w:vertAlign w:val="superscript"/>
        </w:rPr>
        <w:t>3</w:t>
      </w:r>
      <w:r w:rsidRPr="009234DE">
        <w:t>, mens den i industriområder og deciderede landområder i visse tilfælde kan lempes med en faktor 2 – 3.</w:t>
      </w:r>
    </w:p>
    <w:p w:rsidR="00570EAE" w:rsidRPr="009234DE" w:rsidRDefault="00570EAE" w:rsidP="00570EAE"/>
    <w:p w:rsidR="00570EAE" w:rsidRPr="009234DE" w:rsidRDefault="00570EAE" w:rsidP="00570EAE">
      <w:r w:rsidRPr="009234DE">
        <w:t>I miljøgodkendelsen fra 1999 var der gennemført en beregning af lugtstofemissionen ved skorstenshøjde på 28 m. den maksimale lugtstofemission er bestemt til 3 LE/Nm3. I beregningen er benyttet målte lugtkoncentrationer fra tilsvarende anlæg</w:t>
      </w:r>
    </w:p>
    <w:p w:rsidR="00570EAE" w:rsidRPr="009234DE" w:rsidRDefault="00570EAE" w:rsidP="00570EAE"/>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Der vil ikke ske ændringer i anlægget, som desuden er underlagt løbende kontrollerende målinger.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Behovet for drift med anlægget vil desuden blive reduceret betragteligt i forbindelse med den planlagte udvidelse. Derfor henvises til gældende miljøgodkendelse for det eksisterende anlæg</w:t>
      </w:r>
      <w:r>
        <w:rPr>
          <w:rFonts w:cs="Arial"/>
          <w:lang w:eastAsia="da-DK"/>
        </w:rPr>
        <w:t>, Bilag 2.</w:t>
      </w:r>
      <w:r w:rsidRPr="009234DE">
        <w:rPr>
          <w:rFonts w:cs="Arial"/>
          <w:lang w:eastAsia="da-DK"/>
        </w:rPr>
        <w:t xml:space="preserve"> </w:t>
      </w:r>
    </w:p>
    <w:p w:rsidR="00570EAE" w:rsidRPr="009234DE" w:rsidRDefault="00570EAE" w:rsidP="00570EAE"/>
    <w:p w:rsidR="00570EAE" w:rsidRPr="009234DE" w:rsidRDefault="00570EAE" w:rsidP="00570EAE">
      <w:pPr>
        <w:autoSpaceDE w:val="0"/>
        <w:autoSpaceDN w:val="0"/>
        <w:adjustRightInd w:val="0"/>
        <w:spacing w:line="240" w:lineRule="auto"/>
        <w:rPr>
          <w:rFonts w:cs="Arial"/>
          <w:lang w:eastAsia="da-DK"/>
        </w:rPr>
      </w:pPr>
      <w:r w:rsidRPr="009234DE">
        <w:rPr>
          <w:rFonts w:cs="Arial"/>
          <w:b/>
          <w:bCs/>
          <w:lang w:eastAsia="da-DK"/>
        </w:rPr>
        <w:t xml:space="preserve">For det eksisterende Solvarme anlæg: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Der forekommer ingen immission fra anlægget. </w:t>
      </w:r>
    </w:p>
    <w:p w:rsidR="00570EAE" w:rsidRPr="009234DE" w:rsidRDefault="00570EAE" w:rsidP="00570EAE"/>
    <w:p w:rsidR="00570EAE" w:rsidRPr="009234DE" w:rsidRDefault="00570EAE" w:rsidP="00570EAE">
      <w:pPr>
        <w:autoSpaceDE w:val="0"/>
        <w:autoSpaceDN w:val="0"/>
        <w:adjustRightInd w:val="0"/>
        <w:spacing w:line="240" w:lineRule="auto"/>
        <w:rPr>
          <w:rFonts w:cs="Arial"/>
          <w:lang w:eastAsia="da-DK"/>
        </w:rPr>
      </w:pPr>
      <w:r w:rsidRPr="009234DE">
        <w:rPr>
          <w:rFonts w:cs="Arial"/>
          <w:b/>
          <w:bCs/>
          <w:lang w:eastAsia="da-DK"/>
        </w:rPr>
        <w:t xml:space="preserve">For planlagte ny-opførelse af Biomasse kedel: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Der er for udvidelsen med biomasse-kedel foretaget OML beregninger for NOx, CO og støv ved en skorstenshøjde på 20 m.</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OML-beregningerne er udført med baggrund i en spidsbelastning af varmeproduktionen, hvor de 1,6 MW fra den biomassefyrede kedel suppleres med 0,7 MW fra gaskedlen for at opnå den maksimale varmeproduktion på 2,3MW: </w:t>
      </w:r>
    </w:p>
    <w:p w:rsidR="00570EAE" w:rsidRPr="009234DE" w:rsidRDefault="00570EAE" w:rsidP="00570EAE">
      <w:pPr>
        <w:autoSpaceDE w:val="0"/>
        <w:autoSpaceDN w:val="0"/>
        <w:adjustRightInd w:val="0"/>
        <w:spacing w:after="243" w:line="240" w:lineRule="auto"/>
        <w:ind w:left="720"/>
        <w:rPr>
          <w:rFonts w:cs="Arial"/>
          <w:lang w:eastAsia="da-DK"/>
        </w:rPr>
      </w:pPr>
      <w:r w:rsidRPr="009234DE">
        <w:rPr>
          <w:rFonts w:cs="Arial"/>
          <w:lang w:eastAsia="da-DK"/>
        </w:rPr>
        <w:t xml:space="preserve">- største immision af CO forekommer i Juli måned hvor CO beregnes til 0,108 mg/Nm3 , hvilket er mindre end den tilladelig B-værdi på 1,00 mg/Nm3 </w:t>
      </w:r>
    </w:p>
    <w:p w:rsidR="00570EAE" w:rsidRPr="009234DE" w:rsidRDefault="00570EAE" w:rsidP="00570EAE">
      <w:pPr>
        <w:autoSpaceDE w:val="0"/>
        <w:autoSpaceDN w:val="0"/>
        <w:adjustRightInd w:val="0"/>
        <w:spacing w:after="243" w:line="240" w:lineRule="auto"/>
        <w:ind w:left="720"/>
        <w:rPr>
          <w:rFonts w:cs="Arial"/>
          <w:lang w:eastAsia="da-DK"/>
        </w:rPr>
      </w:pPr>
      <w:r w:rsidRPr="009234DE">
        <w:rPr>
          <w:rFonts w:cs="Arial"/>
          <w:lang w:eastAsia="da-DK"/>
        </w:rPr>
        <w:t xml:space="preserve">- største immision af NOx forekommer i Juni måned hvor NOx beregnes til 0,052 mg/Nm3 , hvilket er mindre end den tilladelig B-værdi på 0,125 mg/Nm3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 største immision af støv forekommer i Juli måned hvor støv beregnes til 0,008 mg/Nm3 , hvilket er mindre end den tilladelig B-værdi på 0,08 mg/Nm3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Vedrørende røggasemissioner henvises til OML-beregninger i ansøgningen</w:t>
      </w:r>
      <w:r>
        <w:rPr>
          <w:rFonts w:cs="Arial"/>
          <w:lang w:eastAsia="da-DK"/>
        </w:rPr>
        <w:t xml:space="preserve">. </w:t>
      </w:r>
      <w:r w:rsidRPr="009234DE">
        <w:rPr>
          <w:rFonts w:cs="Arial"/>
          <w:lang w:eastAsia="da-DK"/>
        </w:rPr>
        <w:t xml:space="preserve">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Anlægs og emissionsdata ved beregningen: </w:t>
      </w:r>
    </w:p>
    <w:p w:rsidR="00570EAE" w:rsidRPr="009234DE" w:rsidRDefault="00570EAE" w:rsidP="00570EAE">
      <w:pPr>
        <w:autoSpaceDE w:val="0"/>
        <w:autoSpaceDN w:val="0"/>
        <w:adjustRightInd w:val="0"/>
        <w:spacing w:line="240" w:lineRule="auto"/>
        <w:rPr>
          <w:rFonts w:cs="Arial"/>
          <w:lang w:eastAsia="da-DK"/>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068"/>
      </w:tblGrid>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i/>
                <w:iCs/>
                <w:lang w:eastAsia="da-DK"/>
              </w:rPr>
              <w:t>Nyt kedelanlæg (Biomasse)</w:t>
            </w:r>
            <w:r w:rsidRPr="009234DE">
              <w:rPr>
                <w:rFonts w:cs="Arial"/>
                <w:lang w:eastAsia="da-DK"/>
              </w:rPr>
              <w:t xml:space="preserve">Type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Biobrændselskedel </w:t>
            </w:r>
          </w:p>
        </w:tc>
      </w:tr>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Antal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 </w:t>
            </w:r>
          </w:p>
        </w:tc>
      </w:tr>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Brændsel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Biobrændsel </w:t>
            </w:r>
          </w:p>
        </w:tc>
      </w:tr>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Effekt, Varmeproduktion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1,6 MW </w:t>
            </w:r>
          </w:p>
        </w:tc>
      </w:tr>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Indfyret effekt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1,77 MW </w:t>
            </w:r>
          </w:p>
        </w:tc>
      </w:tr>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Brændværdi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17 MJ/kg </w:t>
            </w:r>
          </w:p>
        </w:tc>
      </w:tr>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Indfyret brændsel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366 kg/h </w:t>
            </w:r>
          </w:p>
        </w:tc>
      </w:tr>
      <w:tr w:rsidR="00570EAE" w:rsidRPr="009234DE" w:rsidTr="00E81C8C">
        <w:trPr>
          <w:trHeight w:val="136"/>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Røggasmængde, våd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0,79 Nm3/s </w:t>
            </w:r>
          </w:p>
        </w:tc>
      </w:tr>
      <w:tr w:rsidR="00570EAE" w:rsidRPr="009234DE" w:rsidTr="00E81C8C">
        <w:trPr>
          <w:trHeight w:val="136"/>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Røggasmængde, tør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0,71 Nm3/s </w:t>
            </w:r>
          </w:p>
        </w:tc>
      </w:tr>
      <w:tr w:rsidR="00570EAE" w:rsidRPr="009234DE" w:rsidTr="00E81C8C">
        <w:trPr>
          <w:trHeight w:val="109"/>
        </w:trPr>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O2 - % </w:t>
            </w:r>
          </w:p>
        </w:tc>
        <w:tc>
          <w:tcPr>
            <w:tcW w:w="4068"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7,0 % </w:t>
            </w:r>
          </w:p>
        </w:tc>
      </w:tr>
    </w:tbl>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ind w:left="720"/>
        <w:rPr>
          <w:rFonts w:cs="Arial"/>
          <w:lang w:eastAsia="da-DK"/>
        </w:rPr>
      </w:pPr>
      <w:r w:rsidRPr="009234DE">
        <w:rPr>
          <w:rFonts w:cs="Arial"/>
          <w:lang w:eastAsia="da-DK"/>
        </w:rPr>
        <w:t>Skorsten (Biomasse)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4111"/>
      </w:tblGrid>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Højde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20 m </w:t>
            </w:r>
          </w:p>
        </w:tc>
      </w:tr>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lastRenderedPageBreak/>
              <w:t xml:space="preserve">Kappediameter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600 mm </w:t>
            </w:r>
          </w:p>
        </w:tc>
      </w:tr>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Kernediameter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400 mm </w:t>
            </w:r>
          </w:p>
        </w:tc>
      </w:tr>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Røggas temp. i skorsten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120 C </w:t>
            </w:r>
          </w:p>
        </w:tc>
      </w:tr>
    </w:tbl>
    <w:p w:rsidR="00570EAE" w:rsidRPr="009234DE" w:rsidRDefault="00570EAE" w:rsidP="00570EAE">
      <w:pPr>
        <w:ind w:left="720"/>
        <w:rPr>
          <w:rFonts w:cs="Arial"/>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Emission Støv (Biomasse)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4111"/>
      </w:tblGrid>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ved 10 % O2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40 mg/Nm³ </w:t>
            </w:r>
          </w:p>
        </w:tc>
      </w:tr>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aktuel 7 % O2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50,9 mg/Nm³ </w:t>
            </w:r>
          </w:p>
        </w:tc>
      </w:tr>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Kildestyrke G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0,04 g/s </w:t>
            </w:r>
          </w:p>
        </w:tc>
      </w:tr>
      <w:tr w:rsidR="00570EAE" w:rsidRPr="009234DE" w:rsidTr="00E81C8C">
        <w:trPr>
          <w:trHeight w:val="136"/>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Maks tilladelig B-værdi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0,080 mg/m3 </w:t>
            </w:r>
          </w:p>
        </w:tc>
      </w:tr>
    </w:tbl>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ind w:left="720"/>
        <w:rPr>
          <w:rFonts w:cs="Arial"/>
          <w:lang w:eastAsia="da-DK"/>
        </w:rPr>
      </w:pPr>
      <w:r w:rsidRPr="009234DE">
        <w:rPr>
          <w:rFonts w:cs="Arial"/>
          <w:lang w:eastAsia="da-DK"/>
        </w:rPr>
        <w:t>Emission NO2 (Biomasse)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4111"/>
      </w:tblGrid>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ved 10 % O2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300 mg/Nm³ </w:t>
            </w:r>
          </w:p>
        </w:tc>
      </w:tr>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aktuel 7 % O2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382 mg/Nm³ </w:t>
            </w:r>
          </w:p>
        </w:tc>
      </w:tr>
      <w:tr w:rsidR="00570EAE" w:rsidRPr="009234DE" w:rsidTr="00E81C8C">
        <w:trPr>
          <w:trHeight w:val="109"/>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Kildestyrke G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0,27 g/s </w:t>
            </w:r>
          </w:p>
        </w:tc>
      </w:tr>
      <w:tr w:rsidR="00570EAE" w:rsidRPr="009234DE" w:rsidTr="00E81C8C">
        <w:trPr>
          <w:trHeight w:val="136"/>
        </w:trPr>
        <w:tc>
          <w:tcPr>
            <w:tcW w:w="4066"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Maks tilladelig B-værdi </w:t>
            </w:r>
          </w:p>
        </w:tc>
        <w:tc>
          <w:tcPr>
            <w:tcW w:w="4111"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0,125 mg/m3 </w:t>
            </w:r>
          </w:p>
        </w:tc>
      </w:tr>
    </w:tbl>
    <w:p w:rsidR="00570EAE" w:rsidRPr="009234DE" w:rsidRDefault="00570EAE" w:rsidP="00570EAE">
      <w:pPr>
        <w:ind w:left="720"/>
        <w:rPr>
          <w:rFonts w:cs="Arial"/>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Emission CO (Biomasse)</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284"/>
      </w:tblGrid>
      <w:tr w:rsidR="00570EAE" w:rsidRPr="009234DE" w:rsidTr="00591816">
        <w:trPr>
          <w:trHeight w:val="109"/>
        </w:trPr>
        <w:tc>
          <w:tcPr>
            <w:tcW w:w="392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ved 10 % O2 </w:t>
            </w:r>
          </w:p>
        </w:tc>
        <w:tc>
          <w:tcPr>
            <w:tcW w:w="428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625 mg/Nm³ </w:t>
            </w:r>
          </w:p>
        </w:tc>
      </w:tr>
      <w:tr w:rsidR="00570EAE" w:rsidRPr="009234DE" w:rsidTr="00591816">
        <w:trPr>
          <w:trHeight w:val="109"/>
        </w:trPr>
        <w:tc>
          <w:tcPr>
            <w:tcW w:w="392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aktuel 7 % O2 </w:t>
            </w:r>
          </w:p>
        </w:tc>
        <w:tc>
          <w:tcPr>
            <w:tcW w:w="428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795 mg/Nm³ </w:t>
            </w:r>
          </w:p>
        </w:tc>
      </w:tr>
      <w:tr w:rsidR="00570EAE" w:rsidRPr="009234DE" w:rsidTr="00591816">
        <w:trPr>
          <w:trHeight w:val="109"/>
        </w:trPr>
        <w:tc>
          <w:tcPr>
            <w:tcW w:w="392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Kildestyrke G </w:t>
            </w:r>
          </w:p>
        </w:tc>
        <w:tc>
          <w:tcPr>
            <w:tcW w:w="428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0,56 g/s </w:t>
            </w:r>
          </w:p>
        </w:tc>
      </w:tr>
      <w:tr w:rsidR="00570EAE" w:rsidRPr="009234DE" w:rsidTr="00591816">
        <w:trPr>
          <w:trHeight w:val="137"/>
        </w:trPr>
        <w:tc>
          <w:tcPr>
            <w:tcW w:w="392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Maks tilladelig B-værdi </w:t>
            </w:r>
          </w:p>
        </w:tc>
        <w:tc>
          <w:tcPr>
            <w:tcW w:w="428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1,000 mg/m3 </w:t>
            </w:r>
          </w:p>
        </w:tc>
      </w:tr>
    </w:tbl>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Røggas mængde i Nm3/s: Røggasmængde, tør i Nm3/h /(60*60).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Kildestyrke g/s: Røggasmængde, tør i Nm3/s*Emissionsgrænse aktuel i </w:t>
      </w:r>
      <w:r w:rsidR="00591816">
        <w:rPr>
          <w:rFonts w:cs="Arial"/>
          <w:lang w:eastAsia="da-DK"/>
        </w:rPr>
        <w:t>g</w:t>
      </w:r>
      <w:r w:rsidRPr="009234DE">
        <w:rPr>
          <w:rFonts w:cs="Arial"/>
          <w:lang w:eastAsia="da-DK"/>
        </w:rPr>
        <w:t xml:space="preserve">/Nm3.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Emissionsgrænse aktuel: ((21-O2 Aktuel)/( 21-O2 Ref))*Emissionsgrænse mg/Nm3. </w:t>
      </w:r>
    </w:p>
    <w:p w:rsidR="00570EAE" w:rsidRPr="009234DE" w:rsidRDefault="00570EAE" w:rsidP="00570EAE">
      <w:pPr>
        <w:ind w:left="720"/>
        <w:rPr>
          <w:rFonts w:cs="Arial"/>
          <w:lang w:eastAsia="da-DK"/>
        </w:rPr>
      </w:pPr>
      <w:r w:rsidRPr="009234DE">
        <w:rPr>
          <w:rFonts w:cs="Arial"/>
          <w:lang w:eastAsia="da-DK"/>
        </w:rPr>
        <w:t>Maks tilladelig B-værdi: Opslag</w:t>
      </w:r>
    </w:p>
    <w:p w:rsidR="00570EAE" w:rsidRPr="009234DE" w:rsidRDefault="00570EAE" w:rsidP="00570EAE">
      <w:pPr>
        <w:rPr>
          <w:rFonts w:cs="Arial"/>
          <w:lang w:eastAsia="da-DK"/>
        </w:rPr>
      </w:pPr>
    </w:p>
    <w:p w:rsidR="00570EAE" w:rsidRPr="009234DE" w:rsidRDefault="00570EAE" w:rsidP="00570EAE">
      <w:pPr>
        <w:autoSpaceDE w:val="0"/>
        <w:autoSpaceDN w:val="0"/>
        <w:adjustRightInd w:val="0"/>
        <w:spacing w:line="240" w:lineRule="auto"/>
        <w:rPr>
          <w:rFonts w:cs="Arial"/>
          <w:b/>
          <w:lang w:eastAsia="da-DK"/>
        </w:rPr>
      </w:pPr>
      <w:r w:rsidRPr="009234DE">
        <w:rPr>
          <w:rFonts w:cs="Arial"/>
          <w:b/>
          <w:lang w:eastAsia="da-DK"/>
        </w:rPr>
        <w:t xml:space="preserve">Eksisterende kedelanlæg (N-gas)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Bidrag fra N-gas ved maks. varme produktion.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Ved fuldlast kan behovet for varmeproduktion udgøre op til 2,3 MW. </w:t>
      </w:r>
    </w:p>
    <w:p w:rsidR="00570EAE" w:rsidRPr="009234DE" w:rsidRDefault="00570EAE" w:rsidP="00570EAE">
      <w:pPr>
        <w:rPr>
          <w:rFonts w:cs="Arial"/>
          <w:lang w:eastAsia="da-DK"/>
        </w:rPr>
      </w:pPr>
      <w:r w:rsidRPr="009234DE">
        <w:rPr>
          <w:rFonts w:cs="Arial"/>
          <w:lang w:eastAsia="da-DK"/>
        </w:rPr>
        <w:t>Dvs. at biobrændselsanlægget ved en spidsbelastning skal suppleres med en varmeproduktion fra gaskedlen på op til 0,7 MW.</w:t>
      </w:r>
    </w:p>
    <w:p w:rsidR="00570EAE" w:rsidRPr="009234DE" w:rsidRDefault="00570EAE" w:rsidP="00570EAE">
      <w:pPr>
        <w:ind w:left="720"/>
        <w:rPr>
          <w:rFonts w:cs="Arial"/>
          <w:lang w:eastAsia="da-DK"/>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3937"/>
      </w:tblGrid>
      <w:tr w:rsidR="00570EAE" w:rsidRPr="009234DE" w:rsidTr="00E81C8C">
        <w:trPr>
          <w:trHeight w:val="109"/>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Type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Gaskedel </w:t>
            </w:r>
          </w:p>
        </w:tc>
      </w:tr>
      <w:tr w:rsidR="00570EAE" w:rsidRPr="009234DE" w:rsidTr="00E81C8C">
        <w:trPr>
          <w:trHeight w:val="109"/>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Antal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 </w:t>
            </w:r>
          </w:p>
        </w:tc>
      </w:tr>
      <w:tr w:rsidR="00570EAE" w:rsidRPr="009234DE" w:rsidTr="00E81C8C">
        <w:trPr>
          <w:trHeight w:val="109"/>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Brændsel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N-gas </w:t>
            </w:r>
          </w:p>
        </w:tc>
      </w:tr>
      <w:tr w:rsidR="00570EAE" w:rsidRPr="009234DE" w:rsidTr="00E81C8C">
        <w:trPr>
          <w:trHeight w:val="109"/>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Effekt, Varmeproduktion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0,7 MW </w:t>
            </w:r>
          </w:p>
        </w:tc>
      </w:tr>
      <w:tr w:rsidR="00570EAE" w:rsidRPr="009234DE" w:rsidTr="00E81C8C">
        <w:trPr>
          <w:trHeight w:val="109"/>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Indfyret effekt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0,67 MW </w:t>
            </w:r>
          </w:p>
        </w:tc>
      </w:tr>
      <w:tr w:rsidR="00570EAE" w:rsidRPr="009234DE" w:rsidTr="00E81C8C">
        <w:trPr>
          <w:trHeight w:val="136"/>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Brændværdi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39,6 MJ/Nm3 </w:t>
            </w:r>
          </w:p>
        </w:tc>
      </w:tr>
      <w:tr w:rsidR="00570EAE" w:rsidRPr="009234DE" w:rsidTr="00E81C8C">
        <w:trPr>
          <w:trHeight w:val="136"/>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Røggasmængde, våd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0,22 Nm3/s </w:t>
            </w:r>
          </w:p>
        </w:tc>
      </w:tr>
      <w:tr w:rsidR="00570EAE" w:rsidRPr="009234DE" w:rsidTr="00E81C8C">
        <w:trPr>
          <w:trHeight w:val="136"/>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Røggasmængde, tør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0,18Nm3/s </w:t>
            </w:r>
          </w:p>
        </w:tc>
      </w:tr>
      <w:tr w:rsidR="00570EAE" w:rsidRPr="009234DE" w:rsidTr="00E81C8C">
        <w:trPr>
          <w:trHeight w:val="109"/>
        </w:trPr>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O2 -% </w:t>
            </w:r>
          </w:p>
        </w:tc>
        <w:tc>
          <w:tcPr>
            <w:tcW w:w="3937"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3,0 % </w:t>
            </w:r>
          </w:p>
        </w:tc>
      </w:tr>
    </w:tbl>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Skorsten (N-gas)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3969"/>
      </w:tblGrid>
      <w:tr w:rsidR="00570EAE" w:rsidRPr="009234DE" w:rsidTr="00E81C8C">
        <w:trPr>
          <w:trHeight w:val="109"/>
        </w:trPr>
        <w:tc>
          <w:tcPr>
            <w:tcW w:w="392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Højde </w:t>
            </w:r>
          </w:p>
        </w:tc>
        <w:tc>
          <w:tcPr>
            <w:tcW w:w="3969"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28 m </w:t>
            </w:r>
          </w:p>
        </w:tc>
      </w:tr>
      <w:tr w:rsidR="00570EAE" w:rsidRPr="009234DE" w:rsidTr="00E81C8C">
        <w:trPr>
          <w:trHeight w:val="109"/>
        </w:trPr>
        <w:tc>
          <w:tcPr>
            <w:tcW w:w="392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Kappediameter </w:t>
            </w:r>
          </w:p>
        </w:tc>
        <w:tc>
          <w:tcPr>
            <w:tcW w:w="3969"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1340 mm </w:t>
            </w:r>
          </w:p>
        </w:tc>
      </w:tr>
      <w:tr w:rsidR="00570EAE" w:rsidRPr="009234DE" w:rsidTr="00E81C8C">
        <w:trPr>
          <w:trHeight w:val="109"/>
        </w:trPr>
        <w:tc>
          <w:tcPr>
            <w:tcW w:w="392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Kernediameter </w:t>
            </w:r>
          </w:p>
        </w:tc>
        <w:tc>
          <w:tcPr>
            <w:tcW w:w="3969"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378 mm </w:t>
            </w:r>
          </w:p>
        </w:tc>
      </w:tr>
      <w:tr w:rsidR="00570EAE" w:rsidRPr="009234DE" w:rsidTr="00E81C8C">
        <w:trPr>
          <w:trHeight w:val="109"/>
        </w:trPr>
        <w:tc>
          <w:tcPr>
            <w:tcW w:w="3924"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Røggas temp. i skorsten </w:t>
            </w:r>
          </w:p>
        </w:tc>
        <w:tc>
          <w:tcPr>
            <w:tcW w:w="3969"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55 C </w:t>
            </w:r>
          </w:p>
        </w:tc>
      </w:tr>
    </w:tbl>
    <w:p w:rsidR="00570EAE" w:rsidRPr="009234DE" w:rsidRDefault="00570EAE" w:rsidP="00570EAE">
      <w:pPr>
        <w:autoSpaceDE w:val="0"/>
        <w:autoSpaceDN w:val="0"/>
        <w:adjustRightInd w:val="0"/>
        <w:spacing w:line="240" w:lineRule="auto"/>
        <w:ind w:left="720"/>
        <w:rPr>
          <w:rFonts w:cs="Arial"/>
          <w:lang w:eastAsia="da-DK"/>
        </w:rPr>
      </w:pP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Emission NO2 (N-gas)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2"/>
        <w:gridCol w:w="3962"/>
      </w:tblGrid>
      <w:tr w:rsidR="00570EAE" w:rsidRPr="009234DE" w:rsidTr="00E81C8C">
        <w:trPr>
          <w:trHeight w:val="109"/>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ved 10 % O2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65 mg/Nm³ </w:t>
            </w:r>
          </w:p>
        </w:tc>
      </w:tr>
      <w:tr w:rsidR="00570EAE" w:rsidRPr="009234DE" w:rsidTr="00E81C8C">
        <w:trPr>
          <w:trHeight w:val="109"/>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aktuel 3 % O2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106,4 mg/Nm³ </w:t>
            </w:r>
          </w:p>
        </w:tc>
      </w:tr>
      <w:tr w:rsidR="00570EAE" w:rsidRPr="009234DE" w:rsidTr="00E81C8C">
        <w:trPr>
          <w:trHeight w:val="109"/>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Kildestyrke G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0,019 g/s </w:t>
            </w:r>
          </w:p>
        </w:tc>
      </w:tr>
      <w:tr w:rsidR="00570EAE" w:rsidRPr="009234DE" w:rsidTr="00E81C8C">
        <w:trPr>
          <w:trHeight w:val="136"/>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Maks tilladelig B-værdi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0,125 mg/m3 </w:t>
            </w:r>
          </w:p>
        </w:tc>
      </w:tr>
    </w:tbl>
    <w:p w:rsidR="00570EAE" w:rsidRPr="009234DE" w:rsidRDefault="00570EAE" w:rsidP="00570EAE">
      <w:pPr>
        <w:autoSpaceDE w:val="0"/>
        <w:autoSpaceDN w:val="0"/>
        <w:adjustRightInd w:val="0"/>
        <w:spacing w:line="240" w:lineRule="auto"/>
        <w:ind w:left="720"/>
        <w:rPr>
          <w:rFonts w:cs="Arial"/>
          <w:lang w:eastAsia="da-DK"/>
        </w:rPr>
      </w:pPr>
    </w:p>
    <w:p w:rsidR="00591816" w:rsidRDefault="00591816">
      <w:pPr>
        <w:spacing w:line="240" w:lineRule="auto"/>
        <w:rPr>
          <w:rFonts w:cs="Arial"/>
          <w:lang w:eastAsia="da-DK"/>
        </w:rPr>
      </w:pPr>
      <w:r>
        <w:rPr>
          <w:rFonts w:cs="Arial"/>
          <w:lang w:eastAsia="da-DK"/>
        </w:rPr>
        <w:br w:type="page"/>
      </w:r>
    </w:p>
    <w:p w:rsidR="00570EAE" w:rsidRPr="009234DE" w:rsidRDefault="00570EAE" w:rsidP="00570EAE">
      <w:pPr>
        <w:ind w:left="720"/>
        <w:rPr>
          <w:rFonts w:cs="Arial"/>
          <w:lang w:eastAsia="da-DK"/>
        </w:rPr>
      </w:pPr>
      <w:r w:rsidRPr="009234DE">
        <w:rPr>
          <w:rFonts w:cs="Arial"/>
          <w:lang w:eastAsia="da-DK"/>
        </w:rPr>
        <w:lastRenderedPageBreak/>
        <w:t>Emission CO (N-gas)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2"/>
        <w:gridCol w:w="3962"/>
      </w:tblGrid>
      <w:tr w:rsidR="00570EAE" w:rsidRPr="009234DE" w:rsidTr="00E81C8C">
        <w:trPr>
          <w:trHeight w:val="109"/>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ved 10 % O2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125 mg/Nm³ </w:t>
            </w:r>
          </w:p>
        </w:tc>
      </w:tr>
      <w:tr w:rsidR="00570EAE" w:rsidRPr="009234DE" w:rsidTr="00E81C8C">
        <w:trPr>
          <w:trHeight w:val="109"/>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Emissionsgrænse aktuel 3 % O2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204,5 mg/Nm³ </w:t>
            </w:r>
          </w:p>
        </w:tc>
      </w:tr>
      <w:tr w:rsidR="00570EAE" w:rsidRPr="009234DE" w:rsidTr="00E81C8C">
        <w:trPr>
          <w:trHeight w:val="109"/>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Kildestyrke G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0,037 g/s </w:t>
            </w:r>
          </w:p>
        </w:tc>
      </w:tr>
      <w:tr w:rsidR="00570EAE" w:rsidRPr="009234DE" w:rsidTr="00E81C8C">
        <w:trPr>
          <w:trHeight w:val="136"/>
        </w:trPr>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Maks tilladelig B-værdi </w:t>
            </w:r>
          </w:p>
        </w:tc>
        <w:tc>
          <w:tcPr>
            <w:tcW w:w="3962" w:type="dxa"/>
          </w:tcPr>
          <w:p w:rsidR="00570EAE" w:rsidRPr="009234DE" w:rsidRDefault="00570EAE" w:rsidP="00E81C8C">
            <w:pPr>
              <w:autoSpaceDE w:val="0"/>
              <w:autoSpaceDN w:val="0"/>
              <w:adjustRightInd w:val="0"/>
              <w:spacing w:line="240" w:lineRule="auto"/>
              <w:rPr>
                <w:rFonts w:cs="Arial"/>
                <w:lang w:eastAsia="da-DK"/>
              </w:rPr>
            </w:pPr>
            <w:r w:rsidRPr="009234DE">
              <w:rPr>
                <w:rFonts w:cs="Arial"/>
                <w:lang w:eastAsia="da-DK"/>
              </w:rPr>
              <w:t xml:space="preserve">1,000 mg/m3 </w:t>
            </w:r>
          </w:p>
        </w:tc>
      </w:tr>
    </w:tbl>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Røggas mængde i Nm3/s: Røggasmængde, tør i Nm3/h /(60*60).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Kildestyrke g/s: Røggasmængde, tør i Nm3/s*Emissionsgrænse aktuel i g/Nm3. </w:t>
      </w:r>
    </w:p>
    <w:p w:rsidR="00570EAE" w:rsidRPr="009234DE" w:rsidRDefault="00570EAE" w:rsidP="00570EAE">
      <w:pPr>
        <w:autoSpaceDE w:val="0"/>
        <w:autoSpaceDN w:val="0"/>
        <w:adjustRightInd w:val="0"/>
        <w:spacing w:line="240" w:lineRule="auto"/>
        <w:ind w:left="720"/>
        <w:rPr>
          <w:rFonts w:cs="Arial"/>
          <w:lang w:eastAsia="da-DK"/>
        </w:rPr>
      </w:pPr>
      <w:r w:rsidRPr="009234DE">
        <w:rPr>
          <w:rFonts w:cs="Arial"/>
          <w:lang w:eastAsia="da-DK"/>
        </w:rPr>
        <w:t xml:space="preserve">Emissionsgrænse aktuel: ((21-O2 Aktuel)/( 21-O2 Ref))*Emissionsgrænse mg/Nm3. </w:t>
      </w:r>
    </w:p>
    <w:p w:rsidR="00570EAE" w:rsidRPr="009234DE" w:rsidRDefault="00570EAE" w:rsidP="00570EAE">
      <w:pPr>
        <w:ind w:left="720"/>
        <w:rPr>
          <w:rFonts w:cs="Arial"/>
        </w:rPr>
      </w:pPr>
      <w:r w:rsidRPr="009234DE">
        <w:rPr>
          <w:rFonts w:cs="Arial"/>
          <w:lang w:eastAsia="da-DK"/>
        </w:rPr>
        <w:t>Maks tilladelig B-værdi: Opslag.</w:t>
      </w:r>
    </w:p>
    <w:p w:rsidR="00570EAE" w:rsidRPr="009234DE" w:rsidRDefault="00570EAE" w:rsidP="00570EAE">
      <w:pPr>
        <w:rPr>
          <w:rFonts w:cs="Arial"/>
        </w:rPr>
      </w:pP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b/>
          <w:lang w:eastAsia="da-DK"/>
        </w:rPr>
      </w:pPr>
      <w:r w:rsidRPr="009234DE">
        <w:rPr>
          <w:rFonts w:cs="Arial"/>
          <w:b/>
          <w:lang w:eastAsia="da-DK"/>
        </w:rPr>
        <w:t>Støvrensning fra biomassekedlen</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På det planlagte biomasse anlæg fortages rensning af røggassen ved at lede røggassen gennem posefilter med fuldautomatisk poserensning. Partiklerne opsamles og snegles i rør til lukket askecontainer. </w:t>
      </w:r>
    </w:p>
    <w:p w:rsidR="00570EAE" w:rsidRPr="009234DE" w:rsidRDefault="00570EAE" w:rsidP="00570EAE">
      <w:pPr>
        <w:autoSpaceDE w:val="0"/>
        <w:autoSpaceDN w:val="0"/>
        <w:adjustRightInd w:val="0"/>
        <w:rPr>
          <w:rFonts w:cs="Arial"/>
          <w:lang w:eastAsia="da-DK"/>
        </w:rPr>
      </w:pP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Filtret renser røgen så indholdet af støv reduceres til maks. 40 mg/Nm3 tør røggas ved 10 % O2 &amp; 1013kPa. Røggassen udledes gennem en ny-opført 20 m høj skorsten. </w:t>
      </w:r>
    </w:p>
    <w:p w:rsidR="00570EAE" w:rsidRPr="009234DE" w:rsidRDefault="00570EAE" w:rsidP="00570EAE">
      <w:pPr>
        <w:rPr>
          <w:rFonts w:cs="Arial"/>
          <w:lang w:eastAsia="da-DK"/>
        </w:rPr>
      </w:pPr>
    </w:p>
    <w:p w:rsidR="00570EAE" w:rsidRPr="009234DE" w:rsidRDefault="00570EAE" w:rsidP="00570EAE">
      <w:pPr>
        <w:rPr>
          <w:rFonts w:cs="Arial"/>
        </w:rPr>
      </w:pPr>
      <w:r w:rsidRPr="009234DE">
        <w:rPr>
          <w:rFonts w:cs="Arial"/>
          <w:lang w:eastAsia="da-DK"/>
        </w:rPr>
        <w:t>Eksempel på renseeffekt fra et posefilter af samme type monteret på et 3MW pille anlæg indgår i ansøgningsmaterialet i form af kopi af akkrediteret emissionsmåling fra Løgumkloster Fjernvarme.</w:t>
      </w:r>
    </w:p>
    <w:p w:rsidR="00570EAE" w:rsidRPr="009234DE" w:rsidRDefault="00570EAE" w:rsidP="00570EAE"/>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 w:rsidR="00570EAE" w:rsidRPr="009234DE" w:rsidRDefault="00570EAE" w:rsidP="00570EAE">
      <w:r w:rsidRPr="009234DE">
        <w:t>Udgangspunktet for fastsættelse af vilkår for luftforurening fra værket er standardvilkår anført i afsnit 11 i standardvilkårsbekendtgørelsen: ”Luftforurening: vilkår 7”.</w:t>
      </w:r>
    </w:p>
    <w:p w:rsidR="00570EAE" w:rsidRPr="009234DE" w:rsidRDefault="00570EAE" w:rsidP="00570EAE"/>
    <w:p w:rsidR="00570EAE" w:rsidRPr="009234DE" w:rsidRDefault="00570EAE" w:rsidP="00570EAE">
      <w:r w:rsidRPr="009234DE">
        <w:t xml:space="preserve">Der fastsættes på den baggrund vilkår om emissionsgrænseværdier for </w:t>
      </w:r>
      <w:r w:rsidRPr="009234DE">
        <w:rPr>
          <w:i/>
        </w:rPr>
        <w:t>NO</w:t>
      </w:r>
      <w:r w:rsidRPr="009234DE">
        <w:rPr>
          <w:i/>
          <w:vertAlign w:val="subscript"/>
        </w:rPr>
        <w:t>x</w:t>
      </w:r>
      <w:r w:rsidRPr="009234DE">
        <w:rPr>
          <w:i/>
        </w:rPr>
        <w:t>, CO og støv</w:t>
      </w:r>
      <w:r w:rsidRPr="009234DE">
        <w:t xml:space="preserve"> jf. standardvilkår 7 for de kedelanlægstyper, som findes på fjernvarmeværket. </w:t>
      </w:r>
    </w:p>
    <w:p w:rsidR="00570EAE" w:rsidRPr="009234DE" w:rsidRDefault="00570EAE" w:rsidP="00570EAE"/>
    <w:p w:rsidR="00570EAE" w:rsidRPr="009234DE" w:rsidRDefault="00570EAE" w:rsidP="00570EAE">
      <w:r w:rsidRPr="009234DE">
        <w:t xml:space="preserve">For </w:t>
      </w:r>
      <w:r w:rsidRPr="009234DE">
        <w:rPr>
          <w:i/>
        </w:rPr>
        <w:t>gasmotoren/gasmotorerne</w:t>
      </w:r>
      <w:r w:rsidRPr="009234DE">
        <w:t xml:space="preserve"> fastsætter gasmotorbekendtgørelsen emissionsgrænseværdier m.v. for NO</w:t>
      </w:r>
      <w:r w:rsidRPr="009234DE">
        <w:rPr>
          <w:vertAlign w:val="subscript"/>
        </w:rPr>
        <w:t>x</w:t>
      </w:r>
      <w:r w:rsidRPr="009234DE">
        <w:t xml:space="preserve"> og CO, herunder krav om kontrol af overholdelse af emissionsgrænseværdier. Da gasmotorbekendtgørelsen regulerer disse forhold direkte, skal der ikke fastsættes vilkår herom i nærværende afgørelse.</w:t>
      </w:r>
    </w:p>
    <w:p w:rsidR="00570EAE" w:rsidRPr="009234DE" w:rsidRDefault="00570EAE" w:rsidP="00570EAE"/>
    <w:p w:rsidR="00570EAE" w:rsidRPr="009234DE" w:rsidRDefault="00570EAE" w:rsidP="00570EAE">
      <w:r w:rsidRPr="009234DE">
        <w:t>Der har i tidligere udgaver af gasmotorbekendtgørelsen været opstillet grænseværdier for lugt – disse er dog ikke videreført i den aktuelt gældende bekendtgørelse. Der er ikke opstillet grænseværdier for lugt i standardvilkårsbekendtgørelsens afsnit 11. Det fremgår dog af afsnit 11.2, at lugtstoffer kan være kilder til forurening fra gasmotorer og anlæg, der fyrer med biomasseaffald, og i afsnit 11.3 fremgår, at der i forbindelse med fastlæggelse af afkasthøjder for gasmotorer skal undersøges, om det er lugt, formaldehyd eller NO</w:t>
      </w:r>
      <w:r w:rsidRPr="009234DE">
        <w:rPr>
          <w:vertAlign w:val="subscript"/>
        </w:rPr>
        <w:t>x</w:t>
      </w:r>
      <w:r w:rsidRPr="009234DE">
        <w:t>, der er dimensionerende.</w:t>
      </w:r>
    </w:p>
    <w:p w:rsidR="00570EAE" w:rsidRPr="009234DE" w:rsidRDefault="00570EAE" w:rsidP="00570EAE"/>
    <w:p w:rsidR="00570EAE" w:rsidRPr="009234DE" w:rsidRDefault="00570EAE" w:rsidP="00570EAE">
      <w:r w:rsidRPr="009234DE">
        <w:t>På den baggrund er det kommunens vurdering, at der skal fastsættes vilkår om, at virksomheden ikke må give anledning til lugtpåvirkninger i omgivelserne, som efter tilsynsmyndighedens vurdering er væsentlige.</w:t>
      </w:r>
    </w:p>
    <w:p w:rsidR="00570EAE" w:rsidRPr="00F52ED8" w:rsidRDefault="00570EAE" w:rsidP="00570EAE">
      <w:pPr>
        <w:rPr>
          <w:color w:val="0070C0"/>
        </w:rPr>
      </w:pPr>
    </w:p>
    <w:p w:rsidR="00570EAE" w:rsidRPr="009234DE" w:rsidRDefault="00570EAE" w:rsidP="00570EAE">
      <w:pPr>
        <w:pStyle w:val="Overskrift2"/>
        <w:numPr>
          <w:ilvl w:val="1"/>
          <w:numId w:val="1"/>
        </w:numPr>
        <w:spacing w:before="240" w:after="240"/>
      </w:pPr>
      <w:bookmarkStart w:id="19" w:name="_Toc223777076"/>
      <w:bookmarkStart w:id="20" w:name="_Toc224005260"/>
      <w:r w:rsidRPr="009234DE">
        <w:t>Spildevand</w:t>
      </w:r>
      <w:bookmarkEnd w:id="19"/>
      <w:bookmarkEnd w:id="20"/>
    </w:p>
    <w:p w:rsidR="00570EAE" w:rsidRPr="009234DE" w:rsidRDefault="00570EAE" w:rsidP="00570EAE">
      <w:pPr>
        <w:autoSpaceDE w:val="0"/>
        <w:autoSpaceDN w:val="0"/>
        <w:adjustRightInd w:val="0"/>
        <w:rPr>
          <w:rFonts w:cs="Arial"/>
          <w:lang w:eastAsia="da-DK"/>
        </w:rPr>
      </w:pPr>
      <w:r w:rsidRPr="009234DE">
        <w:rPr>
          <w:rFonts w:cs="Arial"/>
          <w:b/>
          <w:bCs/>
          <w:lang w:eastAsia="da-DK"/>
        </w:rPr>
        <w:t xml:space="preserve">For det eksisterende N-gas anlæg: </w:t>
      </w:r>
    </w:p>
    <w:p w:rsidR="00570EAE" w:rsidRPr="009234DE" w:rsidRDefault="00570EAE" w:rsidP="00570EAE">
      <w:pPr>
        <w:rPr>
          <w:rFonts w:cs="Arial"/>
          <w:lang w:eastAsia="da-DK"/>
        </w:rPr>
      </w:pPr>
      <w:r w:rsidRPr="009234DE">
        <w:rPr>
          <w:rFonts w:cs="Arial"/>
          <w:lang w:eastAsia="da-DK"/>
        </w:rPr>
        <w:lastRenderedPageBreak/>
        <w:t>Der er i forbindelse med miljøgodkendelsen af 9. december 1999 meddelt afledningstilladelse frovirksomhedens spildevand.</w:t>
      </w:r>
    </w:p>
    <w:p w:rsidR="00570EAE" w:rsidRPr="009234DE" w:rsidRDefault="00570EAE" w:rsidP="00570EAE">
      <w:pPr>
        <w:rPr>
          <w:rFonts w:cs="Arial"/>
          <w:lang w:eastAsia="da-DK"/>
        </w:rPr>
      </w:pPr>
      <w:r w:rsidRPr="009234DE">
        <w:rPr>
          <w:rFonts w:cs="Arial"/>
          <w:lang w:eastAsia="da-DK"/>
        </w:rPr>
        <w:t>Der er ikke sket ændringer i forbindelse med behandlingen af sanitær- eller processpildevandet, tilslutningsforhold til kloaksystem, samt overløb fra akkumuleringstank. Derfor henvises gældende miljøgodkendelse for det eksisterende anlæg</w:t>
      </w:r>
      <w:r>
        <w:rPr>
          <w:rFonts w:cs="Arial"/>
          <w:lang w:eastAsia="da-DK"/>
        </w:rPr>
        <w:t>, b</w:t>
      </w:r>
      <w:r w:rsidRPr="00275393">
        <w:rPr>
          <w:rFonts w:cs="Arial"/>
          <w:lang w:eastAsia="da-DK"/>
        </w:rPr>
        <w:t>ilag 2.</w:t>
      </w:r>
    </w:p>
    <w:p w:rsidR="00570EAE" w:rsidRPr="009234DE" w:rsidRDefault="00570EAE" w:rsidP="00570EAE">
      <w:pPr>
        <w:autoSpaceDE w:val="0"/>
        <w:autoSpaceDN w:val="0"/>
        <w:adjustRightInd w:val="0"/>
        <w:rPr>
          <w:rFonts w:cs="Arial"/>
          <w:b/>
          <w:bCs/>
          <w:lang w:eastAsia="da-DK"/>
        </w:rPr>
      </w:pPr>
    </w:p>
    <w:p w:rsidR="00570EAE" w:rsidRPr="009234DE" w:rsidRDefault="00570EAE" w:rsidP="00570EAE">
      <w:pPr>
        <w:autoSpaceDE w:val="0"/>
        <w:autoSpaceDN w:val="0"/>
        <w:adjustRightInd w:val="0"/>
        <w:rPr>
          <w:rFonts w:cs="Arial"/>
          <w:lang w:eastAsia="da-DK"/>
        </w:rPr>
      </w:pPr>
      <w:r w:rsidRPr="009234DE">
        <w:rPr>
          <w:rFonts w:cs="Arial"/>
          <w:b/>
          <w:bCs/>
          <w:lang w:eastAsia="da-DK"/>
        </w:rPr>
        <w:t xml:space="preserve">For det eksisterende Solvarme anlæg: </w:t>
      </w: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Der forekommer ingen spildevand fra anlægget. </w:t>
      </w:r>
    </w:p>
    <w:p w:rsidR="00570EAE" w:rsidRPr="009234DE" w:rsidRDefault="00570EAE" w:rsidP="00570EAE">
      <w:pPr>
        <w:autoSpaceDE w:val="0"/>
        <w:autoSpaceDN w:val="0"/>
        <w:adjustRightInd w:val="0"/>
        <w:rPr>
          <w:rFonts w:cs="Arial"/>
          <w:b/>
          <w:bCs/>
          <w:lang w:eastAsia="da-DK"/>
        </w:rPr>
      </w:pPr>
    </w:p>
    <w:p w:rsidR="00570EAE" w:rsidRPr="009234DE" w:rsidRDefault="00570EAE" w:rsidP="00570EAE">
      <w:pPr>
        <w:autoSpaceDE w:val="0"/>
        <w:autoSpaceDN w:val="0"/>
        <w:adjustRightInd w:val="0"/>
        <w:rPr>
          <w:rFonts w:cs="Arial"/>
          <w:lang w:eastAsia="da-DK"/>
        </w:rPr>
      </w:pPr>
      <w:r w:rsidRPr="009234DE">
        <w:rPr>
          <w:rFonts w:cs="Arial"/>
          <w:b/>
          <w:bCs/>
          <w:lang w:eastAsia="da-DK"/>
        </w:rPr>
        <w:t xml:space="preserve">For planlagte ny-opførelse af Biomasse kedel: </w:t>
      </w: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Der vil ikke blive etableret afløb i forbindelse med ny-opførelsen. </w:t>
      </w: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Der vil være behov for afledning af tag- og overfladevand. </w:t>
      </w: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Der skal afledes regnvand fra ca. 80 m2 tagflade og ca. 288 m2 befæstet areal. </w:t>
      </w:r>
    </w:p>
    <w:p w:rsidR="00570EAE" w:rsidRPr="009234DE" w:rsidRDefault="00570EAE" w:rsidP="00570EAE">
      <w:pPr>
        <w:autoSpaceDE w:val="0"/>
        <w:autoSpaceDN w:val="0"/>
        <w:adjustRightInd w:val="0"/>
        <w:rPr>
          <w:rFonts w:cs="Arial"/>
          <w:lang w:eastAsia="da-DK"/>
        </w:rPr>
      </w:pPr>
      <w:r w:rsidRPr="009234DE">
        <w:rPr>
          <w:rFonts w:cs="Arial"/>
          <w:lang w:eastAsia="da-DK"/>
        </w:rPr>
        <w:t xml:space="preserve">Tagvandet ledes til faskine på egen grund og overfladevand fra befæstet areal ledes til græs el. stabilgrus belagte udenoms arealer. </w:t>
      </w:r>
    </w:p>
    <w:p w:rsidR="00570EAE" w:rsidRPr="009234DE" w:rsidRDefault="00570EAE" w:rsidP="00570EAE">
      <w:pPr>
        <w:autoSpaceDE w:val="0"/>
        <w:autoSpaceDN w:val="0"/>
        <w:adjustRightInd w:val="0"/>
        <w:rPr>
          <w:rFonts w:cs="Arial"/>
          <w:b/>
          <w:bCs/>
          <w:lang w:eastAsia="da-DK"/>
        </w:rPr>
      </w:pPr>
    </w:p>
    <w:p w:rsidR="00570EAE" w:rsidRPr="009234DE" w:rsidRDefault="00570EAE" w:rsidP="00570EAE">
      <w:pPr>
        <w:rPr>
          <w:rFonts w:cs="Arial"/>
        </w:rPr>
      </w:pPr>
    </w:p>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 w:rsidR="00570EAE" w:rsidRPr="009234DE" w:rsidRDefault="00570EAE" w:rsidP="00570EAE">
      <w:r w:rsidRPr="009234DE">
        <w:t xml:space="preserve">Da der ikke forekommer direkte udledning af spildevand, er der ikke optaget vilkår herom i virksomhedens eksisterende miljøgodkendelse. </w:t>
      </w:r>
    </w:p>
    <w:p w:rsidR="00570EAE" w:rsidRPr="009234DE" w:rsidRDefault="00570EAE" w:rsidP="00570EAE"/>
    <w:p w:rsidR="00570EAE" w:rsidRPr="009234DE" w:rsidRDefault="00570EAE" w:rsidP="00570EAE">
      <w:r w:rsidRPr="009234DE">
        <w:t>Virksomhedens spildevandsforhold er i stedet reguleret ved selvstændig afgørelse efter reglerne i miljøbeskyttelseslovens kapitel 4 og spildevandsbekendtgørelsen</w:t>
      </w:r>
      <w:r w:rsidRPr="009234DE">
        <w:rPr>
          <w:vertAlign w:val="superscript"/>
        </w:rPr>
        <w:footnoteReference w:id="6"/>
      </w:r>
      <w:r w:rsidRPr="009234DE">
        <w:t xml:space="preserve">, meddelt af Grindsted kommune d. 9. december 1999. Der sker ikke ændringer i spildevandsafledningen ved udvidelsen. Den eksisterende spildevandstilladelse vurderes derfor at være dækkende. </w:t>
      </w:r>
    </w:p>
    <w:p w:rsidR="00570EAE" w:rsidRPr="009234DE" w:rsidRDefault="00570EAE" w:rsidP="00570EAE"/>
    <w:p w:rsidR="00570EAE" w:rsidRPr="009234DE" w:rsidRDefault="00570EAE" w:rsidP="00570EAE">
      <w:r w:rsidRPr="009234DE">
        <w:t>På ovenstående baggrund tages ikke nærmere stilling til udledning af spildevand og overfladevand i nærværende afgørelse, idet det vurderes, at miljømæssig acceptabel afledning reguleres på baggrund af særskilte tilladelser.</w:t>
      </w:r>
    </w:p>
    <w:p w:rsidR="00570EAE" w:rsidRPr="009234DE" w:rsidRDefault="00570EAE" w:rsidP="00570EAE"/>
    <w:p w:rsidR="00570EAE" w:rsidRPr="009234DE" w:rsidRDefault="00570EAE" w:rsidP="00570EAE">
      <w:pPr>
        <w:pStyle w:val="Overskrift2"/>
        <w:numPr>
          <w:ilvl w:val="1"/>
          <w:numId w:val="1"/>
        </w:numPr>
        <w:spacing w:before="240" w:after="240"/>
      </w:pPr>
      <w:r w:rsidRPr="009234DE">
        <w:t>Beskyttelse af jord, grundvand og overfladevand</w:t>
      </w:r>
    </w:p>
    <w:p w:rsidR="00570EAE" w:rsidRPr="009234DE" w:rsidRDefault="00570EAE" w:rsidP="00570EAE">
      <w:pPr>
        <w:pStyle w:val="Default"/>
        <w:spacing w:line="280" w:lineRule="atLeast"/>
        <w:rPr>
          <w:rFonts w:ascii="Arial" w:hAnsi="Arial" w:cs="Arial"/>
          <w:color w:val="auto"/>
          <w:sz w:val="20"/>
          <w:szCs w:val="20"/>
        </w:rPr>
      </w:pPr>
      <w:r w:rsidRPr="009234DE">
        <w:rPr>
          <w:rFonts w:ascii="Arial" w:hAnsi="Arial" w:cs="Arial"/>
          <w:color w:val="auto"/>
          <w:sz w:val="20"/>
          <w:szCs w:val="20"/>
        </w:rPr>
        <w:t xml:space="preserve">Spildevand afledes til kloak, </w:t>
      </w:r>
      <w:r w:rsidR="00591816">
        <w:rPr>
          <w:rFonts w:ascii="Arial" w:hAnsi="Arial" w:cs="Arial"/>
          <w:color w:val="auto"/>
          <w:sz w:val="20"/>
          <w:szCs w:val="20"/>
        </w:rPr>
        <w:t xml:space="preserve">mens </w:t>
      </w:r>
      <w:r w:rsidRPr="009234DE">
        <w:rPr>
          <w:rFonts w:ascii="Arial" w:hAnsi="Arial" w:cs="Arial"/>
          <w:color w:val="auto"/>
          <w:sz w:val="20"/>
          <w:szCs w:val="20"/>
        </w:rPr>
        <w:t xml:space="preserve">regnvand afledes til faskiner </w:t>
      </w:r>
    </w:p>
    <w:p w:rsidR="00570EAE" w:rsidRPr="009234DE" w:rsidRDefault="00570EAE" w:rsidP="00570EAE">
      <w:pPr>
        <w:pStyle w:val="Default"/>
        <w:spacing w:line="280" w:lineRule="atLeast"/>
        <w:rPr>
          <w:rFonts w:ascii="Arial" w:hAnsi="Arial" w:cs="Arial"/>
          <w:color w:val="auto"/>
          <w:sz w:val="20"/>
          <w:szCs w:val="20"/>
        </w:rPr>
      </w:pPr>
    </w:p>
    <w:p w:rsidR="00570EAE" w:rsidRPr="009234DE" w:rsidRDefault="00570EAE" w:rsidP="00570EAE">
      <w:pPr>
        <w:pStyle w:val="Default"/>
        <w:spacing w:line="280" w:lineRule="atLeast"/>
        <w:rPr>
          <w:rFonts w:ascii="Arial" w:eastAsia="Times New Roman" w:hAnsi="Arial" w:cs="Arial"/>
          <w:color w:val="auto"/>
          <w:sz w:val="20"/>
          <w:szCs w:val="20"/>
          <w:lang w:eastAsia="da-DK"/>
        </w:rPr>
      </w:pPr>
      <w:r w:rsidRPr="009234DE">
        <w:rPr>
          <w:rFonts w:ascii="Arial" w:eastAsia="Times New Roman" w:hAnsi="Arial" w:cs="Arial"/>
          <w:color w:val="auto"/>
          <w:sz w:val="20"/>
          <w:szCs w:val="20"/>
          <w:lang w:eastAsia="da-DK"/>
        </w:rPr>
        <w:t xml:space="preserve">Smørerolier og spildolie, neutraliseringskemikalier (natriumlud), mm vil blive opbevaret i passende beholdere og oplagring vil være i betonbakke og passende spildbakker så forurening ved uheld med lækage fra beholdere er begrænset hertil. </w:t>
      </w:r>
    </w:p>
    <w:p w:rsidR="00570EAE" w:rsidRPr="009234DE" w:rsidRDefault="00570EAE" w:rsidP="00570EAE">
      <w:pPr>
        <w:rPr>
          <w:rFonts w:cs="Arial"/>
          <w:lang w:eastAsia="da-DK"/>
        </w:rPr>
      </w:pPr>
    </w:p>
    <w:p w:rsidR="00570EAE" w:rsidRPr="009234DE" w:rsidRDefault="00570EAE" w:rsidP="00570EAE">
      <w:pPr>
        <w:rPr>
          <w:rFonts w:cs="Arial"/>
        </w:rPr>
      </w:pPr>
      <w:r w:rsidRPr="009234DE">
        <w:rPr>
          <w:rFonts w:cs="Arial"/>
        </w:rPr>
        <w:t>Af gældende godkendelse fremgår: Til magasinering af spildolie og smøreolie for begge motorer opstilles henholdsvis 2stk. 1200 l og 2 stk. 1500 l tanke. Tanken bliver placeret i betonkar, således at forurening ved uheld med lækage fra tanken begrænses hertil.</w:t>
      </w:r>
    </w:p>
    <w:p w:rsidR="00570EAE" w:rsidRPr="009234DE" w:rsidRDefault="00570EAE" w:rsidP="00570EAE">
      <w:pPr>
        <w:rPr>
          <w:rFonts w:cs="Arial"/>
        </w:rPr>
      </w:pPr>
    </w:p>
    <w:p w:rsidR="00570EAE" w:rsidRPr="009234DE" w:rsidRDefault="00570EAE" w:rsidP="00570EAE">
      <w:pPr>
        <w:rPr>
          <w:rFonts w:cs="Arial"/>
          <w:lang w:eastAsia="da-DK"/>
        </w:rPr>
      </w:pPr>
      <w:r w:rsidRPr="009234DE">
        <w:t>Der opstilles ikke nye tanke i forbindelse med udvidelsen med træpillekedel</w:t>
      </w:r>
      <w:r>
        <w:t>.</w:t>
      </w:r>
    </w:p>
    <w:p w:rsidR="00570EAE" w:rsidRPr="009234DE" w:rsidRDefault="00570EAE" w:rsidP="00570EAE">
      <w:pPr>
        <w:rPr>
          <w:rFonts w:cs="Arial"/>
          <w:lang w:eastAsia="da-DK"/>
        </w:rPr>
      </w:pPr>
    </w:p>
    <w:p w:rsidR="00570EAE" w:rsidRPr="009234DE" w:rsidRDefault="00570EAE" w:rsidP="00570EAE"/>
    <w:p w:rsidR="000B7E38" w:rsidRDefault="000B7E38" w:rsidP="00570EAE">
      <w:pPr>
        <w:rPr>
          <w:i/>
          <w:sz w:val="24"/>
          <w:szCs w:val="24"/>
        </w:rPr>
      </w:pPr>
    </w:p>
    <w:p w:rsidR="00570EAE" w:rsidRPr="009234DE" w:rsidRDefault="00570EAE" w:rsidP="00570EAE">
      <w:pPr>
        <w:rPr>
          <w:i/>
          <w:sz w:val="24"/>
          <w:szCs w:val="24"/>
        </w:rPr>
      </w:pPr>
      <w:r w:rsidRPr="009234DE">
        <w:rPr>
          <w:i/>
          <w:sz w:val="24"/>
          <w:szCs w:val="24"/>
        </w:rPr>
        <w:lastRenderedPageBreak/>
        <w:t>Billund Kommunes vurdering</w:t>
      </w:r>
    </w:p>
    <w:p w:rsidR="00570EAE" w:rsidRPr="009234DE" w:rsidRDefault="00570EAE" w:rsidP="00570EAE">
      <w:pPr>
        <w:rPr>
          <w:iCs/>
        </w:rPr>
      </w:pPr>
    </w:p>
    <w:p w:rsidR="00570EAE" w:rsidRPr="009234DE" w:rsidRDefault="00570EAE" w:rsidP="00570EAE">
      <w:pPr>
        <w:rPr>
          <w:iCs/>
        </w:rPr>
      </w:pPr>
      <w:r w:rsidRPr="009234DE">
        <w:rPr>
          <w:iCs/>
        </w:rPr>
        <w:t xml:space="preserve">Området ligger i område med særlige drikkevandsinteresser (OSD) og indenfor indvindingsoplande til almene vandværker. </w:t>
      </w:r>
    </w:p>
    <w:p w:rsidR="00570EAE" w:rsidRPr="009234DE" w:rsidRDefault="00570EAE" w:rsidP="00570EAE">
      <w:pPr>
        <w:rPr>
          <w:iCs/>
        </w:rPr>
      </w:pPr>
    </w:p>
    <w:p w:rsidR="00570EAE" w:rsidRPr="009234DE" w:rsidRDefault="00570EAE" w:rsidP="00570EAE">
      <w:pPr>
        <w:rPr>
          <w:iCs/>
        </w:rPr>
      </w:pPr>
      <w:r w:rsidRPr="009234DE">
        <w:rPr>
          <w:iCs/>
        </w:rPr>
        <w:t>Virksomhedens arealer er ikke omfattet af registreringer efter lov om forurenet jord, dog er arealerne omfattet af områdeklassificering.</w:t>
      </w:r>
    </w:p>
    <w:p w:rsidR="00570EAE" w:rsidRPr="009234DE" w:rsidRDefault="00570EAE" w:rsidP="00570EAE">
      <w:pPr>
        <w:rPr>
          <w:iCs/>
        </w:rPr>
      </w:pPr>
    </w:p>
    <w:p w:rsidR="00570EAE" w:rsidRPr="009234DE" w:rsidRDefault="00570EAE" w:rsidP="00570EAE">
      <w:pPr>
        <w:rPr>
          <w:iCs/>
        </w:rPr>
      </w:pPr>
      <w:r w:rsidRPr="009234DE">
        <w:rPr>
          <w:iCs/>
        </w:rPr>
        <w:t>Udgangspunktet for fastsættelse af vilkår for beskyttelse af jord, grundvand og overfladevand er standardvilkår anført i afsnit 11 i standardvilkårsbekendtgørelsen: ”Beskyttelse af jord, grundvand og overfladevand: vilkår 9 - 12”.</w:t>
      </w:r>
    </w:p>
    <w:p w:rsidR="00570EAE" w:rsidRPr="009234DE" w:rsidRDefault="00570EAE" w:rsidP="00570EAE">
      <w:pPr>
        <w:rPr>
          <w:iCs/>
        </w:rPr>
      </w:pPr>
    </w:p>
    <w:p w:rsidR="00570EAE" w:rsidRPr="009234DE" w:rsidRDefault="00570EAE" w:rsidP="00570EAE">
      <w:pPr>
        <w:rPr>
          <w:iCs/>
        </w:rPr>
      </w:pPr>
      <w:r w:rsidRPr="009234DE">
        <w:rPr>
          <w:iCs/>
        </w:rPr>
        <w:t>Der fastsættes på den baggrund vilkår svarende til standardvilkår 9 – 11. Der fastsættes ikke vilkår jf. standardvilkår 12, da der ikke er tanke over 50 m</w:t>
      </w:r>
      <w:r w:rsidRPr="009234DE">
        <w:rPr>
          <w:iCs/>
          <w:vertAlign w:val="superscript"/>
        </w:rPr>
        <w:t>3</w:t>
      </w:r>
      <w:r w:rsidRPr="009234DE">
        <w:rPr>
          <w:iCs/>
        </w:rPr>
        <w:t xml:space="preserve"> på værket.</w:t>
      </w:r>
    </w:p>
    <w:p w:rsidR="00570EAE" w:rsidRPr="009234DE" w:rsidRDefault="00570EAE" w:rsidP="00570EAE">
      <w:pPr>
        <w:rPr>
          <w:iCs/>
        </w:rPr>
      </w:pPr>
    </w:p>
    <w:p w:rsidR="00570EAE" w:rsidRPr="009234DE" w:rsidRDefault="00570EAE" w:rsidP="00570EAE">
      <w:pPr>
        <w:rPr>
          <w:iCs/>
        </w:rPr>
      </w:pPr>
    </w:p>
    <w:p w:rsidR="00570EAE" w:rsidRPr="009234DE" w:rsidRDefault="00570EAE" w:rsidP="00570EAE">
      <w:pPr>
        <w:rPr>
          <w:rFonts w:cs="Arial"/>
          <w:u w:val="single"/>
        </w:rPr>
      </w:pPr>
      <w:r w:rsidRPr="009234DE">
        <w:rPr>
          <w:rFonts w:cs="Arial"/>
          <w:u w:val="single"/>
        </w:rPr>
        <w:t>Olietanke</w:t>
      </w:r>
    </w:p>
    <w:p w:rsidR="00570EAE" w:rsidRPr="009234DE" w:rsidRDefault="00570EAE" w:rsidP="00570EAE">
      <w:pPr>
        <w:pStyle w:val="Kommentartekst"/>
        <w:rPr>
          <w:lang w:val="da-DK"/>
        </w:rPr>
      </w:pPr>
      <w:r w:rsidRPr="009234DE">
        <w:rPr>
          <w:lang w:val="da-DK"/>
        </w:rPr>
        <w:t xml:space="preserve">Ifølge BBR er der pt. 4stk. 1200 l olietanke, hvoraf 2 anvendes til spildolie. De er alle opstillet indenfor. </w:t>
      </w:r>
    </w:p>
    <w:p w:rsidR="00570EAE" w:rsidRPr="009234DE" w:rsidRDefault="00570EAE" w:rsidP="00570EAE">
      <w:pPr>
        <w:pStyle w:val="Kommentartekst"/>
        <w:rPr>
          <w:lang w:val="da-DK"/>
        </w:rPr>
      </w:pPr>
      <w:r w:rsidRPr="009234DE">
        <w:rPr>
          <w:lang w:val="da-DK"/>
        </w:rPr>
        <w:t xml:space="preserve">Der opstilles ikke nye tanke i forbindelse med udvidelsen med træpillekedel </w:t>
      </w:r>
    </w:p>
    <w:p w:rsidR="00570EAE" w:rsidRPr="009234DE" w:rsidRDefault="00570EAE" w:rsidP="00570EAE">
      <w:pPr>
        <w:rPr>
          <w:rFonts w:cs="Arial"/>
        </w:rPr>
      </w:pPr>
    </w:p>
    <w:p w:rsidR="00570EAE" w:rsidRPr="009234DE" w:rsidRDefault="00570EAE" w:rsidP="00570EAE">
      <w:pPr>
        <w:rPr>
          <w:rFonts w:cs="Arial"/>
        </w:rPr>
      </w:pPr>
      <w:r w:rsidRPr="009234DE">
        <w:rPr>
          <w:rFonts w:cs="Arial"/>
        </w:rPr>
        <w:t xml:space="preserve">Revurderingen af godkendelsens regulering af værkets eventuelle olietanke afhænger af de konkrete omstændigheder: Det fremgår af olietankbekendtgørelsens §4 stk. 4 at overjordiske anlæg under 6.000 l skal overholde bestemmelserne i olietankbekendtgørelsens </w:t>
      </w:r>
      <w:hyperlink r:id="rId17" w:anchor="p26" w:history="1">
        <w:r w:rsidRPr="009234DE">
          <w:rPr>
            <w:rStyle w:val="Hyperlink"/>
            <w:rFonts w:cs="Arial"/>
            <w:color w:val="auto"/>
          </w:rPr>
          <w:t>§§ 26</w:t>
        </w:r>
      </w:hyperlink>
      <w:r w:rsidRPr="009234DE">
        <w:rPr>
          <w:rFonts w:cs="Arial"/>
        </w:rPr>
        <w:t xml:space="preserve"> og </w:t>
      </w:r>
      <w:hyperlink r:id="rId18" w:anchor="p27" w:history="1">
        <w:r w:rsidRPr="009234DE">
          <w:rPr>
            <w:rStyle w:val="Hyperlink"/>
            <w:rFonts w:cs="Arial"/>
            <w:color w:val="auto"/>
          </w:rPr>
          <w:t>27</w:t>
        </w:r>
      </w:hyperlink>
      <w:r w:rsidRPr="009234DE">
        <w:rPr>
          <w:rFonts w:cs="Arial"/>
        </w:rPr>
        <w:t xml:space="preserve">, </w:t>
      </w:r>
      <w:hyperlink r:id="rId19" w:anchor="p28" w:history="1">
        <w:r w:rsidRPr="009234DE">
          <w:rPr>
            <w:rStyle w:val="Hyperlink"/>
            <w:rFonts w:cs="Arial"/>
            <w:color w:val="auto"/>
          </w:rPr>
          <w:t>§ 28</w:t>
        </w:r>
      </w:hyperlink>
      <w:r w:rsidRPr="009234DE">
        <w:rPr>
          <w:rFonts w:cs="Arial"/>
        </w:rPr>
        <w:t xml:space="preserve">, stk. 1 og 3, </w:t>
      </w:r>
      <w:hyperlink r:id="rId20" w:anchor="p31" w:history="1">
        <w:r w:rsidRPr="009234DE">
          <w:rPr>
            <w:rStyle w:val="Hyperlink"/>
            <w:rFonts w:cs="Arial"/>
            <w:color w:val="auto"/>
          </w:rPr>
          <w:t>§ 31</w:t>
        </w:r>
      </w:hyperlink>
      <w:r w:rsidRPr="009234DE">
        <w:rPr>
          <w:rFonts w:cs="Arial"/>
        </w:rPr>
        <w:t xml:space="preserve">, </w:t>
      </w:r>
      <w:hyperlink r:id="rId21" w:anchor="p32" w:history="1">
        <w:r w:rsidRPr="009234DE">
          <w:rPr>
            <w:rStyle w:val="Hyperlink"/>
            <w:rFonts w:cs="Arial"/>
            <w:color w:val="auto"/>
          </w:rPr>
          <w:t>§ 32</w:t>
        </w:r>
      </w:hyperlink>
      <w:r w:rsidRPr="009234DE">
        <w:rPr>
          <w:rFonts w:cs="Arial"/>
        </w:rPr>
        <w:t xml:space="preserve">, stk. 2, </w:t>
      </w:r>
      <w:hyperlink r:id="rId22" w:anchor="p33" w:history="1">
        <w:r w:rsidRPr="009234DE">
          <w:rPr>
            <w:rStyle w:val="Hyperlink"/>
            <w:rFonts w:cs="Arial"/>
            <w:color w:val="auto"/>
          </w:rPr>
          <w:t>§§ 33</w:t>
        </w:r>
      </w:hyperlink>
      <w:r w:rsidRPr="009234DE">
        <w:rPr>
          <w:rFonts w:cs="Arial"/>
        </w:rPr>
        <w:t xml:space="preserve"> og </w:t>
      </w:r>
      <w:hyperlink r:id="rId23" w:anchor="p34" w:history="1">
        <w:r w:rsidRPr="009234DE">
          <w:rPr>
            <w:rStyle w:val="Hyperlink"/>
            <w:rFonts w:cs="Arial"/>
            <w:color w:val="auto"/>
          </w:rPr>
          <w:t>34</w:t>
        </w:r>
      </w:hyperlink>
      <w:r w:rsidRPr="009234DE">
        <w:rPr>
          <w:rFonts w:cs="Arial"/>
        </w:rPr>
        <w:t xml:space="preserve">, </w:t>
      </w:r>
      <w:hyperlink r:id="rId24" w:anchor="p35" w:history="1">
        <w:r w:rsidRPr="009234DE">
          <w:rPr>
            <w:rStyle w:val="Hyperlink"/>
            <w:rFonts w:cs="Arial"/>
            <w:color w:val="auto"/>
          </w:rPr>
          <w:t>§ 35</w:t>
        </w:r>
      </w:hyperlink>
      <w:r w:rsidRPr="009234DE">
        <w:rPr>
          <w:rFonts w:cs="Arial"/>
        </w:rPr>
        <w:t xml:space="preserve">, stk. 1, </w:t>
      </w:r>
      <w:hyperlink r:id="rId25" w:anchor="p37" w:history="1">
        <w:r w:rsidRPr="009234DE">
          <w:rPr>
            <w:rStyle w:val="Hyperlink"/>
            <w:rFonts w:cs="Arial"/>
            <w:color w:val="auto"/>
          </w:rPr>
          <w:t>§§ 37-42</w:t>
        </w:r>
      </w:hyperlink>
      <w:r w:rsidRPr="009234DE">
        <w:rPr>
          <w:rFonts w:cs="Arial"/>
        </w:rPr>
        <w:t xml:space="preserve"> og </w:t>
      </w:r>
      <w:hyperlink r:id="rId26" w:anchor="p45" w:history="1">
        <w:r w:rsidRPr="009234DE">
          <w:rPr>
            <w:rStyle w:val="Hyperlink"/>
            <w:rFonts w:cs="Arial"/>
            <w:color w:val="auto"/>
          </w:rPr>
          <w:t>§ 45</w:t>
        </w:r>
      </w:hyperlink>
      <w:r w:rsidRPr="009234DE">
        <w:rPr>
          <w:rFonts w:cs="Arial"/>
        </w:rPr>
        <w:t xml:space="preserve">. </w:t>
      </w:r>
    </w:p>
    <w:p w:rsidR="00570EAE" w:rsidRPr="009234DE" w:rsidRDefault="00570EAE" w:rsidP="00570EAE">
      <w:pPr>
        <w:rPr>
          <w:rFonts w:cs="Arial"/>
        </w:rPr>
      </w:pPr>
    </w:p>
    <w:p w:rsidR="00570EAE" w:rsidRPr="009234DE" w:rsidRDefault="00570EAE" w:rsidP="00570EAE">
      <w:pPr>
        <w:rPr>
          <w:rFonts w:cs="Arial"/>
        </w:rPr>
      </w:pPr>
      <w:r w:rsidRPr="009234DE">
        <w:rPr>
          <w:rFonts w:cs="Arial"/>
        </w:rPr>
        <w:t>Der ses ikke at være behov for at supplere med yderligere vilkår for olietankene på virksomheden, i ht. §4, stk. 4.</w:t>
      </w:r>
    </w:p>
    <w:p w:rsidR="00570EAE" w:rsidRPr="009234DE" w:rsidRDefault="00570EAE" w:rsidP="00570EAE">
      <w:pPr>
        <w:rPr>
          <w:rFonts w:cs="Arial"/>
          <w:i/>
        </w:rPr>
      </w:pPr>
    </w:p>
    <w:p w:rsidR="00570EAE" w:rsidRPr="009234DE" w:rsidRDefault="00570EAE" w:rsidP="00570EAE">
      <w:pPr>
        <w:pStyle w:val="Overskrift2"/>
        <w:numPr>
          <w:ilvl w:val="1"/>
          <w:numId w:val="1"/>
        </w:numPr>
        <w:spacing w:before="240" w:after="240"/>
      </w:pPr>
      <w:bookmarkStart w:id="21" w:name="_Toc223777077"/>
      <w:bookmarkStart w:id="22" w:name="_Toc224005261"/>
      <w:r w:rsidRPr="009234DE">
        <w:t>Affald</w:t>
      </w:r>
      <w:bookmarkEnd w:id="21"/>
      <w:bookmarkEnd w:id="22"/>
    </w:p>
    <w:p w:rsidR="00570EAE" w:rsidRPr="009234DE" w:rsidRDefault="00570EAE" w:rsidP="00570EAE"/>
    <w:p w:rsidR="00570EAE" w:rsidRPr="009234DE" w:rsidRDefault="00570EAE" w:rsidP="00570EAE">
      <w:pPr>
        <w:rPr>
          <w:b/>
        </w:rPr>
      </w:pPr>
      <w:r w:rsidRPr="009234DE">
        <w:rPr>
          <w:b/>
        </w:rPr>
        <w:t>Naturgasanlægget</w:t>
      </w:r>
    </w:p>
    <w:p w:rsidR="00570EAE" w:rsidRPr="009234DE" w:rsidRDefault="00570EAE" w:rsidP="00570EAE">
      <w:r w:rsidRPr="009234DE">
        <w:t>Det er i gældende godkendelse oplyst at der forventes 800 l spildolie/år fra olieskift på motorerne.</w:t>
      </w:r>
    </w:p>
    <w:p w:rsidR="00570EAE" w:rsidRPr="009234DE" w:rsidRDefault="00570EAE" w:rsidP="00570EAE">
      <w:r w:rsidRPr="009234DE">
        <w:t>Der vil forekomme normalt affald fra servicering af gasmotorerne, kedelrensning, rengøring, kemikalieemballage (vandbehandling) mv. der bortskaffes via den kommunale affaldsordning</w:t>
      </w:r>
    </w:p>
    <w:p w:rsidR="00570EAE" w:rsidRPr="009234DE" w:rsidRDefault="00570EAE" w:rsidP="00570EAE"/>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Der er ikke ændringer i forbindelse med sammensætning og maksimale mængder af virksomhedens affald, som består af smøre &amp; spildolier EAK 13.02.xx, samt alm. Emballage og rengøringsaffald fra servicering mm. EAK 15.01.xx. </w:t>
      </w:r>
    </w:p>
    <w:p w:rsidR="00570EAE" w:rsidRPr="009234DE" w:rsidRDefault="00570EAE" w:rsidP="00570EAE"/>
    <w:p w:rsidR="00570EAE" w:rsidRPr="009234DE" w:rsidRDefault="00570EAE" w:rsidP="00570EAE">
      <w:pPr>
        <w:autoSpaceDE w:val="0"/>
        <w:autoSpaceDN w:val="0"/>
        <w:adjustRightInd w:val="0"/>
        <w:spacing w:line="240" w:lineRule="auto"/>
        <w:rPr>
          <w:rFonts w:cs="Arial"/>
        </w:rPr>
      </w:pPr>
      <w:r w:rsidRPr="009234DE">
        <w:rPr>
          <w:rFonts w:cs="Arial"/>
          <w:lang w:eastAsia="da-DK"/>
        </w:rPr>
        <w:t>Der er ikke ændringer i forbindelse med håndteringen af virksomhedens affald</w:t>
      </w:r>
      <w:r>
        <w:rPr>
          <w:rFonts w:cs="Arial"/>
          <w:lang w:eastAsia="da-DK"/>
        </w:rPr>
        <w:t>, oplagsmængder og restprodukter.</w:t>
      </w:r>
      <w:r w:rsidRPr="009234DE">
        <w:rPr>
          <w:rFonts w:cs="Arial"/>
          <w:lang w:eastAsia="da-DK"/>
        </w:rPr>
        <w:t xml:space="preserve"> </w:t>
      </w:r>
    </w:p>
    <w:p w:rsidR="00570EAE" w:rsidRPr="009234DE" w:rsidRDefault="00570EAE" w:rsidP="00570EAE"/>
    <w:p w:rsidR="00570EAE" w:rsidRPr="009234DE" w:rsidRDefault="00570EAE" w:rsidP="00570EAE">
      <w:pPr>
        <w:autoSpaceDE w:val="0"/>
        <w:autoSpaceDN w:val="0"/>
        <w:adjustRightInd w:val="0"/>
        <w:spacing w:line="240" w:lineRule="auto"/>
        <w:rPr>
          <w:rFonts w:cs="Arial"/>
          <w:lang w:eastAsia="da-DK"/>
        </w:rPr>
      </w:pPr>
      <w:r w:rsidRPr="009234DE">
        <w:rPr>
          <w:rFonts w:cs="Arial"/>
          <w:b/>
          <w:bCs/>
          <w:lang w:eastAsia="da-DK"/>
        </w:rPr>
        <w:t xml:space="preserve">For det eksisterende Solvarme anlæg: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Der forekommer ingen affald fra anlægget. </w:t>
      </w:r>
    </w:p>
    <w:p w:rsidR="00570EAE" w:rsidRPr="009234DE" w:rsidRDefault="00570EAE" w:rsidP="00570EAE"/>
    <w:p w:rsidR="00570EAE" w:rsidRPr="009234DE" w:rsidRDefault="00570EAE" w:rsidP="00570EAE">
      <w:pPr>
        <w:autoSpaceDE w:val="0"/>
        <w:autoSpaceDN w:val="0"/>
        <w:adjustRightInd w:val="0"/>
        <w:spacing w:line="240" w:lineRule="auto"/>
        <w:rPr>
          <w:rFonts w:cs="Arial"/>
          <w:lang w:eastAsia="da-DK"/>
        </w:rPr>
      </w:pPr>
      <w:r w:rsidRPr="009234DE">
        <w:rPr>
          <w:rFonts w:cs="Arial"/>
          <w:b/>
          <w:bCs/>
          <w:lang w:eastAsia="da-DK"/>
        </w:rPr>
        <w:t xml:space="preserve">Vedrørende planlagte ny-opførelse af Biomasse kedel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Der forekommer ikke farligt affald fra anlægget. Restprodukt ved forbrænding er aske som dels forekommer ved udbrænding af biobrændsel på kedelristen og dels som flyveaske i røggassen.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lastRenderedPageBreak/>
        <w:t xml:space="preserve">Flyveaske udskilles fra røggassen i et posefilter.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Gældende for begge asketyper er, at de opsamles og snegles via lukket rørsnegl til lukket container. Den samlede aske mængde forventes at udgøre ca. 1%, svarende til 27-33 tons pr. år.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Ved fuld aske container afhentes denne af lastbil, som transportere containeren til godkendt modtagerstation. </w:t>
      </w:r>
    </w:p>
    <w:p w:rsidR="00570EAE" w:rsidRPr="009234DE" w:rsidRDefault="00570EAE" w:rsidP="00570EAE">
      <w:pPr>
        <w:rPr>
          <w:rFonts w:cs="Arial"/>
          <w:lang w:eastAsia="da-DK"/>
        </w:rPr>
      </w:pPr>
      <w:r w:rsidRPr="009234DE">
        <w:rPr>
          <w:rFonts w:cs="Arial"/>
          <w:lang w:eastAsia="da-DK"/>
        </w:rPr>
        <w:t xml:space="preserve">Ved rensning af kedel vil der forekomme sod og askepartikler, som opsamles og afleveres på godkendt modtagerstation. EAK 10.01.01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Aske fra den daglige varmeproduktion bortskaffes i en lukket aske</w:t>
      </w:r>
      <w:r w:rsidR="000B7E38">
        <w:rPr>
          <w:rFonts w:cs="Arial"/>
          <w:lang w:eastAsia="da-DK"/>
        </w:rPr>
        <w:t>c</w:t>
      </w:r>
      <w:r w:rsidRPr="009234DE">
        <w:rPr>
          <w:rFonts w:cs="Arial"/>
          <w:lang w:eastAsia="da-DK"/>
        </w:rPr>
        <w:t xml:space="preserve">ontainer.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Alt aske, som forventes at udgøre 27-33tons pr. år bortskaffes til godkendt modtagerstation i lukket container.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Alt aske, som forventes at udgøre 27-33tons pr. år bortskaffes til godkendt modtagerstation i lukket container. Maksimalt oplag defineres af containerens volumen som er 10 m3.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Øvrige affaldsstoffer</w:t>
      </w:r>
      <w:r w:rsidRPr="009234DE">
        <w:rPr>
          <w:rFonts w:cs="Arial"/>
          <w:b/>
          <w:bCs/>
          <w:lang w:eastAsia="da-DK"/>
        </w:rPr>
        <w:t xml:space="preserve">: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I forbindelse med rensning af røggassystemet vil der forekomme sod og støvrester. EAK 10.01.01 </w:t>
      </w: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I forbindelse med olieskift på hydraulikstationer vil der forekomme aftappet spildolie, som udgør ca. 100 l. pr. år. EAK 13.01.xx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Generelt opsamles affaldsstoffer og afleveres til godkendt affaldsdepot </w:t>
      </w: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Pr>
        <w:autoSpaceDE w:val="0"/>
        <w:autoSpaceDN w:val="0"/>
        <w:adjustRightInd w:val="0"/>
        <w:spacing w:line="240" w:lineRule="auto"/>
        <w:rPr>
          <w:rFonts w:cs="Arial"/>
          <w:lang w:eastAsia="da-DK"/>
        </w:rPr>
      </w:pPr>
      <w:r w:rsidRPr="009234DE">
        <w:rPr>
          <w:rFonts w:cs="Arial"/>
          <w:lang w:eastAsia="da-DK"/>
        </w:rPr>
        <w:t xml:space="preserve">Biomassekedelanlæggets procesforløb kan </w:t>
      </w:r>
      <w:r w:rsidRPr="00275393">
        <w:rPr>
          <w:rFonts w:cs="Arial"/>
          <w:lang w:eastAsia="da-DK"/>
        </w:rPr>
        <w:t xml:space="preserve">ses i </w:t>
      </w:r>
      <w:r>
        <w:rPr>
          <w:rFonts w:cs="Arial"/>
          <w:lang w:eastAsia="da-DK"/>
        </w:rPr>
        <w:t xml:space="preserve">principskitsen </w:t>
      </w:r>
      <w:r w:rsidRPr="00275393">
        <w:rPr>
          <w:rFonts w:cs="Arial"/>
          <w:lang w:eastAsia="da-DK"/>
        </w:rPr>
        <w:t>bilag 4.</w:t>
      </w:r>
      <w:r w:rsidRPr="009234DE">
        <w:rPr>
          <w:rFonts w:cs="Arial"/>
          <w:lang w:eastAsia="da-DK"/>
        </w:rPr>
        <w:t xml:space="preserve"> </w:t>
      </w:r>
    </w:p>
    <w:p w:rsidR="00570EAE" w:rsidRPr="009234DE" w:rsidRDefault="00570EAE" w:rsidP="00570EAE">
      <w:pPr>
        <w:autoSpaceDE w:val="0"/>
        <w:autoSpaceDN w:val="0"/>
        <w:adjustRightInd w:val="0"/>
        <w:spacing w:line="240" w:lineRule="auto"/>
        <w:rPr>
          <w:rFonts w:cs="Arial"/>
          <w:b/>
          <w:bCs/>
          <w:lang w:eastAsia="da-DK"/>
        </w:rPr>
      </w:pPr>
    </w:p>
    <w:p w:rsidR="00570EAE" w:rsidRPr="009234DE" w:rsidRDefault="00570EAE" w:rsidP="00570EAE">
      <w:pPr>
        <w:autoSpaceDE w:val="0"/>
        <w:autoSpaceDN w:val="0"/>
        <w:adjustRightInd w:val="0"/>
        <w:spacing w:line="240" w:lineRule="auto"/>
        <w:rPr>
          <w:rFonts w:cs="Arial"/>
          <w:lang w:eastAsia="da-DK"/>
        </w:rPr>
      </w:pPr>
    </w:p>
    <w:p w:rsidR="00570EAE" w:rsidRPr="009234DE" w:rsidRDefault="00570EAE" w:rsidP="00570EAE"/>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 w:rsidR="00570EAE" w:rsidRPr="009234DE" w:rsidRDefault="00570EAE" w:rsidP="00570EAE">
      <w:pPr>
        <w:rPr>
          <w:bCs/>
        </w:rPr>
      </w:pPr>
      <w:r w:rsidRPr="009234DE">
        <w:t xml:space="preserve">Der fastsættes vilkår i overensstemmelse med standardvilkår i afsnit 11 i standardvilkårsbekendtgørelsen: ”Affald: vilkår 7”, om </w:t>
      </w:r>
      <w:r w:rsidRPr="009234DE">
        <w:rPr>
          <w:bCs/>
        </w:rPr>
        <w:t xml:space="preserve">opbevaring af aske mv. og affald fra rensningsprocesser. </w:t>
      </w:r>
    </w:p>
    <w:p w:rsidR="00570EAE" w:rsidRPr="009234DE" w:rsidRDefault="00570EAE" w:rsidP="00570EAE"/>
    <w:p w:rsidR="00570EAE" w:rsidRPr="00275393" w:rsidRDefault="00570EAE" w:rsidP="00570EAE">
      <w:r w:rsidRPr="00275393">
        <w:t>I standardvilkårsbekendtgørelsen er der opstillet vilkår for opbevaring slam, spildolie, kemikalier og hjælpestoffer. jf. standardvilkår 9 og 10. Disse fraktioner vurderes at være dækkende</w:t>
      </w:r>
      <w:r>
        <w:t xml:space="preserve"> for varmeværkets affaldsproduktion.</w:t>
      </w:r>
      <w:r w:rsidRPr="00275393">
        <w:t xml:space="preserve"> </w:t>
      </w:r>
    </w:p>
    <w:p w:rsidR="00570EAE" w:rsidRPr="009234DE" w:rsidRDefault="00570EAE" w:rsidP="00570EAE"/>
    <w:p w:rsidR="00570EAE" w:rsidRPr="009234DE" w:rsidRDefault="00570EAE" w:rsidP="00570EAE">
      <w:r w:rsidRPr="009234DE">
        <w:t>Afsætningen af bioaske til jordbrugsformål reguleres særskilt efter reglerne i bioaskebekendtgørelsen</w:t>
      </w:r>
      <w:r w:rsidRPr="009234DE">
        <w:rPr>
          <w:rStyle w:val="Fodnotehenvisning"/>
        </w:rPr>
        <w:footnoteReference w:id="7"/>
      </w:r>
      <w:r w:rsidRPr="009234DE">
        <w:t xml:space="preserve">. </w:t>
      </w:r>
    </w:p>
    <w:p w:rsidR="00570EAE" w:rsidRPr="009234DE" w:rsidRDefault="00570EAE" w:rsidP="00570EAE">
      <w:r w:rsidRPr="009234DE">
        <w:t xml:space="preserve">Bortskaffelsen af øvrige typer affald reguleres direkte af affaldsbekendtgørelsens bestemmelser og Billund Kommunes affaldsregulativer, hvorfor der ikke optages vilkår herom i miljøgodkendelsen. </w:t>
      </w:r>
    </w:p>
    <w:p w:rsidR="00570EAE" w:rsidRPr="009234DE" w:rsidRDefault="00570EAE" w:rsidP="00570EAE"/>
    <w:p w:rsidR="00570EAE" w:rsidRPr="00EB4C72" w:rsidRDefault="00570EAE" w:rsidP="00570EAE">
      <w:pPr>
        <w:pStyle w:val="Overskrift2"/>
        <w:numPr>
          <w:ilvl w:val="1"/>
          <w:numId w:val="1"/>
        </w:numPr>
        <w:spacing w:before="240" w:after="240"/>
      </w:pPr>
      <w:r w:rsidRPr="00EB4C72">
        <w:t>Uheld og driftsforstyrrelser</w:t>
      </w:r>
    </w:p>
    <w:p w:rsidR="00570EAE" w:rsidRDefault="00570EAE" w:rsidP="00570EAE">
      <w:r>
        <w:t xml:space="preserve">Der findes nødplan for gasanlægget. Denne er </w:t>
      </w:r>
      <w:r w:rsidRPr="00275393">
        <w:t>vedlagt som bilag 6.</w:t>
      </w:r>
    </w:p>
    <w:p w:rsidR="00570EAE" w:rsidRDefault="00570EAE" w:rsidP="00570EAE"/>
    <w:p w:rsidR="00570EAE" w:rsidRPr="009234DE" w:rsidRDefault="00570EAE" w:rsidP="00570EAE">
      <w:r w:rsidRPr="009234DE">
        <w:t xml:space="preserve">Der foreligger en beredskabsplan for solvarmeanlægget i tilfælde af akut miljøforurening. Beredskabsplanen </w:t>
      </w:r>
      <w:r>
        <w:t xml:space="preserve">vedlagt som </w:t>
      </w:r>
      <w:r w:rsidRPr="00275393">
        <w:t>bilag 5</w:t>
      </w:r>
      <w:r>
        <w:t>.</w:t>
      </w:r>
    </w:p>
    <w:p w:rsidR="00570EAE" w:rsidRPr="009234DE" w:rsidRDefault="00570EAE" w:rsidP="00570EAE"/>
    <w:p w:rsidR="00570EAE" w:rsidRPr="00275393" w:rsidRDefault="00570EAE" w:rsidP="00570EAE">
      <w:pPr>
        <w:tabs>
          <w:tab w:val="left" w:pos="2550"/>
        </w:tabs>
      </w:pPr>
      <w:r w:rsidRPr="00275393">
        <w:t xml:space="preserve">For Biomasseanlægget er der ikke udarbejdet en beredskabsplan i forhold til miljø, da der ikke er skadelige stoffer udover de allerede beskrevne emissioner fra skorsten under drift. </w:t>
      </w:r>
    </w:p>
    <w:p w:rsidR="00570EAE" w:rsidRPr="00275393" w:rsidRDefault="00570EAE" w:rsidP="00570EAE">
      <w:pPr>
        <w:tabs>
          <w:tab w:val="left" w:pos="2550"/>
        </w:tabs>
      </w:pPr>
      <w:r w:rsidRPr="00275393">
        <w:t>Anlægget er sikret med brandslukning i tilfælde af tilbagebrand i stokeren.</w:t>
      </w:r>
    </w:p>
    <w:p w:rsidR="00570EAE" w:rsidRPr="00275393" w:rsidRDefault="00570EAE" w:rsidP="00570EAE">
      <w:pPr>
        <w:tabs>
          <w:tab w:val="left" w:pos="2550"/>
        </w:tabs>
      </w:pPr>
      <w:r w:rsidRPr="00275393">
        <w:lastRenderedPageBreak/>
        <w:t>O</w:t>
      </w:r>
      <w:r w:rsidR="0054134C" w:rsidRPr="0054134C">
        <w:rPr>
          <w:vertAlign w:val="subscript"/>
        </w:rPr>
        <w:t>2</w:t>
      </w:r>
      <w:r w:rsidRPr="00275393">
        <w:t xml:space="preserve"> niveauet overvåges og styres automatisk så optimal forbrænding sikres.</w:t>
      </w:r>
    </w:p>
    <w:p w:rsidR="00570EAE" w:rsidRPr="00275393" w:rsidRDefault="00570EAE" w:rsidP="00570EAE">
      <w:pPr>
        <w:tabs>
          <w:tab w:val="left" w:pos="2550"/>
        </w:tabs>
      </w:pPr>
      <w:r w:rsidRPr="00275393">
        <w:t>Ved unormal drift lukkes kedelanlægget automatisk ned og tilførs</w:t>
      </w:r>
      <w:r>
        <w:t>l</w:t>
      </w:r>
      <w:r w:rsidRPr="00275393">
        <w:t>en af brændsel stoppes</w:t>
      </w:r>
    </w:p>
    <w:p w:rsidR="00570EAE" w:rsidRPr="00275393" w:rsidRDefault="00570EAE" w:rsidP="00570EAE">
      <w:pPr>
        <w:tabs>
          <w:tab w:val="left" w:pos="2550"/>
        </w:tabs>
      </w:pPr>
      <w:r w:rsidRPr="00275393">
        <w:t>Ved et evt. overtryk i kedlen udledes der vanddamp via sikkerhedsventil over tag.</w:t>
      </w:r>
    </w:p>
    <w:p w:rsidR="00570EAE" w:rsidRPr="00275393" w:rsidRDefault="00570EAE" w:rsidP="00570EAE">
      <w:pPr>
        <w:rPr>
          <w:sz w:val="24"/>
          <w:szCs w:val="24"/>
        </w:rPr>
      </w:pPr>
    </w:p>
    <w:p w:rsidR="00570EAE" w:rsidRPr="009234DE" w:rsidRDefault="00570EAE" w:rsidP="00570EAE">
      <w:pPr>
        <w:rPr>
          <w:i/>
          <w:sz w:val="24"/>
          <w:szCs w:val="24"/>
        </w:rPr>
      </w:pPr>
    </w:p>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 w:rsidR="00570EAE" w:rsidRPr="009234DE" w:rsidRDefault="00570EAE" w:rsidP="00570EAE">
      <w:r w:rsidRPr="009234DE">
        <w:t>I ovenstående afsnit 4.6 og 4.7 er der opstillet vilkår i relation til risici omkring forurening af jord, grundvand, overfladevand og kloak, jf. standardvilkår nr. 8 – 12 i standardvilkårsbekendtgørelsens afsnit 11.</w:t>
      </w:r>
    </w:p>
    <w:p w:rsidR="00570EAE" w:rsidRPr="009234DE" w:rsidRDefault="00570EAE" w:rsidP="00570EAE"/>
    <w:p w:rsidR="00570EAE" w:rsidRPr="009234DE" w:rsidRDefault="00570EAE" w:rsidP="00570EAE">
      <w:r w:rsidRPr="009234DE">
        <w:t>Kommunen vurderer, at der herudover ikke er behov for yderligere vilkår til at imødegå risici for forurening fra driftsforstyrrelser og uheld.</w:t>
      </w:r>
    </w:p>
    <w:p w:rsidR="00570EAE" w:rsidRPr="009234DE" w:rsidRDefault="00570EAE" w:rsidP="00570EAE">
      <w:pPr>
        <w:pStyle w:val="Overskrift2"/>
        <w:numPr>
          <w:ilvl w:val="1"/>
          <w:numId w:val="1"/>
        </w:numPr>
        <w:spacing w:before="240" w:after="240"/>
      </w:pPr>
      <w:r w:rsidRPr="009234DE">
        <w:t xml:space="preserve">Egenkontrol </w:t>
      </w:r>
    </w:p>
    <w:p w:rsidR="00570EAE" w:rsidRPr="009234DE" w:rsidRDefault="00570EAE" w:rsidP="00570EAE">
      <w:pPr>
        <w:rPr>
          <w:b/>
        </w:rPr>
      </w:pPr>
      <w:r w:rsidRPr="009234DE">
        <w:rPr>
          <w:b/>
        </w:rPr>
        <w:t xml:space="preserve">Gældende godkendelse: </w:t>
      </w:r>
    </w:p>
    <w:p w:rsidR="00570EAE" w:rsidRPr="009234DE" w:rsidRDefault="00570EAE" w:rsidP="00570EAE">
      <w:r w:rsidRPr="009234DE">
        <w:t>Det samlede fjernvarme- og kraftvarmesystem bliver overvåget af et SRO anlæg, der udskriver driftsrapporter og alarmoversigter mm.</w:t>
      </w:r>
      <w:r>
        <w:t xml:space="preserve"> </w:t>
      </w:r>
      <w:r w:rsidRPr="009234DE">
        <w:t>SRO anlægget er placeret på kraftvarmeværket. Alvorligt prioriterede alarmer meddeles automatisk til driftspersonel via personsøger.</w:t>
      </w:r>
    </w:p>
    <w:p w:rsidR="00570EAE" w:rsidRDefault="00570EAE" w:rsidP="00570EAE"/>
    <w:p w:rsidR="00570EAE" w:rsidRPr="009234DE" w:rsidRDefault="00570EAE" w:rsidP="00570EAE">
      <w:r w:rsidRPr="009234DE">
        <w:t>Der bliver ført daglig tilsyn på kraftvarmeværket</w:t>
      </w:r>
    </w:p>
    <w:p w:rsidR="00570EAE" w:rsidRDefault="00570EAE" w:rsidP="00570EAE">
      <w:pPr>
        <w:rPr>
          <w:color w:val="FF0000"/>
        </w:rPr>
      </w:pPr>
    </w:p>
    <w:p w:rsidR="00570EAE" w:rsidRPr="00275393" w:rsidRDefault="00570EAE" w:rsidP="00570EAE">
      <w:r w:rsidRPr="00275393">
        <w:t>Virksomhedens egenkontrol er som beskrevet ovenfor. Der føres driftsjournal på gasanlægget, men dette har ikke været i drift siden 2011.</w:t>
      </w:r>
    </w:p>
    <w:p w:rsidR="00570EAE" w:rsidRDefault="00570EAE" w:rsidP="00570EAE"/>
    <w:p w:rsidR="00570EAE" w:rsidRPr="0054134C" w:rsidRDefault="00570EAE" w:rsidP="00570EAE">
      <w:pPr>
        <w:rPr>
          <w:rFonts w:cs="Arial"/>
          <w:lang w:eastAsia="da-DK"/>
        </w:rPr>
      </w:pPr>
      <w:r w:rsidRPr="0054134C">
        <w:t xml:space="preserve">Ansøger har ansøgt om at egenkontrolvilkår svarende til </w:t>
      </w:r>
      <w:r w:rsidRPr="0054134C">
        <w:rPr>
          <w:rFonts w:cs="Arial"/>
          <w:lang w:eastAsia="da-DK"/>
        </w:rPr>
        <w:t xml:space="preserve">standard vilkårene fra G202 afsnit 12.1 der bliver gældende, pga. biomasseanlæggets effekt på 1.6 MW. </w:t>
      </w:r>
    </w:p>
    <w:p w:rsidR="00570EAE" w:rsidRPr="0054134C" w:rsidRDefault="00570EAE" w:rsidP="00570EAE">
      <w:pPr>
        <w:rPr>
          <w:rFonts w:cs="Arial"/>
          <w:lang w:eastAsia="da-DK"/>
        </w:rPr>
      </w:pPr>
    </w:p>
    <w:p w:rsidR="00570EAE" w:rsidRPr="0054134C" w:rsidRDefault="00570EAE" w:rsidP="00570EAE">
      <w:r w:rsidRPr="0054134C">
        <w:rPr>
          <w:rFonts w:cs="Arial"/>
          <w:lang w:eastAsia="da-DK"/>
        </w:rPr>
        <w:t>Vedrørende punkt 12, oplyses det at måling af koncentrationen af carbonmonooxid (CO) udføres med et håndholdt måleinstrument og at der føres driftjournal som angivet i punkt 17</w:t>
      </w:r>
    </w:p>
    <w:p w:rsidR="00570EAE" w:rsidRPr="009234DE" w:rsidRDefault="00570EAE" w:rsidP="00570EAE"/>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 w:rsidR="00570EAE" w:rsidRPr="009234DE" w:rsidRDefault="00570EAE" w:rsidP="00570EAE">
      <w:r w:rsidRPr="009234DE">
        <w:t xml:space="preserve">Udgangspunktet for fastsættelse af vilkår er standardvilkår i afsnit 11 i standardvilkårsbekendtgørelsen: ”Egenkontrol”, som er opdelt i </w:t>
      </w:r>
    </w:p>
    <w:p w:rsidR="00570EAE" w:rsidRPr="009234DE" w:rsidRDefault="00570EAE" w:rsidP="00570EAE">
      <w:pPr>
        <w:numPr>
          <w:ilvl w:val="0"/>
          <w:numId w:val="32"/>
        </w:numPr>
      </w:pPr>
      <w:r w:rsidRPr="009234DE">
        <w:t>Automatisk kontrol, jf. vilkår 13 -18</w:t>
      </w:r>
    </w:p>
    <w:p w:rsidR="00570EAE" w:rsidRPr="009234DE" w:rsidRDefault="00570EAE" w:rsidP="00570EAE">
      <w:pPr>
        <w:numPr>
          <w:ilvl w:val="0"/>
          <w:numId w:val="32"/>
        </w:numPr>
      </w:pPr>
      <w:r w:rsidRPr="009234DE">
        <w:t>Præstationskontrol, jf. vilkår 19 – 22</w:t>
      </w:r>
    </w:p>
    <w:p w:rsidR="00570EAE" w:rsidRPr="009234DE" w:rsidRDefault="00570EAE" w:rsidP="00570EAE">
      <w:pPr>
        <w:numPr>
          <w:ilvl w:val="0"/>
          <w:numId w:val="32"/>
        </w:numPr>
      </w:pPr>
      <w:r w:rsidRPr="009234DE">
        <w:t>Driftsjournal, jf. vilkår 23</w:t>
      </w:r>
    </w:p>
    <w:p w:rsidR="00570EAE" w:rsidRDefault="00570EAE" w:rsidP="00570EAE"/>
    <w:p w:rsidR="00570EAE" w:rsidRDefault="00570EAE" w:rsidP="00570EAE">
      <w:pPr>
        <w:pStyle w:val="Kommentartekst"/>
        <w:rPr>
          <w:lang w:val="da-DK"/>
        </w:rPr>
      </w:pPr>
      <w:r>
        <w:t>Det er Billund kommunes vurdering at anlægget som udgangspunkt er omfattet af standardvilkårene for G201</w:t>
      </w:r>
      <w:r>
        <w:rPr>
          <w:lang w:val="da-DK"/>
        </w:rPr>
        <w:t xml:space="preserve"> idet</w:t>
      </w:r>
      <w:r w:rsidRPr="00BC7B51">
        <w:rPr>
          <w:lang w:val="da-DK"/>
        </w:rPr>
        <w:t xml:space="preserve"> </w:t>
      </w:r>
      <w:r>
        <w:rPr>
          <w:lang w:val="da-DK"/>
        </w:rPr>
        <w:t xml:space="preserve">G201 gælder anlæg med </w:t>
      </w:r>
      <w:r w:rsidR="0054134C" w:rsidRPr="0054134C">
        <w:rPr>
          <w:u w:val="single"/>
          <w:lang w:val="da-DK"/>
        </w:rPr>
        <w:t>samlet</w:t>
      </w:r>
      <w:r>
        <w:rPr>
          <w:lang w:val="da-DK"/>
        </w:rPr>
        <w:t xml:space="preserve"> indfyret termisk effekt mellem 5MW og 50MW:</w:t>
      </w:r>
    </w:p>
    <w:p w:rsidR="00570EAE" w:rsidRDefault="00570EAE" w:rsidP="00570EAE">
      <w:pPr>
        <w:pStyle w:val="Kommentartekst"/>
        <w:rPr>
          <w:lang w:val="da-DK"/>
        </w:rPr>
      </w:pPr>
    </w:p>
    <w:p w:rsidR="00570EAE" w:rsidRPr="00594E6A" w:rsidRDefault="00570EAE" w:rsidP="00570EAE">
      <w:pPr>
        <w:pStyle w:val="Kommentartekst"/>
        <w:ind w:left="720"/>
        <w:rPr>
          <w:lang w:val="da-DK"/>
        </w:rPr>
      </w:pPr>
      <w:r w:rsidRPr="00594E6A">
        <w:rPr>
          <w:rFonts w:cs="Arial"/>
          <w:lang w:val="da-DK"/>
        </w:rPr>
        <w:t>Ved "samlet nominel indfyret termisk effekt" forstås summen af effekterne på alle de af virksomhedens kedler, motorer og turbiner uanset størrelse, der anvender ovennævnte brændsler. Nødanlæg medregnes ikke.</w:t>
      </w:r>
    </w:p>
    <w:p w:rsidR="00570EAE" w:rsidRDefault="00570EAE" w:rsidP="00570EAE"/>
    <w:p w:rsidR="00570EAE" w:rsidRDefault="00570EAE" w:rsidP="00570EAE">
      <w:r>
        <w:lastRenderedPageBreak/>
        <w:t xml:space="preserve">Med henvisning til den beskedne størrelse på biomassekedlen, (1,6MW) og at anlægget ved fuldlast vil producere 2,3MW varme, - fordelt med 1,6MW på biomassekedlen og 0,7MW på gaskedlen, vurderer kommunen, at vilkårene for </w:t>
      </w:r>
      <w:r w:rsidRPr="004B1AE9">
        <w:t>egenkontrol (</w:t>
      </w:r>
      <w:r w:rsidRPr="00275393">
        <w:rPr>
          <w:rFonts w:cs="Arial"/>
          <w:lang w:eastAsia="da-DK"/>
        </w:rPr>
        <w:t>automatisk kontrol og præsentationskontrol)</w:t>
      </w:r>
      <w:r>
        <w:t xml:space="preserve"> kan lempes og fastsættes efter standardvilkårene for G202. </w:t>
      </w:r>
    </w:p>
    <w:p w:rsidR="00570EAE" w:rsidRDefault="00570EAE" w:rsidP="00570EAE">
      <w:pPr>
        <w:shd w:val="clear" w:color="auto" w:fill="FFFFFF"/>
        <w:spacing w:line="240" w:lineRule="auto"/>
        <w:rPr>
          <w:rFonts w:cs="Arial"/>
          <w:lang w:eastAsia="da-DK"/>
        </w:rPr>
      </w:pPr>
    </w:p>
    <w:p w:rsidR="00570EAE" w:rsidRDefault="00570EAE" w:rsidP="00570EAE">
      <w:pPr>
        <w:shd w:val="clear" w:color="auto" w:fill="FFFFFF"/>
        <w:spacing w:line="240" w:lineRule="auto"/>
        <w:rPr>
          <w:rFonts w:cs="Arial"/>
          <w:lang w:eastAsia="da-DK"/>
        </w:rPr>
      </w:pPr>
      <w:r>
        <w:rPr>
          <w:rFonts w:cs="Arial"/>
          <w:lang w:eastAsia="da-DK"/>
        </w:rPr>
        <w:t>For det naturgasfyrede kedelanlæg &lt;5MW er bestemmelsen om, at tilsynsmyndigheden kan kræve præstationskontrol fastholdt fra G201-standardvilkåret.</w:t>
      </w:r>
    </w:p>
    <w:p w:rsidR="00570EAE" w:rsidRPr="00275393" w:rsidRDefault="00570EAE" w:rsidP="00570EAE">
      <w:pPr>
        <w:shd w:val="clear" w:color="auto" w:fill="FFFFFF"/>
        <w:spacing w:line="240" w:lineRule="auto"/>
        <w:rPr>
          <w:rFonts w:cs="Arial"/>
          <w:lang w:eastAsia="da-DK"/>
        </w:rPr>
      </w:pPr>
    </w:p>
    <w:p w:rsidR="00570EAE" w:rsidRPr="00275393" w:rsidRDefault="00570EAE" w:rsidP="00570EAE">
      <w:pPr>
        <w:shd w:val="clear" w:color="auto" w:fill="FFFFFF"/>
        <w:spacing w:line="240" w:lineRule="auto"/>
        <w:rPr>
          <w:rFonts w:cs="Arial"/>
          <w:lang w:eastAsia="da-DK"/>
        </w:rPr>
      </w:pPr>
      <w:r w:rsidRPr="00275393">
        <w:rPr>
          <w:rFonts w:cs="Arial"/>
          <w:lang w:eastAsia="da-DK"/>
        </w:rPr>
        <w:t>Hvis virksomheden senere begynder at producere over 5 MW, vil disse vilkår</w:t>
      </w:r>
      <w:r>
        <w:rPr>
          <w:rFonts w:cs="Arial"/>
          <w:lang w:eastAsia="da-DK"/>
        </w:rPr>
        <w:t xml:space="preserve"> 17-22</w:t>
      </w:r>
      <w:r w:rsidRPr="00275393">
        <w:rPr>
          <w:rFonts w:cs="Arial"/>
          <w:lang w:eastAsia="da-DK"/>
        </w:rPr>
        <w:t xml:space="preserve"> blive taget op til revision. </w:t>
      </w:r>
    </w:p>
    <w:p w:rsidR="00570EAE" w:rsidRDefault="00570EAE" w:rsidP="00570EAE"/>
    <w:p w:rsidR="00570EAE" w:rsidRDefault="00570EAE" w:rsidP="00570EAE">
      <w:r>
        <w:t>Vilkår 23 vedr. driftsjournal er suppleret med krav om at resultaterne af CO-målingerne angives.</w:t>
      </w:r>
    </w:p>
    <w:p w:rsidR="00570EAE" w:rsidRDefault="00570EAE" w:rsidP="00570EAE"/>
    <w:p w:rsidR="00570EAE" w:rsidRDefault="00570EAE" w:rsidP="00570EAE">
      <w:r w:rsidRPr="009234DE">
        <w:t>Der fastsættes vilkår i overensstemmelse med standardvilkår, idet følgende vilkår udelades, da anlæg / processer, som vilkårene skal regulere, ikke forefindes på nærværende fjernvarmeværk:</w:t>
      </w:r>
      <w:r>
        <w:t xml:space="preserve"> </w:t>
      </w:r>
    </w:p>
    <w:p w:rsidR="00570EAE" w:rsidRDefault="00570EAE" w:rsidP="00570EAE">
      <w:pPr>
        <w:ind w:left="720"/>
      </w:pPr>
      <w:r>
        <w:t>vilkår 5 vedr. fuelolie, orimulsion og andre brændsler af tilsvarende kvalitet</w:t>
      </w:r>
    </w:p>
    <w:p w:rsidR="00570EAE" w:rsidRDefault="00570EAE" w:rsidP="00570EAE">
      <w:pPr>
        <w:ind w:left="720"/>
      </w:pPr>
      <w:r>
        <w:t>vilkår 12 vedr. overjordiske tanke over 50m3</w:t>
      </w:r>
    </w:p>
    <w:p w:rsidR="00570EAE" w:rsidRDefault="00570EAE" w:rsidP="00570EAE">
      <w:pPr>
        <w:ind w:left="720"/>
      </w:pPr>
      <w:r>
        <w:t>vilkår 13 vedr. kedler medindfyret effekt større end 30MW</w:t>
      </w:r>
    </w:p>
    <w:p w:rsidR="00570EAE" w:rsidRDefault="00570EAE" w:rsidP="00570EAE">
      <w:pPr>
        <w:ind w:left="720"/>
      </w:pPr>
      <w:r>
        <w:t>vilkår 15 vedr. kedler der fyrer med stenkul, pet-coke og brunkul</w:t>
      </w:r>
    </w:p>
    <w:p w:rsidR="00570EAE" w:rsidRDefault="00570EAE" w:rsidP="00570EAE">
      <w:pPr>
        <w:ind w:left="720"/>
      </w:pPr>
      <w:r>
        <w:t>vilkår 16 vedr. kedler med indfyret effekt større end 30MW.</w:t>
      </w:r>
    </w:p>
    <w:p w:rsidR="00570EAE" w:rsidRPr="009234DE" w:rsidRDefault="00570EAE" w:rsidP="00570EAE"/>
    <w:p w:rsidR="00570EAE" w:rsidRPr="009234DE" w:rsidRDefault="00570EAE" w:rsidP="00570EAE">
      <w:pPr>
        <w:pStyle w:val="Overskrift2"/>
        <w:numPr>
          <w:ilvl w:val="1"/>
          <w:numId w:val="1"/>
        </w:numPr>
        <w:spacing w:before="240" w:after="240"/>
      </w:pPr>
      <w:bookmarkStart w:id="23" w:name="_Toc223777080"/>
      <w:bookmarkStart w:id="24" w:name="_Toc224005264"/>
      <w:r w:rsidRPr="009234DE">
        <w:t>Bedste tilgængelige teknik</w:t>
      </w:r>
      <w:bookmarkEnd w:id="23"/>
      <w:bookmarkEnd w:id="24"/>
    </w:p>
    <w:p w:rsidR="00570EAE" w:rsidRPr="009234DE" w:rsidRDefault="00570EAE" w:rsidP="00570EAE">
      <w:pPr>
        <w:rPr>
          <w:i/>
          <w:sz w:val="24"/>
          <w:szCs w:val="24"/>
        </w:rPr>
      </w:pPr>
    </w:p>
    <w:p w:rsidR="00570EAE" w:rsidRPr="009234DE" w:rsidRDefault="00570EAE" w:rsidP="00570EAE">
      <w:pPr>
        <w:rPr>
          <w:i/>
          <w:sz w:val="24"/>
          <w:szCs w:val="24"/>
        </w:rPr>
      </w:pPr>
      <w:r w:rsidRPr="009234DE">
        <w:rPr>
          <w:i/>
          <w:sz w:val="24"/>
          <w:szCs w:val="24"/>
        </w:rPr>
        <w:t>Billund Kommunes vurdering</w:t>
      </w:r>
    </w:p>
    <w:p w:rsidR="00570EAE" w:rsidRPr="009234DE" w:rsidRDefault="00570EAE" w:rsidP="00570EAE"/>
    <w:p w:rsidR="00570EAE" w:rsidRPr="009234DE" w:rsidRDefault="00570EAE" w:rsidP="00570EAE">
      <w:r w:rsidRPr="009234DE">
        <w:t>Det fremgår af § 25 i godkendelsesbekendtgørelsen, at hvis godkendelsen vedrører en virksomhed, der er omfattet af et eller flere afsnit i bilaget til bekendtgørelse om standardvilkår i godkendelse af listevirksomhed, erstatter standardvilkårene de krav, der er en følge af BAT på betingelse af, at vilkårene ikke er lempeligere end BAT-konklusionen eller konklusionen i et BAT-referencedokument.</w:t>
      </w:r>
    </w:p>
    <w:p w:rsidR="00570EAE" w:rsidRPr="009234DE" w:rsidRDefault="00570EAE" w:rsidP="00570EAE"/>
    <w:p w:rsidR="00570EAE" w:rsidRPr="009234DE" w:rsidRDefault="00570EAE" w:rsidP="00570EAE">
      <w:r w:rsidRPr="009234DE">
        <w:t>Der er ikke udarbejdet BAT-konklusioner eller BAT-referencedokumenter for de af nærværende afgørelse omfattede anlæg.</w:t>
      </w:r>
    </w:p>
    <w:p w:rsidR="00570EAE" w:rsidRPr="009234DE" w:rsidRDefault="00570EAE" w:rsidP="00570EAE"/>
    <w:p w:rsidR="00570EAE" w:rsidRPr="009234DE" w:rsidRDefault="00570EAE" w:rsidP="00570EAE">
      <w:r w:rsidRPr="009234DE">
        <w:t>Ud over de branchespecifikke BREF-dokumenter, der omhandler BAT for den konkrete branche, er der i EU-regi fremstillet en række tværgående BREF-dokumenter, der kan være relevante for flere virksomhedstyper:</w:t>
      </w:r>
    </w:p>
    <w:p w:rsidR="00570EAE" w:rsidRPr="009234DE" w:rsidRDefault="00570EAE" w:rsidP="00570EAE">
      <w:pPr>
        <w:numPr>
          <w:ilvl w:val="0"/>
          <w:numId w:val="15"/>
        </w:numPr>
      </w:pPr>
      <w:r w:rsidRPr="009234DE">
        <w:t>Emissioner fra oplagring</w:t>
      </w:r>
    </w:p>
    <w:p w:rsidR="00570EAE" w:rsidRPr="009234DE" w:rsidRDefault="00570EAE" w:rsidP="00570EAE">
      <w:pPr>
        <w:numPr>
          <w:ilvl w:val="0"/>
          <w:numId w:val="15"/>
        </w:numPr>
      </w:pPr>
      <w:r w:rsidRPr="009234DE">
        <w:t>Energieffektivitet</w:t>
      </w:r>
    </w:p>
    <w:p w:rsidR="00570EAE" w:rsidRPr="009234DE" w:rsidRDefault="00570EAE" w:rsidP="00570EAE">
      <w:pPr>
        <w:numPr>
          <w:ilvl w:val="0"/>
          <w:numId w:val="15"/>
        </w:numPr>
      </w:pPr>
      <w:r w:rsidRPr="009234DE">
        <w:t>Generelle overvågningsprincipper</w:t>
      </w:r>
    </w:p>
    <w:p w:rsidR="00570EAE" w:rsidRPr="009234DE" w:rsidRDefault="00570EAE" w:rsidP="00570EAE">
      <w:pPr>
        <w:numPr>
          <w:ilvl w:val="0"/>
          <w:numId w:val="15"/>
        </w:numPr>
      </w:pPr>
      <w:r w:rsidRPr="009234DE">
        <w:t>Spildevands- og luftrensning og dertil hørende styringssystemer</w:t>
      </w:r>
    </w:p>
    <w:p w:rsidR="00570EAE" w:rsidRPr="009234DE" w:rsidRDefault="00570EAE" w:rsidP="00570EAE">
      <w:pPr>
        <w:numPr>
          <w:ilvl w:val="0"/>
          <w:numId w:val="15"/>
        </w:numPr>
      </w:pPr>
      <w:r w:rsidRPr="009234DE">
        <w:t>Økonomiske aspekter og tværgående miljøpåvirkninger</w:t>
      </w:r>
    </w:p>
    <w:p w:rsidR="00570EAE" w:rsidRPr="009234DE" w:rsidRDefault="00570EAE" w:rsidP="00570EAE"/>
    <w:p w:rsidR="00570EAE" w:rsidRPr="009234DE" w:rsidRDefault="00570EAE" w:rsidP="00570EAE">
      <w:r w:rsidRPr="009234DE">
        <w:t xml:space="preserve">Anlæg og drift af fjernvarmeværker rummer generelt nogle aspekter fra disse tværgående temaer. De væsentligste af disse aspekter er dog samtidig centralt repræsenterede i standardvilkårene, og det er vurderet, at nærværende fjernvarmeværks anlæg og drift ikke rummer særlige forhold, som medfører behov for, at der foretages yderligere konkrete BAT-vurderinger efter de tværgående BREF-dokumenter. </w:t>
      </w:r>
    </w:p>
    <w:p w:rsidR="00570EAE" w:rsidRPr="009234DE" w:rsidRDefault="00570EAE" w:rsidP="00570EAE"/>
    <w:p w:rsidR="00570EAE" w:rsidRPr="009234DE" w:rsidRDefault="00570EAE" w:rsidP="00570EAE">
      <w:r w:rsidRPr="009234DE">
        <w:lastRenderedPageBreak/>
        <w:t>På den baggrund betragtes anlæg og drift, som er reguleret ved de i afgørelsen implementerede vilkår, som BAT.</w:t>
      </w:r>
    </w:p>
    <w:p w:rsidR="00570EAE" w:rsidRPr="009234DE" w:rsidRDefault="00570EAE" w:rsidP="00570EAE">
      <w:pPr>
        <w:pStyle w:val="Overskrift2"/>
        <w:numPr>
          <w:ilvl w:val="1"/>
          <w:numId w:val="1"/>
        </w:numPr>
        <w:spacing w:before="240" w:after="240"/>
      </w:pPr>
      <w:bookmarkStart w:id="25" w:name="_Toc223777081"/>
      <w:bookmarkStart w:id="26" w:name="_Toc224005265"/>
      <w:r w:rsidRPr="009234DE">
        <w:t>Ophør af virksomhedens drift</w:t>
      </w:r>
      <w:bookmarkEnd w:id="25"/>
      <w:bookmarkEnd w:id="26"/>
    </w:p>
    <w:p w:rsidR="00570EAE" w:rsidRPr="009234DE" w:rsidRDefault="00570EAE" w:rsidP="00570EAE">
      <w:r w:rsidRPr="009234DE">
        <w:t>Der er taget stilling til foranstaltninger i forbindelse med ophør af virksomhedens drift i ovenstående afsnit om drift (afsnit 4.2).</w:t>
      </w:r>
    </w:p>
    <w:p w:rsidR="00570EAE" w:rsidRPr="009234DE" w:rsidRDefault="00570EAE" w:rsidP="00570EAE">
      <w:pPr>
        <w:pStyle w:val="Overskrift2"/>
        <w:numPr>
          <w:ilvl w:val="1"/>
          <w:numId w:val="1"/>
        </w:numPr>
        <w:spacing w:before="240" w:after="240"/>
      </w:pPr>
      <w:r w:rsidRPr="009234DE">
        <w:t>Samlet vurdering</w:t>
      </w:r>
    </w:p>
    <w:p w:rsidR="00570EAE" w:rsidRPr="009234DE" w:rsidRDefault="00570EAE" w:rsidP="00570EAE">
      <w:pPr>
        <w:tabs>
          <w:tab w:val="left" w:pos="6566"/>
          <w:tab w:val="left" w:pos="6663"/>
          <w:tab w:val="left" w:pos="8080"/>
        </w:tabs>
        <w:jc w:val="both"/>
      </w:pPr>
      <w:r w:rsidRPr="009234DE">
        <w:t>Billund Kommune vurderer, at anlæggets drift, under overholdelse af de fastsatte vilkår, vil kunne finde sted uden at påføre omgivelserne forurening, som er uforenelig med hensynet til omgivelsernes sårbarhed og kvalitet.</w:t>
      </w:r>
    </w:p>
    <w:p w:rsidR="00570EAE" w:rsidRDefault="00570EAE" w:rsidP="00570EAE">
      <w:pPr>
        <w:tabs>
          <w:tab w:val="left" w:pos="6566"/>
          <w:tab w:val="left" w:pos="6663"/>
          <w:tab w:val="left" w:pos="8080"/>
        </w:tabs>
        <w:jc w:val="both"/>
      </w:pPr>
    </w:p>
    <w:p w:rsidR="00570EAE" w:rsidRPr="009234DE" w:rsidRDefault="00570EAE" w:rsidP="00570EAE">
      <w:pPr>
        <w:tabs>
          <w:tab w:val="left" w:pos="6566"/>
          <w:tab w:val="left" w:pos="6663"/>
          <w:tab w:val="left" w:pos="8080"/>
        </w:tabs>
        <w:jc w:val="both"/>
        <w:rPr>
          <w:rFonts w:cs="Arial"/>
        </w:rPr>
      </w:pPr>
      <w:r>
        <w:rPr>
          <w:rFonts w:cs="Arial"/>
          <w:lang w:eastAsia="da-DK"/>
        </w:rPr>
        <w:t xml:space="preserve">Der er d.7. marts 2016, på baggrund af VVM screening, truffet afgørelse om, at projektet ikke er VVMpligtigt. Der er samtidigt meddelt </w:t>
      </w:r>
      <w:r w:rsidRPr="009234DE">
        <w:rPr>
          <w:rFonts w:cs="Arial"/>
          <w:lang w:eastAsia="da-DK"/>
        </w:rPr>
        <w:t xml:space="preserve">tilladelse til påbegyndelse af </w:t>
      </w:r>
      <w:r>
        <w:rPr>
          <w:rFonts w:cs="Arial"/>
          <w:lang w:eastAsia="da-DK"/>
        </w:rPr>
        <w:t>bygge- og anlægsarbejdet.</w:t>
      </w:r>
    </w:p>
    <w:p w:rsidR="00570EAE" w:rsidRPr="00EE353D" w:rsidRDefault="00570EAE" w:rsidP="00570EAE">
      <w:pPr>
        <w:pStyle w:val="Overskrift1"/>
        <w:numPr>
          <w:ilvl w:val="0"/>
          <w:numId w:val="1"/>
        </w:numPr>
        <w:spacing w:before="360" w:after="240"/>
        <w:ind w:left="431" w:hanging="431"/>
      </w:pPr>
      <w:bookmarkStart w:id="27" w:name="_Toc223777082"/>
      <w:bookmarkStart w:id="28" w:name="_Toc224005266"/>
      <w:r>
        <w:t>V</w:t>
      </w:r>
      <w:r w:rsidRPr="00EE353D">
        <w:t>ilkår</w:t>
      </w:r>
      <w:bookmarkEnd w:id="27"/>
      <w:bookmarkEnd w:id="28"/>
    </w:p>
    <w:p w:rsidR="00570EAE" w:rsidRPr="009234DE" w:rsidRDefault="00570EAE" w:rsidP="00570EAE">
      <w:r w:rsidRPr="009234DE">
        <w:t xml:space="preserve">Revurderingen er foretaget i henhold til miljøbeskyttelseslovens § 41 b, stk. 1. Nye eller ændrede vilkår for eksisterende anlæg og drift meddeles som påbud efter miljøbeskyttelseslovens § 41, stk. 1. </w:t>
      </w:r>
    </w:p>
    <w:p w:rsidR="00570EAE" w:rsidRPr="009234DE" w:rsidRDefault="00570EAE" w:rsidP="00570EAE"/>
    <w:p w:rsidR="00570EAE" w:rsidRPr="009234DE" w:rsidRDefault="00570EAE" w:rsidP="00570EAE"/>
    <w:p w:rsidR="00570EAE" w:rsidRPr="009234DE" w:rsidRDefault="00570EAE" w:rsidP="00570EAE">
      <w:r w:rsidRPr="009234DE">
        <w:t>Vilkår for anlæg og drift, som ikke tidligere har været godkendt, eller som er ændret på en måde, som ligger ud over tidligere godkendelser, meddeles efter miljøbeskyttelseslovens § 33.</w:t>
      </w:r>
    </w:p>
    <w:p w:rsidR="00570EAE" w:rsidRPr="009234DE" w:rsidRDefault="00570EAE" w:rsidP="00570EAE"/>
    <w:p w:rsidR="00570EAE" w:rsidRPr="009234DE" w:rsidRDefault="00570EAE" w:rsidP="00570EAE">
      <w:r w:rsidRPr="009234DE">
        <w:t>Nedenstående standardvilkår jf. standardvilkårsbekendtgørelsen er markeret med (S).</w:t>
      </w:r>
    </w:p>
    <w:p w:rsidR="00570EAE" w:rsidRPr="009234DE" w:rsidRDefault="00570EAE" w:rsidP="00570EAE"/>
    <w:p w:rsidR="00570EAE" w:rsidRPr="009234DE" w:rsidRDefault="00570EAE" w:rsidP="00570EAE">
      <w:r w:rsidRPr="009234DE">
        <w:t>Der meddeles følgende vilkår:</w:t>
      </w:r>
    </w:p>
    <w:p w:rsidR="00570EAE" w:rsidRPr="009234DE" w:rsidRDefault="00570EAE" w:rsidP="00570EAE"/>
    <w:p w:rsidR="00570EAE" w:rsidRPr="009234DE" w:rsidRDefault="00570EAE" w:rsidP="00570EAE">
      <w:pPr>
        <w:pStyle w:val="Overskrift2"/>
        <w:numPr>
          <w:ilvl w:val="1"/>
          <w:numId w:val="1"/>
        </w:numPr>
        <w:spacing w:before="240" w:after="240"/>
      </w:pPr>
      <w:r w:rsidRPr="009234DE">
        <w:t>Generelt</w:t>
      </w:r>
    </w:p>
    <w:p w:rsidR="00570EAE" w:rsidRPr="009234DE" w:rsidRDefault="00570EAE" w:rsidP="00570EAE">
      <w:pPr>
        <w:numPr>
          <w:ilvl w:val="0"/>
          <w:numId w:val="3"/>
        </w:numPr>
        <w:ind w:left="426" w:hanging="426"/>
      </w:pPr>
      <w:r w:rsidRPr="009234DE">
        <w:t>Ved driftsophør skal virksomheden træffe de nødvendige foranstaltninger for at undgå forureningsfare og for at efterlade stedet i tilfredsstillende tilstand. En redegørelse for disse foranstaltninger skal fremsendes til tilsynsmyndigheden senest 3 måneder, før driften ophører.(S)</w:t>
      </w:r>
    </w:p>
    <w:p w:rsidR="00570EAE" w:rsidRPr="009234DE" w:rsidRDefault="00570EAE" w:rsidP="00570EAE">
      <w:pPr>
        <w:ind w:left="426"/>
      </w:pPr>
    </w:p>
    <w:p w:rsidR="00570EAE" w:rsidRPr="009234DE" w:rsidRDefault="00570EAE" w:rsidP="00570EAE">
      <w:pPr>
        <w:numPr>
          <w:ilvl w:val="0"/>
          <w:numId w:val="3"/>
        </w:numPr>
        <w:ind w:left="426" w:hanging="426"/>
      </w:pPr>
      <w:r w:rsidRPr="009234DE">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arealet.(S)</w:t>
      </w:r>
    </w:p>
    <w:p w:rsidR="00570EAE" w:rsidRPr="009234DE" w:rsidRDefault="00570EAE" w:rsidP="00570EAE">
      <w:pPr>
        <w:pStyle w:val="Overskrift2"/>
        <w:numPr>
          <w:ilvl w:val="1"/>
          <w:numId w:val="1"/>
        </w:numPr>
        <w:spacing w:before="240" w:after="240"/>
        <w:ind w:left="426" w:hanging="426"/>
      </w:pPr>
      <w:r w:rsidRPr="009234DE">
        <w:t>Indretning og drift</w:t>
      </w:r>
    </w:p>
    <w:p w:rsidR="00570EAE" w:rsidRPr="009234DE" w:rsidRDefault="00570EAE" w:rsidP="00570EAE">
      <w:pPr>
        <w:numPr>
          <w:ilvl w:val="0"/>
          <w:numId w:val="3"/>
        </w:numPr>
        <w:ind w:left="426" w:hanging="426"/>
      </w:pPr>
      <w:r w:rsidRPr="009234DE">
        <w:t>I afkast, hvor der er fastsat en emissionsgrænse, skal der være etableret målesteder med indretning og placering som anført i MEL-22 Kvalitet i Emissionsmålinger (Miljøstyrelsens anbefalede metoder, der findes på hjemmesiden for Miljøstyrelsens Referencelaboratorium for måling af emissioner til luften: www.ref-lab.dk). Målestederne skal være placeret, sådan at det sikres, at de fastsatte emissionsgrænseværdier kan dokumenteres overholdt.(S)</w:t>
      </w:r>
    </w:p>
    <w:p w:rsidR="00570EAE" w:rsidRPr="009234DE" w:rsidRDefault="00570EAE" w:rsidP="00570EAE">
      <w:pPr>
        <w:ind w:left="426"/>
      </w:pPr>
    </w:p>
    <w:p w:rsidR="00570EAE" w:rsidRPr="009234DE" w:rsidRDefault="00570EAE" w:rsidP="00570EAE">
      <w:pPr>
        <w:numPr>
          <w:ilvl w:val="0"/>
          <w:numId w:val="3"/>
        </w:numPr>
        <w:ind w:left="426" w:hanging="426"/>
      </w:pPr>
      <w:r w:rsidRPr="009234DE">
        <w:t>Afkast fra gasmotoranlæg og gaskedel skal have en højde på 28. m.</w:t>
      </w:r>
    </w:p>
    <w:p w:rsidR="00570EAE" w:rsidRPr="009234DE" w:rsidRDefault="00570EAE" w:rsidP="00570EAE">
      <w:pPr>
        <w:ind w:left="426"/>
      </w:pPr>
      <w:r w:rsidRPr="009234DE">
        <w:t>Afkast fra biomassekedel skal have en højde på 20 m. (S)</w:t>
      </w:r>
    </w:p>
    <w:p w:rsidR="00570EAE" w:rsidRPr="009234DE" w:rsidRDefault="00570EAE" w:rsidP="00570EAE"/>
    <w:p w:rsidR="00570EAE" w:rsidRDefault="00570EAE" w:rsidP="00570EAE">
      <w:pPr>
        <w:numPr>
          <w:ilvl w:val="0"/>
          <w:numId w:val="3"/>
        </w:numPr>
        <w:ind w:left="426" w:hanging="426"/>
      </w:pPr>
      <w:r w:rsidRPr="009234DE">
        <w:t xml:space="preserve">Aflæsning og håndtering af faste brændsler skal ske </w:t>
      </w:r>
      <w:r>
        <w:t xml:space="preserve">direkte i dertil indrettede siloer. </w:t>
      </w:r>
    </w:p>
    <w:p w:rsidR="00570EAE" w:rsidRPr="009234DE" w:rsidRDefault="00570EAE" w:rsidP="00570EAE">
      <w:pPr>
        <w:ind w:left="426"/>
      </w:pPr>
      <w:r>
        <w:t xml:space="preserve">Alternativt skal aflæsning og håndtering ske </w:t>
      </w:r>
      <w:r w:rsidRPr="009234DE">
        <w:t>indendørs eller i inddækket aftipningsgrube. Porte til aftipningshal eller aftipningsgrube skal holdes lukkede, når der ikke foregår trafik eller aftipning.(S)</w:t>
      </w:r>
    </w:p>
    <w:p w:rsidR="00570EAE" w:rsidRPr="009234DE" w:rsidRDefault="00570EAE" w:rsidP="00570EAE">
      <w:pPr>
        <w:pStyle w:val="Listeafsnit"/>
      </w:pPr>
    </w:p>
    <w:p w:rsidR="00570EAE" w:rsidRPr="009234DE" w:rsidRDefault="00570EAE" w:rsidP="00570EAE">
      <w:pPr>
        <w:pStyle w:val="Overskrift2"/>
        <w:numPr>
          <w:ilvl w:val="1"/>
          <w:numId w:val="1"/>
        </w:numPr>
        <w:spacing w:before="240" w:after="240"/>
        <w:ind w:left="426" w:hanging="426"/>
      </w:pPr>
      <w:r w:rsidRPr="009234DE">
        <w:t>Støj</w:t>
      </w:r>
    </w:p>
    <w:p w:rsidR="00570EAE" w:rsidRPr="009234DE" w:rsidRDefault="00570EAE" w:rsidP="00570EAE">
      <w:pPr>
        <w:numPr>
          <w:ilvl w:val="0"/>
          <w:numId w:val="3"/>
        </w:numPr>
        <w:ind w:left="425" w:hanging="425"/>
      </w:pPr>
      <w:r w:rsidRPr="009234DE">
        <w:t>Arbejdet skal tilrettelægges således, at virksomheden ikke giver anledning til væsentlige støjgener i omgivelserne.</w:t>
      </w:r>
    </w:p>
    <w:p w:rsidR="00570EAE" w:rsidRPr="009234DE" w:rsidRDefault="00570EAE" w:rsidP="00570EAE">
      <w:pPr>
        <w:ind w:left="425"/>
      </w:pPr>
    </w:p>
    <w:p w:rsidR="00570EAE" w:rsidRPr="009234DE" w:rsidRDefault="00570EAE" w:rsidP="00570EAE">
      <w:pPr>
        <w:numPr>
          <w:ilvl w:val="0"/>
          <w:numId w:val="3"/>
        </w:numPr>
        <w:ind w:left="425" w:hanging="425"/>
      </w:pPr>
      <w:r w:rsidRPr="009234DE">
        <w:t>Støjbelastningen fra den samlede virksomhed må ikke overskride værdierne angivet i nedenstående tabel. Støjniveauet er anført som det energiækvivalente, korrigerede A-vægtede lydtryksniveau:</w:t>
      </w:r>
    </w:p>
    <w:p w:rsidR="00570EAE" w:rsidRPr="009234DE" w:rsidRDefault="00570EAE" w:rsidP="00570EAE">
      <w:pPr>
        <w:pStyle w:val="Listeafsnit"/>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1785"/>
        <w:gridCol w:w="1842"/>
      </w:tblGrid>
      <w:tr w:rsidR="00570EAE" w:rsidRPr="009234DE" w:rsidTr="00E81C8C">
        <w:trPr>
          <w:trHeight w:val="757"/>
        </w:trPr>
        <w:tc>
          <w:tcPr>
            <w:tcW w:w="3885" w:type="dxa"/>
            <w:vMerge w:val="restart"/>
            <w:tcBorders>
              <w:top w:val="single" w:sz="4" w:space="0" w:color="auto"/>
              <w:left w:val="single" w:sz="4" w:space="0" w:color="auto"/>
              <w:right w:val="single" w:sz="4" w:space="0" w:color="auto"/>
            </w:tcBorders>
            <w:shd w:val="clear" w:color="auto" w:fill="D9D9D9"/>
            <w:vAlign w:val="center"/>
          </w:tcPr>
          <w:p w:rsidR="00570EAE" w:rsidRPr="009234DE" w:rsidRDefault="00570EAE" w:rsidP="00E81C8C">
            <w:pPr>
              <w:ind w:left="425"/>
              <w:rPr>
                <w:b/>
                <w:sz w:val="18"/>
                <w:szCs w:val="18"/>
              </w:rPr>
            </w:pPr>
            <w:r w:rsidRPr="009234DE">
              <w:rPr>
                <w:sz w:val="18"/>
                <w:szCs w:val="18"/>
              </w:rPr>
              <w:br w:type="page"/>
            </w:r>
            <w:r w:rsidRPr="009234DE">
              <w:rPr>
                <w:b/>
                <w:sz w:val="18"/>
                <w:szCs w:val="18"/>
              </w:rPr>
              <w:t>Tidsrum</w:t>
            </w:r>
          </w:p>
        </w:tc>
        <w:tc>
          <w:tcPr>
            <w:tcW w:w="362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70EAE" w:rsidRPr="009234DE" w:rsidRDefault="00570EAE" w:rsidP="00E81C8C">
            <w:pPr>
              <w:ind w:left="425"/>
              <w:rPr>
                <w:b/>
                <w:sz w:val="18"/>
                <w:szCs w:val="18"/>
              </w:rPr>
            </w:pPr>
            <w:r w:rsidRPr="009234DE">
              <w:rPr>
                <w:b/>
                <w:sz w:val="18"/>
                <w:szCs w:val="18"/>
              </w:rPr>
              <w:t>Støjgrænse</w:t>
            </w:r>
          </w:p>
        </w:tc>
      </w:tr>
      <w:tr w:rsidR="00570EAE" w:rsidRPr="009234DE" w:rsidTr="00E81C8C">
        <w:trPr>
          <w:trHeight w:val="453"/>
        </w:trPr>
        <w:tc>
          <w:tcPr>
            <w:tcW w:w="3885" w:type="dxa"/>
            <w:vMerge/>
            <w:tcBorders>
              <w:left w:val="single" w:sz="4" w:space="0" w:color="auto"/>
              <w:bottom w:val="single" w:sz="4" w:space="0" w:color="auto"/>
              <w:right w:val="single" w:sz="4" w:space="0" w:color="auto"/>
            </w:tcBorders>
            <w:shd w:val="clear" w:color="auto" w:fill="D9D9D9"/>
            <w:vAlign w:val="center"/>
          </w:tcPr>
          <w:p w:rsidR="00570EAE" w:rsidRPr="009234DE" w:rsidRDefault="00570EAE" w:rsidP="00E81C8C">
            <w:pPr>
              <w:ind w:left="425"/>
              <w:rPr>
                <w:sz w:val="18"/>
                <w:szCs w:val="18"/>
              </w:rPr>
            </w:pPr>
          </w:p>
        </w:tc>
        <w:tc>
          <w:tcPr>
            <w:tcW w:w="1785" w:type="dxa"/>
            <w:tcBorders>
              <w:top w:val="single" w:sz="4" w:space="0" w:color="auto"/>
              <w:left w:val="single" w:sz="4" w:space="0" w:color="auto"/>
              <w:bottom w:val="single" w:sz="4" w:space="0" w:color="auto"/>
              <w:right w:val="single" w:sz="4" w:space="0" w:color="auto"/>
            </w:tcBorders>
            <w:shd w:val="clear" w:color="auto" w:fill="D9D9D9"/>
            <w:vAlign w:val="center"/>
          </w:tcPr>
          <w:p w:rsidR="00570EAE" w:rsidRPr="009234DE" w:rsidRDefault="00570EAE" w:rsidP="00E81C8C">
            <w:pPr>
              <w:ind w:left="425"/>
              <w:rPr>
                <w:sz w:val="18"/>
                <w:szCs w:val="18"/>
                <w:lang w:val="en-US"/>
              </w:rPr>
            </w:pPr>
            <w:r w:rsidRPr="009234DE">
              <w:rPr>
                <w:sz w:val="18"/>
                <w:szCs w:val="18"/>
                <w:lang w:val="en-US"/>
              </w:rPr>
              <w:t>Område 1</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570EAE" w:rsidRPr="009234DE" w:rsidRDefault="00570EAE" w:rsidP="00E81C8C">
            <w:pPr>
              <w:ind w:left="425"/>
              <w:rPr>
                <w:sz w:val="18"/>
                <w:szCs w:val="18"/>
                <w:lang w:val="en-US"/>
              </w:rPr>
            </w:pPr>
            <w:r w:rsidRPr="009234DE">
              <w:rPr>
                <w:sz w:val="18"/>
                <w:szCs w:val="18"/>
                <w:lang w:val="en-US"/>
              </w:rPr>
              <w:t>Område 2</w:t>
            </w:r>
          </w:p>
        </w:tc>
      </w:tr>
      <w:tr w:rsidR="00570EAE" w:rsidRPr="009234DE" w:rsidTr="00E81C8C">
        <w:trPr>
          <w:trHeight w:val="863"/>
        </w:trPr>
        <w:tc>
          <w:tcPr>
            <w:tcW w:w="38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Mandag – fredag kl. 07.00-18.00</w:t>
            </w:r>
            <w:r w:rsidRPr="009234DE">
              <w:rPr>
                <w:sz w:val="18"/>
                <w:szCs w:val="18"/>
              </w:rPr>
              <w:br/>
              <w:t>Lørdag kl. 07.00-14.00</w:t>
            </w:r>
          </w:p>
        </w:tc>
        <w:tc>
          <w:tcPr>
            <w:tcW w:w="17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lang w:val="en-US"/>
              </w:rPr>
            </w:pPr>
            <w:r w:rsidRPr="009234DE">
              <w:rPr>
                <w:sz w:val="18"/>
                <w:szCs w:val="18"/>
                <w:lang w:val="en-US"/>
              </w:rPr>
              <w:t>55 dB(A)</w:t>
            </w:r>
          </w:p>
        </w:tc>
        <w:tc>
          <w:tcPr>
            <w:tcW w:w="1842"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lang w:val="en-US"/>
              </w:rPr>
            </w:pPr>
            <w:r w:rsidRPr="009234DE">
              <w:rPr>
                <w:sz w:val="18"/>
                <w:szCs w:val="18"/>
                <w:lang w:val="en-US"/>
              </w:rPr>
              <w:t>45 dB(A)</w:t>
            </w:r>
          </w:p>
        </w:tc>
      </w:tr>
      <w:tr w:rsidR="00570EAE" w:rsidRPr="009234DE" w:rsidTr="00E81C8C">
        <w:trPr>
          <w:trHeight w:val="863"/>
        </w:trPr>
        <w:tc>
          <w:tcPr>
            <w:tcW w:w="38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Mandag – fredag kl. 18.00-22.00</w:t>
            </w:r>
            <w:r w:rsidRPr="009234DE">
              <w:rPr>
                <w:sz w:val="18"/>
                <w:szCs w:val="18"/>
              </w:rPr>
              <w:br/>
              <w:t>Lørdag kl. 14.00-22.00</w:t>
            </w:r>
            <w:r w:rsidRPr="009234DE">
              <w:rPr>
                <w:sz w:val="18"/>
                <w:szCs w:val="18"/>
              </w:rPr>
              <w:br/>
              <w:t>Søndag kl. 07.00-22.00</w:t>
            </w:r>
          </w:p>
        </w:tc>
        <w:tc>
          <w:tcPr>
            <w:tcW w:w="17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45 dB(A)</w:t>
            </w:r>
          </w:p>
        </w:tc>
        <w:tc>
          <w:tcPr>
            <w:tcW w:w="1842"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40 dB(A)</w:t>
            </w:r>
          </w:p>
        </w:tc>
      </w:tr>
      <w:tr w:rsidR="00570EAE" w:rsidRPr="009234DE" w:rsidTr="00E81C8C">
        <w:trPr>
          <w:trHeight w:val="863"/>
        </w:trPr>
        <w:tc>
          <w:tcPr>
            <w:tcW w:w="38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Alle dage kl. 22.00-07.00</w:t>
            </w:r>
          </w:p>
        </w:tc>
        <w:tc>
          <w:tcPr>
            <w:tcW w:w="17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40 dB(A)</w:t>
            </w:r>
          </w:p>
          <w:p w:rsidR="00570EAE" w:rsidRPr="009234DE" w:rsidRDefault="00570EAE" w:rsidP="00E81C8C">
            <w:pPr>
              <w:ind w:left="425"/>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35 dB(A)</w:t>
            </w:r>
          </w:p>
          <w:p w:rsidR="00570EAE" w:rsidRPr="009234DE" w:rsidRDefault="00570EAE" w:rsidP="00E81C8C">
            <w:pPr>
              <w:ind w:left="425"/>
              <w:rPr>
                <w:sz w:val="18"/>
                <w:szCs w:val="18"/>
              </w:rPr>
            </w:pPr>
          </w:p>
        </w:tc>
      </w:tr>
      <w:tr w:rsidR="00570EAE" w:rsidRPr="009234DE" w:rsidTr="00E81C8C">
        <w:trPr>
          <w:trHeight w:val="863"/>
        </w:trPr>
        <w:tc>
          <w:tcPr>
            <w:tcW w:w="38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Maksimalværdi om natten</w:t>
            </w:r>
          </w:p>
        </w:tc>
        <w:tc>
          <w:tcPr>
            <w:tcW w:w="1785"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55 dB(A)</w:t>
            </w:r>
          </w:p>
        </w:tc>
        <w:tc>
          <w:tcPr>
            <w:tcW w:w="1842" w:type="dxa"/>
            <w:tcBorders>
              <w:top w:val="single" w:sz="4" w:space="0" w:color="auto"/>
              <w:left w:val="single" w:sz="4" w:space="0" w:color="auto"/>
              <w:bottom w:val="single" w:sz="4" w:space="0" w:color="auto"/>
              <w:right w:val="single" w:sz="4" w:space="0" w:color="auto"/>
            </w:tcBorders>
            <w:vAlign w:val="center"/>
          </w:tcPr>
          <w:p w:rsidR="00570EAE" w:rsidRPr="009234DE" w:rsidRDefault="00570EAE" w:rsidP="00E81C8C">
            <w:pPr>
              <w:ind w:left="425"/>
              <w:rPr>
                <w:sz w:val="18"/>
                <w:szCs w:val="18"/>
              </w:rPr>
            </w:pPr>
            <w:r w:rsidRPr="009234DE">
              <w:rPr>
                <w:sz w:val="18"/>
                <w:szCs w:val="18"/>
              </w:rPr>
              <w:t>50 dB(A)</w:t>
            </w:r>
          </w:p>
        </w:tc>
      </w:tr>
    </w:tbl>
    <w:p w:rsidR="00570EAE" w:rsidRPr="009234DE" w:rsidRDefault="00570EAE" w:rsidP="00570EAE">
      <w:pPr>
        <w:ind w:left="425"/>
      </w:pPr>
    </w:p>
    <w:p w:rsidR="00570EAE" w:rsidRPr="009234DE" w:rsidRDefault="00570EAE" w:rsidP="00570EAE">
      <w:pPr>
        <w:ind w:left="425"/>
      </w:pPr>
      <w:r w:rsidRPr="009234DE">
        <w:t>Områderne svarer til følgende områder:</w:t>
      </w:r>
    </w:p>
    <w:p w:rsidR="00570EAE" w:rsidRPr="009234DE" w:rsidRDefault="00570EAE" w:rsidP="00570EAE">
      <w:pPr>
        <w:numPr>
          <w:ilvl w:val="0"/>
          <w:numId w:val="36"/>
        </w:numPr>
      </w:pPr>
      <w:r w:rsidRPr="009234DE">
        <w:t xml:space="preserve">Ved område for håndværksvirksomhed og let industri i lokalplan nr. 58. </w:t>
      </w:r>
    </w:p>
    <w:p w:rsidR="00570EAE" w:rsidRPr="009234DE" w:rsidRDefault="00570EAE" w:rsidP="00570EAE">
      <w:pPr>
        <w:numPr>
          <w:ilvl w:val="0"/>
          <w:numId w:val="36"/>
        </w:numPr>
      </w:pPr>
      <w:r w:rsidRPr="009234DE">
        <w:t>Ved lav boligbebyggelse i Rammeområde nr. 5.B.6 og 5.B.7 i Billund Kommunes Kommuneplan 2013 – 2025</w:t>
      </w:r>
    </w:p>
    <w:p w:rsidR="00570EAE" w:rsidRPr="009234DE" w:rsidRDefault="00570EAE" w:rsidP="00570EAE">
      <w:pPr>
        <w:ind w:left="426" w:hanging="426"/>
        <w:rPr>
          <w:rFonts w:cs="Arial"/>
        </w:rPr>
      </w:pPr>
    </w:p>
    <w:p w:rsidR="00570EAE" w:rsidRPr="009234DE" w:rsidRDefault="00570EAE" w:rsidP="00570EAE">
      <w:pPr>
        <w:pStyle w:val="Brdtekst"/>
        <w:numPr>
          <w:ilvl w:val="0"/>
          <w:numId w:val="3"/>
        </w:numPr>
        <w:tabs>
          <w:tab w:val="clear" w:pos="284"/>
          <w:tab w:val="left" w:pos="-5529"/>
        </w:tabs>
        <w:overflowPunct w:val="0"/>
        <w:autoSpaceDE w:val="0"/>
        <w:autoSpaceDN w:val="0"/>
        <w:adjustRightInd w:val="0"/>
        <w:spacing w:line="280" w:lineRule="atLeast"/>
        <w:ind w:left="425" w:hanging="426"/>
        <w:rPr>
          <w:sz w:val="20"/>
        </w:rPr>
      </w:pPr>
      <w:r w:rsidRPr="009234DE">
        <w:rPr>
          <w:sz w:val="20"/>
        </w:rPr>
        <w:t xml:space="preserve">Virksomheden skal inden 6 måneder efter at udvidelsen er sat i drift, dokumentere over for tilsynsmyndigheden, at støjgrænserne </w:t>
      </w:r>
      <w:r w:rsidRPr="0054134C">
        <w:rPr>
          <w:sz w:val="20"/>
        </w:rPr>
        <w:t>i vilkår 7 er overholdt</w:t>
      </w:r>
      <w:r w:rsidRPr="009234DE">
        <w:rPr>
          <w:sz w:val="20"/>
        </w:rPr>
        <w:t>. Udgifterne til støjdokumentationen afholdes af virksomheden.</w:t>
      </w: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r w:rsidRPr="009234DE">
        <w:rPr>
          <w:sz w:val="20"/>
        </w:rPr>
        <w:t>Dokumentationen skal snarest muligt, og senest 3 måneder herefter, tilsendes tilsynsmyndigheden sammen med oplysninger om driftsforholdene under målingen. Måling skal foretages, når virksomheden er i fuld drift eller efter anden aftale med tilsynsmyndigheden.</w:t>
      </w: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r w:rsidRPr="009234DE">
        <w:rPr>
          <w:sz w:val="20"/>
        </w:rPr>
        <w:lastRenderedPageBreak/>
        <w:t>Målingerne/beregningerne skal foretages som ”Miljømåling – ekstern støj”, jfr. gældende bekendtgørelse om kvalitetskrav til miljømålinger, pt. bekendtgørelse nr. 1903 af 29.12.2015, samt Miljøstyrelsens vejledninger om måling og beregning af ekstern støj. De skal udføres af en person, der er certificeret af Miljøstyrelsens Referencelaboratorium for ekstern støj til at udføre ”Miljømåling – ekstern støj”, eller det udførende laboratorium skal være akkrediteret af Dansk Akkreditering, DANAK, eller af et tilsvarende akkrediteringsorgan, som er medunderskriver af EA´s multilaterale aftale om gensidig anerkendelse.</w:t>
      </w: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r w:rsidRPr="009234DE">
        <w:rPr>
          <w:sz w:val="20"/>
        </w:rPr>
        <w:t xml:space="preserve">Støjdokumentationen skal gentages, når tilsynsmyndigheden finder det påkrævet. Hvis støjgrænserne er overholdt, kan der kun kræves én årlig måling/beregning, med mindre der sker væsentlige ændringer, eller der modtages støjklager. </w:t>
      </w: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p>
    <w:p w:rsidR="00570EAE" w:rsidRPr="009234DE" w:rsidRDefault="00570EAE" w:rsidP="00570EAE">
      <w:pPr>
        <w:pStyle w:val="Brdtekst"/>
        <w:tabs>
          <w:tab w:val="clear" w:pos="284"/>
          <w:tab w:val="left" w:pos="-5529"/>
        </w:tabs>
        <w:overflowPunct w:val="0"/>
        <w:autoSpaceDE w:val="0"/>
        <w:autoSpaceDN w:val="0"/>
        <w:adjustRightInd w:val="0"/>
        <w:spacing w:line="280" w:lineRule="atLeast"/>
        <w:ind w:left="425"/>
        <w:rPr>
          <w:sz w:val="20"/>
        </w:rPr>
      </w:pPr>
      <w:r w:rsidRPr="009234DE">
        <w:rPr>
          <w:sz w:val="20"/>
        </w:rPr>
        <w:t>Støjgrænserne anses for overholdt, hvis målte eller beregnede værdier fratrukket ubestemtheden er mindre end eller lig med støjgrænsen. Målingernes og beregningernes samlede ubestemthed fastsættes i overensstemmelse med Miljøstyrelsens vejledninger. Ubestemtheden må som udgangspunkt ikke være over 3 dB(A).</w:t>
      </w:r>
    </w:p>
    <w:p w:rsidR="00570EAE" w:rsidRPr="009234DE" w:rsidRDefault="00570EAE" w:rsidP="00570EAE">
      <w:pPr>
        <w:pStyle w:val="Brdtekst"/>
        <w:tabs>
          <w:tab w:val="left" w:pos="-5529"/>
        </w:tabs>
        <w:spacing w:line="280" w:lineRule="atLeast"/>
        <w:ind w:left="425" w:hanging="426"/>
        <w:rPr>
          <w:sz w:val="20"/>
        </w:rPr>
      </w:pPr>
    </w:p>
    <w:p w:rsidR="00570EAE" w:rsidRPr="009234DE" w:rsidRDefault="00570EAE" w:rsidP="00570EAE">
      <w:pPr>
        <w:numPr>
          <w:ilvl w:val="0"/>
          <w:numId w:val="3"/>
        </w:numPr>
        <w:ind w:left="425" w:hanging="426"/>
        <w:rPr>
          <w:rFonts w:cs="Arial"/>
        </w:rPr>
      </w:pPr>
      <w:r w:rsidRPr="009234DE">
        <w:rPr>
          <w:rFonts w:cs="Arial"/>
        </w:rPr>
        <w:t>For virksomhedens vibrationer gælder følgende grænser:</w:t>
      </w:r>
    </w:p>
    <w:p w:rsidR="00570EAE" w:rsidRPr="009234DE" w:rsidRDefault="00570EAE" w:rsidP="00570EAE">
      <w:pPr>
        <w:ind w:left="426" w:hanging="426"/>
      </w:pPr>
    </w:p>
    <w:tbl>
      <w:tblPr>
        <w:tblW w:w="60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976"/>
      </w:tblGrid>
      <w:tr w:rsidR="00570EAE" w:rsidRPr="009234DE" w:rsidTr="00E81C8C">
        <w:tc>
          <w:tcPr>
            <w:tcW w:w="3119" w:type="dxa"/>
            <w:shd w:val="clear" w:color="auto" w:fill="D9D9D9"/>
            <w:vAlign w:val="center"/>
          </w:tcPr>
          <w:p w:rsidR="00570EAE" w:rsidRPr="009234DE" w:rsidRDefault="00570EAE" w:rsidP="00E81C8C">
            <w:pPr>
              <w:overflowPunct w:val="0"/>
              <w:autoSpaceDE w:val="0"/>
              <w:autoSpaceDN w:val="0"/>
              <w:adjustRightInd w:val="0"/>
              <w:spacing w:line="240" w:lineRule="auto"/>
              <w:ind w:left="426" w:hanging="426"/>
              <w:textAlignment w:val="baseline"/>
              <w:rPr>
                <w:rFonts w:cs="Arial"/>
                <w:b/>
                <w:sz w:val="18"/>
                <w:szCs w:val="18"/>
                <w:lang w:eastAsia="da-DK"/>
              </w:rPr>
            </w:pPr>
            <w:r w:rsidRPr="009234DE">
              <w:rPr>
                <w:rFonts w:cs="Arial"/>
                <w:b/>
                <w:sz w:val="18"/>
                <w:szCs w:val="18"/>
                <w:lang w:eastAsia="da-DK"/>
              </w:rPr>
              <w:t>Område</w:t>
            </w:r>
          </w:p>
        </w:tc>
        <w:tc>
          <w:tcPr>
            <w:tcW w:w="2976" w:type="dxa"/>
            <w:shd w:val="clear" w:color="auto" w:fill="D9D9D9"/>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lang w:eastAsia="da-DK"/>
              </w:rPr>
            </w:pPr>
            <w:r w:rsidRPr="009234DE">
              <w:rPr>
                <w:rFonts w:cs="Arial"/>
                <w:b/>
                <w:sz w:val="18"/>
                <w:szCs w:val="18"/>
                <w:lang w:eastAsia="da-DK"/>
              </w:rPr>
              <w:t>Vægtet Accelerationsniveau,</w:t>
            </w:r>
          </w:p>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vertAlign w:val="subscript"/>
                <w:lang w:eastAsia="da-DK"/>
              </w:rPr>
            </w:pPr>
            <w:r w:rsidRPr="009234DE">
              <w:rPr>
                <w:rFonts w:cs="Arial"/>
                <w:b/>
                <w:sz w:val="18"/>
                <w:szCs w:val="18"/>
                <w:lang w:eastAsia="da-DK"/>
              </w:rPr>
              <w:t>L</w:t>
            </w:r>
            <w:r w:rsidRPr="009234DE">
              <w:rPr>
                <w:rFonts w:cs="Arial"/>
                <w:b/>
                <w:sz w:val="18"/>
                <w:szCs w:val="18"/>
                <w:vertAlign w:val="subscript"/>
                <w:lang w:eastAsia="da-DK"/>
              </w:rPr>
              <w:t>aw</w:t>
            </w:r>
            <w:r w:rsidRPr="009234DE">
              <w:rPr>
                <w:rFonts w:cs="Arial"/>
                <w:b/>
                <w:sz w:val="18"/>
                <w:szCs w:val="18"/>
                <w:lang w:eastAsia="da-DK"/>
              </w:rPr>
              <w:t xml:space="preserve"> i dB</w:t>
            </w:r>
          </w:p>
        </w:tc>
      </w:tr>
      <w:tr w:rsidR="00570EAE" w:rsidRPr="009234DE" w:rsidTr="00E81C8C">
        <w:tc>
          <w:tcPr>
            <w:tcW w:w="3119" w:type="dxa"/>
            <w:vAlign w:val="center"/>
          </w:tcPr>
          <w:p w:rsidR="00570EAE" w:rsidRPr="009234DE" w:rsidRDefault="00570EAE" w:rsidP="00E81C8C">
            <w:pPr>
              <w:overflowPunct w:val="0"/>
              <w:autoSpaceDE w:val="0"/>
              <w:autoSpaceDN w:val="0"/>
              <w:adjustRightInd w:val="0"/>
              <w:spacing w:line="240" w:lineRule="auto"/>
              <w:ind w:left="426" w:hanging="426"/>
              <w:textAlignment w:val="baseline"/>
              <w:rPr>
                <w:rFonts w:cs="Arial"/>
                <w:sz w:val="18"/>
                <w:szCs w:val="18"/>
                <w:lang w:eastAsia="da-DK"/>
              </w:rPr>
            </w:pPr>
            <w:r w:rsidRPr="009234DE">
              <w:rPr>
                <w:rFonts w:cs="Arial"/>
                <w:sz w:val="18"/>
                <w:szCs w:val="18"/>
                <w:lang w:eastAsia="da-DK"/>
              </w:rPr>
              <w:t>I boliger kl. 18.00 – 07.00</w:t>
            </w:r>
          </w:p>
        </w:tc>
        <w:tc>
          <w:tcPr>
            <w:tcW w:w="2976"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75</w:t>
            </w:r>
          </w:p>
        </w:tc>
      </w:tr>
      <w:tr w:rsidR="00570EAE" w:rsidRPr="009234DE" w:rsidTr="00E81C8C">
        <w:tc>
          <w:tcPr>
            <w:tcW w:w="3119" w:type="dxa"/>
            <w:vAlign w:val="center"/>
          </w:tcPr>
          <w:p w:rsidR="00570EAE" w:rsidRPr="009234DE" w:rsidRDefault="00570EAE" w:rsidP="00E81C8C">
            <w:pPr>
              <w:overflowPunct w:val="0"/>
              <w:autoSpaceDE w:val="0"/>
              <w:autoSpaceDN w:val="0"/>
              <w:adjustRightInd w:val="0"/>
              <w:spacing w:line="240" w:lineRule="auto"/>
              <w:ind w:left="426" w:hanging="426"/>
              <w:textAlignment w:val="baseline"/>
              <w:rPr>
                <w:rFonts w:cs="Arial"/>
                <w:sz w:val="18"/>
                <w:szCs w:val="18"/>
                <w:lang w:eastAsia="da-DK"/>
              </w:rPr>
            </w:pPr>
            <w:r w:rsidRPr="009234DE">
              <w:rPr>
                <w:rFonts w:cs="Arial"/>
                <w:sz w:val="18"/>
                <w:szCs w:val="18"/>
                <w:lang w:eastAsia="da-DK"/>
              </w:rPr>
              <w:t>I boliger kl. 07.00 – 18.00</w:t>
            </w:r>
          </w:p>
          <w:p w:rsidR="00570EAE" w:rsidRPr="009234DE" w:rsidRDefault="00570EAE" w:rsidP="00E81C8C">
            <w:pPr>
              <w:overflowPunct w:val="0"/>
              <w:autoSpaceDE w:val="0"/>
              <w:autoSpaceDN w:val="0"/>
              <w:adjustRightInd w:val="0"/>
              <w:spacing w:line="240" w:lineRule="auto"/>
              <w:ind w:left="426" w:hanging="426"/>
              <w:textAlignment w:val="baseline"/>
              <w:rPr>
                <w:rFonts w:cs="Arial"/>
                <w:sz w:val="18"/>
                <w:szCs w:val="18"/>
                <w:lang w:eastAsia="da-DK"/>
              </w:rPr>
            </w:pPr>
            <w:r w:rsidRPr="009234DE">
              <w:rPr>
                <w:rFonts w:cs="Arial"/>
                <w:sz w:val="18"/>
                <w:szCs w:val="18"/>
                <w:lang w:eastAsia="da-DK"/>
              </w:rPr>
              <w:t>I kontorer, undervisningslokaler og lignende</w:t>
            </w:r>
          </w:p>
        </w:tc>
        <w:tc>
          <w:tcPr>
            <w:tcW w:w="2976"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80</w:t>
            </w:r>
          </w:p>
        </w:tc>
      </w:tr>
      <w:tr w:rsidR="00570EAE" w:rsidRPr="009234DE" w:rsidTr="00E81C8C">
        <w:tc>
          <w:tcPr>
            <w:tcW w:w="3119" w:type="dxa"/>
            <w:vAlign w:val="center"/>
          </w:tcPr>
          <w:p w:rsidR="00570EAE" w:rsidRPr="009234DE" w:rsidRDefault="00570EAE" w:rsidP="00E81C8C">
            <w:pPr>
              <w:overflowPunct w:val="0"/>
              <w:autoSpaceDE w:val="0"/>
              <w:autoSpaceDN w:val="0"/>
              <w:adjustRightInd w:val="0"/>
              <w:spacing w:line="240" w:lineRule="auto"/>
              <w:ind w:left="426" w:hanging="426"/>
              <w:textAlignment w:val="baseline"/>
              <w:rPr>
                <w:rFonts w:cs="Arial"/>
                <w:sz w:val="18"/>
                <w:szCs w:val="18"/>
                <w:lang w:eastAsia="da-DK"/>
              </w:rPr>
            </w:pPr>
            <w:r w:rsidRPr="009234DE">
              <w:rPr>
                <w:rFonts w:cs="Arial"/>
                <w:sz w:val="18"/>
                <w:szCs w:val="18"/>
                <w:lang w:eastAsia="da-DK"/>
              </w:rPr>
              <w:t>Erhvervsbebyggelse</w:t>
            </w:r>
          </w:p>
        </w:tc>
        <w:tc>
          <w:tcPr>
            <w:tcW w:w="2976"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85</w:t>
            </w:r>
          </w:p>
        </w:tc>
      </w:tr>
    </w:tbl>
    <w:p w:rsidR="00570EAE" w:rsidRPr="009234DE" w:rsidRDefault="00570EAE" w:rsidP="00570EAE">
      <w:pPr>
        <w:ind w:left="426" w:hanging="426"/>
      </w:pPr>
    </w:p>
    <w:p w:rsidR="0054134C" w:rsidRDefault="0054134C">
      <w:pPr>
        <w:spacing w:line="240" w:lineRule="auto"/>
      </w:pPr>
      <w:r>
        <w:br w:type="page"/>
      </w:r>
    </w:p>
    <w:p w:rsidR="00570EAE" w:rsidRPr="009234DE" w:rsidRDefault="00570EAE" w:rsidP="00570EAE">
      <w:pPr>
        <w:ind w:left="426"/>
      </w:pPr>
      <w:r w:rsidRPr="009234DE">
        <w:lastRenderedPageBreak/>
        <w:t>For lavfrekvent støj og infralyd gælder følgende grænser:</w:t>
      </w:r>
    </w:p>
    <w:p w:rsidR="00570EAE" w:rsidRPr="009234DE" w:rsidRDefault="00570EAE" w:rsidP="00570EAE">
      <w:pPr>
        <w:ind w:left="426" w:hanging="426"/>
      </w:pP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268"/>
        <w:gridCol w:w="2268"/>
      </w:tblGrid>
      <w:tr w:rsidR="00570EAE" w:rsidRPr="009234DE" w:rsidTr="00E81C8C">
        <w:trPr>
          <w:trHeight w:val="697"/>
        </w:trPr>
        <w:tc>
          <w:tcPr>
            <w:tcW w:w="2693" w:type="dxa"/>
            <w:shd w:val="clear" w:color="auto" w:fill="D9D9D9"/>
            <w:vAlign w:val="center"/>
          </w:tcPr>
          <w:p w:rsidR="00570EAE" w:rsidRPr="009234DE" w:rsidRDefault="00570EAE" w:rsidP="00E81C8C">
            <w:pPr>
              <w:overflowPunct w:val="0"/>
              <w:autoSpaceDE w:val="0"/>
              <w:autoSpaceDN w:val="0"/>
              <w:adjustRightInd w:val="0"/>
              <w:spacing w:line="240" w:lineRule="auto"/>
              <w:ind w:left="426" w:hanging="426"/>
              <w:textAlignment w:val="baseline"/>
              <w:rPr>
                <w:rFonts w:cs="Arial"/>
                <w:b/>
                <w:sz w:val="18"/>
                <w:szCs w:val="18"/>
                <w:lang w:eastAsia="da-DK"/>
              </w:rPr>
            </w:pPr>
            <w:r w:rsidRPr="009234DE">
              <w:rPr>
                <w:rFonts w:cs="Arial"/>
                <w:b/>
                <w:sz w:val="18"/>
                <w:szCs w:val="18"/>
                <w:lang w:eastAsia="da-DK"/>
              </w:rPr>
              <w:t>Område</w:t>
            </w:r>
          </w:p>
        </w:tc>
        <w:tc>
          <w:tcPr>
            <w:tcW w:w="2268" w:type="dxa"/>
            <w:shd w:val="clear" w:color="auto" w:fill="D9D9D9"/>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lang w:eastAsia="da-DK"/>
              </w:rPr>
            </w:pPr>
            <w:r w:rsidRPr="009234DE">
              <w:rPr>
                <w:rFonts w:cs="Arial"/>
                <w:b/>
                <w:sz w:val="18"/>
                <w:szCs w:val="18"/>
                <w:lang w:eastAsia="da-DK"/>
              </w:rPr>
              <w:t>A-vægtet</w:t>
            </w:r>
          </w:p>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lang w:eastAsia="da-DK"/>
              </w:rPr>
            </w:pPr>
            <w:r w:rsidRPr="009234DE">
              <w:rPr>
                <w:rFonts w:cs="Arial"/>
                <w:b/>
                <w:sz w:val="18"/>
                <w:szCs w:val="18"/>
                <w:lang w:eastAsia="da-DK"/>
              </w:rPr>
              <w:t>lydtryksniveau</w:t>
            </w:r>
          </w:p>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vertAlign w:val="subscript"/>
                <w:lang w:eastAsia="da-DK"/>
              </w:rPr>
            </w:pPr>
            <w:r w:rsidRPr="009234DE">
              <w:rPr>
                <w:rFonts w:cs="Arial"/>
                <w:b/>
                <w:sz w:val="18"/>
                <w:szCs w:val="18"/>
                <w:lang w:eastAsia="da-DK"/>
              </w:rPr>
              <w:t>(10 – 160 Hz), dB</w:t>
            </w:r>
          </w:p>
        </w:tc>
        <w:tc>
          <w:tcPr>
            <w:tcW w:w="2268" w:type="dxa"/>
            <w:shd w:val="clear" w:color="auto" w:fill="D9D9D9"/>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lang w:eastAsia="da-DK"/>
              </w:rPr>
            </w:pPr>
            <w:r w:rsidRPr="009234DE">
              <w:rPr>
                <w:rFonts w:cs="Arial"/>
                <w:b/>
                <w:sz w:val="18"/>
                <w:szCs w:val="18"/>
                <w:lang w:eastAsia="da-DK"/>
              </w:rPr>
              <w:t>G-vægtet</w:t>
            </w:r>
          </w:p>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lang w:eastAsia="da-DK"/>
              </w:rPr>
            </w:pPr>
            <w:r w:rsidRPr="009234DE">
              <w:rPr>
                <w:rFonts w:cs="Arial"/>
                <w:b/>
                <w:sz w:val="18"/>
                <w:szCs w:val="18"/>
                <w:lang w:eastAsia="da-DK"/>
              </w:rPr>
              <w:t>infralydniveau</w:t>
            </w:r>
          </w:p>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b/>
                <w:sz w:val="18"/>
                <w:szCs w:val="18"/>
                <w:vertAlign w:val="subscript"/>
                <w:lang w:eastAsia="da-DK"/>
              </w:rPr>
            </w:pPr>
            <w:r w:rsidRPr="009234DE">
              <w:rPr>
                <w:rFonts w:cs="Arial"/>
                <w:b/>
                <w:sz w:val="18"/>
                <w:szCs w:val="18"/>
                <w:lang w:eastAsia="da-DK"/>
              </w:rPr>
              <w:t>(&lt; 20 Hz), dB</w:t>
            </w:r>
          </w:p>
        </w:tc>
      </w:tr>
      <w:tr w:rsidR="00570EAE" w:rsidRPr="009234DE" w:rsidTr="00E81C8C">
        <w:trPr>
          <w:trHeight w:val="465"/>
        </w:trPr>
        <w:tc>
          <w:tcPr>
            <w:tcW w:w="2693" w:type="dxa"/>
            <w:vAlign w:val="center"/>
          </w:tcPr>
          <w:p w:rsidR="00570EAE" w:rsidRPr="009234DE" w:rsidRDefault="00570EAE" w:rsidP="00E81C8C">
            <w:pPr>
              <w:overflowPunct w:val="0"/>
              <w:autoSpaceDE w:val="0"/>
              <w:autoSpaceDN w:val="0"/>
              <w:adjustRightInd w:val="0"/>
              <w:spacing w:line="240" w:lineRule="auto"/>
              <w:ind w:left="33" w:hanging="33"/>
              <w:textAlignment w:val="baseline"/>
              <w:rPr>
                <w:rFonts w:cs="Arial"/>
                <w:sz w:val="18"/>
                <w:szCs w:val="18"/>
                <w:lang w:eastAsia="da-DK"/>
              </w:rPr>
            </w:pPr>
            <w:r w:rsidRPr="009234DE">
              <w:rPr>
                <w:rFonts w:cs="Arial"/>
                <w:sz w:val="18"/>
                <w:szCs w:val="18"/>
                <w:lang w:eastAsia="da-DK"/>
              </w:rPr>
              <w:t>I boliger, institutioner og lignende kl. 18.00 – 07.00</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20</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85</w:t>
            </w:r>
          </w:p>
        </w:tc>
      </w:tr>
      <w:tr w:rsidR="00570EAE" w:rsidRPr="009234DE" w:rsidTr="00E81C8C">
        <w:trPr>
          <w:trHeight w:val="465"/>
        </w:trPr>
        <w:tc>
          <w:tcPr>
            <w:tcW w:w="2693" w:type="dxa"/>
            <w:vAlign w:val="center"/>
          </w:tcPr>
          <w:p w:rsidR="00570EAE" w:rsidRPr="009234DE" w:rsidRDefault="00570EAE" w:rsidP="00E81C8C">
            <w:pPr>
              <w:overflowPunct w:val="0"/>
              <w:autoSpaceDE w:val="0"/>
              <w:autoSpaceDN w:val="0"/>
              <w:adjustRightInd w:val="0"/>
              <w:spacing w:line="240" w:lineRule="auto"/>
              <w:ind w:left="33" w:hanging="33"/>
              <w:textAlignment w:val="baseline"/>
              <w:rPr>
                <w:rFonts w:cs="Arial"/>
                <w:sz w:val="18"/>
                <w:szCs w:val="18"/>
                <w:lang w:eastAsia="da-DK"/>
              </w:rPr>
            </w:pPr>
            <w:r w:rsidRPr="009234DE">
              <w:rPr>
                <w:rFonts w:cs="Arial"/>
                <w:sz w:val="18"/>
                <w:szCs w:val="18"/>
                <w:lang w:eastAsia="da-DK"/>
              </w:rPr>
              <w:t>I boliger, institutioner og lignende kl. 07.00 – 18.00</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25</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85</w:t>
            </w:r>
          </w:p>
        </w:tc>
      </w:tr>
      <w:tr w:rsidR="00570EAE" w:rsidRPr="009234DE" w:rsidTr="00E81C8C">
        <w:trPr>
          <w:trHeight w:val="697"/>
        </w:trPr>
        <w:tc>
          <w:tcPr>
            <w:tcW w:w="2693" w:type="dxa"/>
            <w:vAlign w:val="center"/>
          </w:tcPr>
          <w:p w:rsidR="00570EAE" w:rsidRPr="009234DE" w:rsidRDefault="00570EAE" w:rsidP="00E81C8C">
            <w:pPr>
              <w:overflowPunct w:val="0"/>
              <w:autoSpaceDE w:val="0"/>
              <w:autoSpaceDN w:val="0"/>
              <w:adjustRightInd w:val="0"/>
              <w:spacing w:line="240" w:lineRule="auto"/>
              <w:ind w:left="33" w:hanging="33"/>
              <w:textAlignment w:val="baseline"/>
              <w:rPr>
                <w:rFonts w:cs="Arial"/>
                <w:sz w:val="18"/>
                <w:szCs w:val="18"/>
                <w:lang w:eastAsia="da-DK"/>
              </w:rPr>
            </w:pPr>
            <w:r w:rsidRPr="009234DE">
              <w:rPr>
                <w:rFonts w:cs="Arial"/>
                <w:sz w:val="18"/>
                <w:szCs w:val="18"/>
                <w:lang w:eastAsia="da-DK"/>
              </w:rPr>
              <w:t>I kontorer, undervisningslokaler og andre lignende støjfølsomme rum</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30</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85</w:t>
            </w:r>
          </w:p>
        </w:tc>
      </w:tr>
      <w:tr w:rsidR="00570EAE" w:rsidRPr="009234DE" w:rsidTr="00E81C8C">
        <w:trPr>
          <w:trHeight w:val="465"/>
        </w:trPr>
        <w:tc>
          <w:tcPr>
            <w:tcW w:w="2693" w:type="dxa"/>
            <w:vAlign w:val="center"/>
          </w:tcPr>
          <w:p w:rsidR="00570EAE" w:rsidRPr="009234DE" w:rsidRDefault="00570EAE" w:rsidP="00E81C8C">
            <w:pPr>
              <w:overflowPunct w:val="0"/>
              <w:autoSpaceDE w:val="0"/>
              <w:autoSpaceDN w:val="0"/>
              <w:adjustRightInd w:val="0"/>
              <w:spacing w:line="240" w:lineRule="auto"/>
              <w:ind w:left="33" w:hanging="33"/>
              <w:textAlignment w:val="baseline"/>
              <w:rPr>
                <w:rFonts w:cs="Arial"/>
                <w:sz w:val="18"/>
                <w:szCs w:val="18"/>
                <w:lang w:eastAsia="da-DK"/>
              </w:rPr>
            </w:pPr>
            <w:r w:rsidRPr="009234DE">
              <w:rPr>
                <w:rFonts w:cs="Arial"/>
                <w:sz w:val="18"/>
                <w:szCs w:val="18"/>
                <w:lang w:eastAsia="da-DK"/>
              </w:rPr>
              <w:t>I øvrige rum i virksomheder</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35</w:t>
            </w:r>
          </w:p>
        </w:tc>
        <w:tc>
          <w:tcPr>
            <w:tcW w:w="2268" w:type="dxa"/>
            <w:vAlign w:val="center"/>
          </w:tcPr>
          <w:p w:rsidR="00570EAE" w:rsidRPr="009234DE" w:rsidRDefault="00570EAE" w:rsidP="00E81C8C">
            <w:pPr>
              <w:overflowPunct w:val="0"/>
              <w:autoSpaceDE w:val="0"/>
              <w:autoSpaceDN w:val="0"/>
              <w:adjustRightInd w:val="0"/>
              <w:spacing w:line="240" w:lineRule="auto"/>
              <w:ind w:left="426" w:hanging="426"/>
              <w:jc w:val="center"/>
              <w:textAlignment w:val="baseline"/>
              <w:rPr>
                <w:rFonts w:cs="Arial"/>
                <w:sz w:val="18"/>
                <w:szCs w:val="18"/>
                <w:lang w:eastAsia="da-DK"/>
              </w:rPr>
            </w:pPr>
            <w:r w:rsidRPr="009234DE">
              <w:rPr>
                <w:rFonts w:cs="Arial"/>
                <w:sz w:val="18"/>
                <w:szCs w:val="18"/>
                <w:lang w:eastAsia="da-DK"/>
              </w:rPr>
              <w:t>90</w:t>
            </w:r>
          </w:p>
        </w:tc>
      </w:tr>
    </w:tbl>
    <w:p w:rsidR="00570EAE" w:rsidRPr="009234DE" w:rsidRDefault="00570EAE" w:rsidP="00570EAE">
      <w:pPr>
        <w:ind w:left="426" w:hanging="426"/>
      </w:pPr>
    </w:p>
    <w:p w:rsidR="00570EAE" w:rsidRPr="009234DE" w:rsidRDefault="00570EAE" w:rsidP="00570EAE">
      <w:pPr>
        <w:pStyle w:val="Listeafsnit"/>
        <w:numPr>
          <w:ilvl w:val="0"/>
          <w:numId w:val="3"/>
        </w:numPr>
        <w:tabs>
          <w:tab w:val="clear" w:pos="284"/>
        </w:tabs>
        <w:overflowPunct w:val="0"/>
        <w:autoSpaceDE w:val="0"/>
        <w:autoSpaceDN w:val="0"/>
        <w:spacing w:line="280" w:lineRule="atLeast"/>
        <w:ind w:left="426" w:hanging="426"/>
        <w:jc w:val="left"/>
        <w:rPr>
          <w:sz w:val="20"/>
          <w:szCs w:val="20"/>
        </w:rPr>
      </w:pPr>
      <w:r w:rsidRPr="009234DE">
        <w:rPr>
          <w:sz w:val="20"/>
          <w:szCs w:val="20"/>
        </w:rPr>
        <w:t xml:space="preserve">På tilsynsmyndighedens forlangende skal virksomheden dokumentere, at støjgrænser og vibrationsgrænser, jf. </w:t>
      </w:r>
      <w:r w:rsidRPr="0054134C">
        <w:rPr>
          <w:sz w:val="20"/>
          <w:szCs w:val="20"/>
        </w:rPr>
        <w:t xml:space="preserve">vilkår </w:t>
      </w:r>
      <w:r w:rsidRPr="009234DE">
        <w:rPr>
          <w:sz w:val="20"/>
          <w:szCs w:val="20"/>
        </w:rPr>
        <w:t>9, er overholdt. Udgifterne til dokumentationen afholdes af virksomheden.</w:t>
      </w:r>
    </w:p>
    <w:p w:rsidR="00570EAE" w:rsidRPr="009234DE" w:rsidRDefault="00570EAE" w:rsidP="00570EAE">
      <w:pPr>
        <w:pStyle w:val="Listeafsnit"/>
        <w:tabs>
          <w:tab w:val="clear" w:pos="284"/>
        </w:tabs>
        <w:overflowPunct w:val="0"/>
        <w:autoSpaceDE w:val="0"/>
        <w:autoSpaceDN w:val="0"/>
        <w:spacing w:line="280" w:lineRule="atLeast"/>
        <w:ind w:left="426"/>
        <w:jc w:val="left"/>
        <w:rPr>
          <w:sz w:val="20"/>
          <w:szCs w:val="20"/>
        </w:rPr>
      </w:pPr>
    </w:p>
    <w:p w:rsidR="00570EAE" w:rsidRPr="009234DE" w:rsidRDefault="00570EAE" w:rsidP="00570EAE">
      <w:pPr>
        <w:pStyle w:val="Listeafsnit"/>
        <w:tabs>
          <w:tab w:val="clear" w:pos="284"/>
        </w:tabs>
        <w:overflowPunct w:val="0"/>
        <w:autoSpaceDE w:val="0"/>
        <w:autoSpaceDN w:val="0"/>
        <w:spacing w:line="280" w:lineRule="atLeast"/>
        <w:ind w:left="426"/>
        <w:jc w:val="left"/>
        <w:rPr>
          <w:bCs/>
          <w:sz w:val="20"/>
          <w:szCs w:val="20"/>
        </w:rPr>
      </w:pPr>
      <w:r w:rsidRPr="009234DE">
        <w:rPr>
          <w:sz w:val="20"/>
          <w:szCs w:val="20"/>
        </w:rPr>
        <w:t xml:space="preserve">Dokumentationen skal senest 3 måneder efter, at kravet er fremsat, tilsendes tilsynsmyndigheden sammen med oplysninger om driftsforholdene under målingen. </w:t>
      </w:r>
      <w:r w:rsidRPr="009234DE">
        <w:rPr>
          <w:bCs/>
          <w:sz w:val="20"/>
          <w:szCs w:val="20"/>
        </w:rPr>
        <w:t>Måling skal foretages, når virksomheden er i fuld drift eller efter anden aftale med tilsynsmyndigheden.</w:t>
      </w:r>
    </w:p>
    <w:p w:rsidR="00570EAE" w:rsidRPr="009234DE" w:rsidRDefault="00570EAE" w:rsidP="00570EAE">
      <w:pPr>
        <w:pStyle w:val="Listeafsnit"/>
        <w:tabs>
          <w:tab w:val="clear" w:pos="284"/>
        </w:tabs>
        <w:overflowPunct w:val="0"/>
        <w:autoSpaceDE w:val="0"/>
        <w:autoSpaceDN w:val="0"/>
        <w:spacing w:line="280" w:lineRule="atLeast"/>
        <w:ind w:left="426"/>
        <w:jc w:val="left"/>
        <w:rPr>
          <w:bCs/>
          <w:sz w:val="20"/>
          <w:szCs w:val="20"/>
        </w:rPr>
      </w:pPr>
    </w:p>
    <w:p w:rsidR="00570EAE" w:rsidRPr="009234DE" w:rsidRDefault="00570EAE" w:rsidP="00570EAE">
      <w:pPr>
        <w:pStyle w:val="Listeafsnit"/>
        <w:tabs>
          <w:tab w:val="clear" w:pos="284"/>
        </w:tabs>
        <w:overflowPunct w:val="0"/>
        <w:autoSpaceDE w:val="0"/>
        <w:autoSpaceDN w:val="0"/>
        <w:spacing w:line="280" w:lineRule="atLeast"/>
        <w:ind w:left="426"/>
        <w:jc w:val="left"/>
        <w:rPr>
          <w:sz w:val="20"/>
          <w:szCs w:val="20"/>
        </w:rPr>
      </w:pPr>
      <w:r w:rsidRPr="009234DE">
        <w:rPr>
          <w:sz w:val="20"/>
          <w:szCs w:val="20"/>
        </w:rPr>
        <w:t>Målingerne skal udføres efter gældende retningslinjer fra Miljøstyrelsen, pt. Orientering nr. 9 fra 1997 om lavfrekvent støj, infralyd og vibrationer i eksternt miljø. Dokumentationen skal udføres af en person, der er certificeret af Miljøstyrelsens Referencelaboratorium for ekstern støj til at udføre ”Miljømåling – ekstern støj”, eller det udførende laboratorium skal være akkrediteret af Dansk Akkreditering, DANAK, eller af et tilsvarende akkrediteringsorgan, som er medunderskriver af EA´s multilaterale aftale om gensidig anerkendelse.</w:t>
      </w:r>
    </w:p>
    <w:p w:rsidR="00570EAE" w:rsidRPr="009234DE" w:rsidRDefault="00570EAE" w:rsidP="00570EAE">
      <w:pPr>
        <w:pStyle w:val="Listeafsnit"/>
        <w:tabs>
          <w:tab w:val="clear" w:pos="284"/>
        </w:tabs>
        <w:overflowPunct w:val="0"/>
        <w:autoSpaceDE w:val="0"/>
        <w:autoSpaceDN w:val="0"/>
        <w:spacing w:line="280" w:lineRule="atLeast"/>
        <w:ind w:left="426"/>
        <w:jc w:val="left"/>
        <w:rPr>
          <w:sz w:val="20"/>
          <w:szCs w:val="20"/>
        </w:rPr>
      </w:pPr>
    </w:p>
    <w:p w:rsidR="00570EAE" w:rsidRPr="009234DE" w:rsidRDefault="00570EAE" w:rsidP="00570EAE">
      <w:pPr>
        <w:pStyle w:val="Listeafsnit"/>
        <w:tabs>
          <w:tab w:val="clear" w:pos="284"/>
        </w:tabs>
        <w:overflowPunct w:val="0"/>
        <w:autoSpaceDE w:val="0"/>
        <w:autoSpaceDN w:val="0"/>
        <w:spacing w:line="280" w:lineRule="atLeast"/>
        <w:ind w:left="426"/>
        <w:jc w:val="left"/>
        <w:rPr>
          <w:sz w:val="20"/>
          <w:szCs w:val="20"/>
        </w:rPr>
      </w:pPr>
      <w:r w:rsidRPr="009234DE">
        <w:rPr>
          <w:sz w:val="20"/>
          <w:szCs w:val="20"/>
        </w:rPr>
        <w:t xml:space="preserve">Dokumentationen skal gentages, når tilsynsmyndigheden finder det påkrævet. Hvis grænseværdierne er overholdt, kan der kun kræves én årlig måling/beregning, med mindre der sker væsentlige ændringer, eller der modtages klager. </w:t>
      </w:r>
    </w:p>
    <w:p w:rsidR="00570EAE" w:rsidRPr="009234DE" w:rsidRDefault="00570EAE" w:rsidP="00570EAE">
      <w:pPr>
        <w:pStyle w:val="Listeafsnit"/>
        <w:tabs>
          <w:tab w:val="clear" w:pos="284"/>
        </w:tabs>
        <w:overflowPunct w:val="0"/>
        <w:autoSpaceDE w:val="0"/>
        <w:autoSpaceDN w:val="0"/>
        <w:spacing w:line="280" w:lineRule="atLeast"/>
        <w:ind w:left="426"/>
        <w:jc w:val="left"/>
        <w:rPr>
          <w:sz w:val="20"/>
          <w:szCs w:val="20"/>
        </w:rPr>
      </w:pPr>
    </w:p>
    <w:p w:rsidR="00570EAE" w:rsidRPr="009234DE" w:rsidRDefault="00570EAE" w:rsidP="00570EAE">
      <w:pPr>
        <w:pStyle w:val="Listeafsnit"/>
        <w:tabs>
          <w:tab w:val="clear" w:pos="284"/>
        </w:tabs>
        <w:overflowPunct w:val="0"/>
        <w:autoSpaceDE w:val="0"/>
        <w:autoSpaceDN w:val="0"/>
        <w:spacing w:line="280" w:lineRule="atLeast"/>
        <w:ind w:left="426"/>
        <w:jc w:val="left"/>
        <w:rPr>
          <w:sz w:val="20"/>
          <w:szCs w:val="20"/>
        </w:rPr>
      </w:pPr>
      <w:r w:rsidRPr="009234DE">
        <w:rPr>
          <w:sz w:val="20"/>
          <w:szCs w:val="20"/>
        </w:rPr>
        <w:t>Grænseværdier for vibrationer, infralyd og lavfrekvent støj anses for overskredet, hvis en enkelt måling overskrider grænseværdien</w:t>
      </w:r>
    </w:p>
    <w:p w:rsidR="00570EAE" w:rsidRPr="009234DE" w:rsidRDefault="00570EAE" w:rsidP="00570EAE">
      <w:pPr>
        <w:pStyle w:val="Overskrift2"/>
        <w:numPr>
          <w:ilvl w:val="1"/>
          <w:numId w:val="1"/>
        </w:numPr>
        <w:spacing w:before="240" w:after="240"/>
        <w:ind w:left="426" w:hanging="426"/>
      </w:pPr>
      <w:r w:rsidRPr="009234DE">
        <w:t>Luftforurening</w:t>
      </w:r>
    </w:p>
    <w:p w:rsidR="00570EAE" w:rsidRPr="009234DE" w:rsidRDefault="00570EAE" w:rsidP="00570EAE">
      <w:pPr>
        <w:ind w:left="426"/>
      </w:pPr>
    </w:p>
    <w:p w:rsidR="00570EAE" w:rsidRPr="009234DE" w:rsidRDefault="00570EAE" w:rsidP="00570EAE">
      <w:pPr>
        <w:numPr>
          <w:ilvl w:val="0"/>
          <w:numId w:val="3"/>
        </w:numPr>
        <w:ind w:left="426" w:hanging="426"/>
      </w:pPr>
      <w:r w:rsidRPr="009234DE">
        <w:t>De enkelte kedelanlæg skal overholde de respektive emissionsgrænseværdier, der er anført nedenfor i tabel 1. Når røggasser fra to eller flere særskilte kedelanlæg udledes gennem en fælles skorsten, anses en sådan kombination af anlæg for at være et enkelt kedelanlæg, og deres samlede kapacitet betragtes under ét i forbindelse med beregningen af den samlede nominelle indfyrede termiske effekt. Hvis to eller flere særskilte kedelanlæg installeres således, at røggasserne herfra, under hensyntagen til både tekniske og økonomiske forhold, efter godkendelsesmyndighedens vurdering kan udledes gennem en fælles skorsten, anses en sådan kombination af anlæg for at være et enkelt fyringsanlæg, og den samlede kapacitet betragtes under ét i forbindelse med beregning af den samlede nominelle indfyrede termiske effekt.</w:t>
      </w:r>
    </w:p>
    <w:p w:rsidR="00570EAE" w:rsidRPr="009234DE" w:rsidRDefault="00570EAE" w:rsidP="00570EAE">
      <w:pPr>
        <w:ind w:left="426"/>
      </w:pPr>
    </w:p>
    <w:p w:rsidR="00570EAE" w:rsidRPr="009234DE" w:rsidRDefault="00570EAE" w:rsidP="00570EAE">
      <w:pPr>
        <w:ind w:left="426"/>
      </w:pPr>
      <w:r w:rsidRPr="009234DE">
        <w:t>Ved »skorsten« forstås en struktur med en eller flere røgkanaler, der udleder røggasser med henblik på udledning i luften.</w:t>
      </w:r>
    </w:p>
    <w:p w:rsidR="00570EAE" w:rsidRPr="009234DE" w:rsidRDefault="00570EAE" w:rsidP="00570EAE">
      <w:pPr>
        <w:ind w:left="426"/>
      </w:pPr>
    </w:p>
    <w:p w:rsidR="00570EAE" w:rsidRPr="009234DE" w:rsidRDefault="00570EAE" w:rsidP="00570EAE">
      <w:pPr>
        <w:ind w:left="426"/>
      </w:pPr>
      <w:r w:rsidRPr="009234DE">
        <w:t>Ved beregning af den samlede nominelle indfyrede effekt fra en kombination af to eller flere særskilte kedelanlæg medregnes ikke særskilte kedelanlæg med en nominel indfyret termisk effekt på under 120 kW.</w:t>
      </w:r>
    </w:p>
    <w:p w:rsidR="00570EAE" w:rsidRPr="009234DE" w:rsidRDefault="00570EAE" w:rsidP="00570EAE">
      <w:pPr>
        <w:ind w:left="426"/>
      </w:pPr>
    </w:p>
    <w:p w:rsidR="00570EAE" w:rsidRPr="009234DE" w:rsidRDefault="00570EAE" w:rsidP="00570EAE">
      <w:pPr>
        <w:ind w:left="426"/>
      </w:pPr>
      <w:r w:rsidRPr="009234DE">
        <w:rPr>
          <w:i/>
          <w:iCs/>
        </w:rPr>
        <w:t>Tabel 1.</w:t>
      </w:r>
      <w:r w:rsidRPr="009234DE">
        <w:t> </w:t>
      </w:r>
      <w:r w:rsidRPr="009234DE">
        <w:rPr>
          <w:i/>
          <w:iCs/>
        </w:rPr>
        <w:t>Emissionsgrænseværdier for kedelanlæg</w:t>
      </w:r>
    </w:p>
    <w:tbl>
      <w:tblPr>
        <w:tblW w:w="7913" w:type="dxa"/>
        <w:tblInd w:w="441" w:type="dxa"/>
        <w:tblCellMar>
          <w:top w:w="15" w:type="dxa"/>
          <w:left w:w="15" w:type="dxa"/>
          <w:bottom w:w="15" w:type="dxa"/>
          <w:right w:w="15" w:type="dxa"/>
        </w:tblCellMar>
        <w:tblLook w:val="04A0" w:firstRow="1" w:lastRow="0" w:firstColumn="1" w:lastColumn="0" w:noHBand="0" w:noVBand="1"/>
      </w:tblPr>
      <w:tblGrid>
        <w:gridCol w:w="1842"/>
        <w:gridCol w:w="1560"/>
        <w:gridCol w:w="917"/>
        <w:gridCol w:w="366"/>
        <w:gridCol w:w="484"/>
        <w:gridCol w:w="271"/>
        <w:gridCol w:w="263"/>
        <w:gridCol w:w="335"/>
        <w:gridCol w:w="1875"/>
      </w:tblGrid>
      <w:tr w:rsidR="00570EAE" w:rsidRPr="009234DE" w:rsidTr="0054134C">
        <w:trPr>
          <w:trHeight w:val="645"/>
        </w:trPr>
        <w:tc>
          <w:tcPr>
            <w:tcW w:w="1842" w:type="dxa"/>
            <w:vMerge w:val="restart"/>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b/>
                <w:bCs/>
                <w:sz w:val="22"/>
                <w:szCs w:val="22"/>
              </w:rPr>
              <w:t>Brændsel</w:t>
            </w:r>
          </w:p>
        </w:tc>
        <w:tc>
          <w:tcPr>
            <w:tcW w:w="1560" w:type="dxa"/>
            <w:vMerge w:val="restart"/>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b/>
                <w:bCs/>
                <w:sz w:val="22"/>
                <w:szCs w:val="22"/>
              </w:rPr>
              <w:t>Samlet nominel indfyret effekt</w:t>
            </w:r>
          </w:p>
        </w:tc>
        <w:tc>
          <w:tcPr>
            <w:tcW w:w="4511" w:type="dxa"/>
            <w:gridSpan w:val="7"/>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b/>
                <w:bCs/>
                <w:sz w:val="22"/>
                <w:szCs w:val="22"/>
              </w:rPr>
              <w:t>Emissionsgrænseværdier¬</w:t>
            </w:r>
            <w:r w:rsidRPr="009234DE">
              <w:rPr>
                <w:rFonts w:ascii="Calibri" w:eastAsia="Calibri" w:hAnsi="Calibri"/>
                <w:sz w:val="22"/>
                <w:szCs w:val="22"/>
              </w:rPr>
              <w:t>mg/normal m</w:t>
            </w:r>
            <w:r w:rsidRPr="009234DE">
              <w:rPr>
                <w:rFonts w:ascii="Calibri" w:eastAsia="Calibri" w:hAnsi="Calibri"/>
                <w:sz w:val="22"/>
                <w:szCs w:val="22"/>
                <w:vertAlign w:val="superscript"/>
              </w:rPr>
              <w:t>3</w:t>
            </w:r>
            <w:r w:rsidRPr="009234DE">
              <w:rPr>
                <w:rFonts w:ascii="Calibri" w:eastAsia="Calibri" w:hAnsi="Calibri"/>
                <w:sz w:val="22"/>
                <w:szCs w:val="22"/>
              </w:rPr>
              <w:t> ved 10 % O</w:t>
            </w:r>
            <w:r w:rsidRPr="009234DE">
              <w:rPr>
                <w:rFonts w:ascii="Calibri" w:eastAsia="Calibri" w:hAnsi="Calibri"/>
                <w:sz w:val="22"/>
                <w:szCs w:val="22"/>
                <w:vertAlign w:val="subscript"/>
              </w:rPr>
              <w:t>2</w:t>
            </w:r>
            <w:r w:rsidRPr="009234DE">
              <w:rPr>
                <w:rFonts w:ascii="Calibri" w:eastAsia="Calibri" w:hAnsi="Calibri"/>
                <w:sz w:val="22"/>
                <w:szCs w:val="22"/>
              </w:rPr>
              <w:t> tør røggas</w:t>
            </w:r>
          </w:p>
        </w:tc>
      </w:tr>
      <w:tr w:rsidR="00570EAE" w:rsidRPr="009234DE" w:rsidTr="0054134C">
        <w:trPr>
          <w:trHeight w:val="345"/>
        </w:trPr>
        <w:tc>
          <w:tcPr>
            <w:tcW w:w="1842" w:type="dxa"/>
            <w:vMerge/>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spacing w:line="240" w:lineRule="auto"/>
              <w:rPr>
                <w:rFonts w:ascii="Calibri" w:eastAsia="Calibri" w:hAnsi="Calibri"/>
                <w:sz w:val="22"/>
                <w:szCs w:val="22"/>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spacing w:line="240" w:lineRule="auto"/>
              <w:rPr>
                <w:rFonts w:ascii="Calibri" w:eastAsia="Calibri" w:hAnsi="Calibri"/>
                <w:sz w:val="22"/>
                <w:szCs w:val="22"/>
              </w:rPr>
            </w:pPr>
          </w:p>
        </w:tc>
        <w:tc>
          <w:tcPr>
            <w:tcW w:w="915" w:type="dxa"/>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Støv</w:t>
            </w:r>
          </w:p>
        </w:tc>
        <w:tc>
          <w:tcPr>
            <w:tcW w:w="0" w:type="auto"/>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CO</w:t>
            </w:r>
          </w:p>
        </w:tc>
        <w:tc>
          <w:tcPr>
            <w:tcW w:w="0" w:type="auto"/>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NOx</w:t>
            </w:r>
            <w:bookmarkStart w:id="29" w:name="Henvisning_id4a25a72b-6414-465c-aec4-ffc"/>
            <w:r w:rsidRPr="009234DE">
              <w:rPr>
                <w:rFonts w:ascii="Calibri" w:eastAsia="Calibri" w:hAnsi="Calibri"/>
                <w:sz w:val="22"/>
                <w:szCs w:val="22"/>
              </w:rPr>
              <w:fldChar w:fldCharType="begin"/>
            </w:r>
            <w:r w:rsidRPr="009234DE">
              <w:rPr>
                <w:rFonts w:ascii="Calibri" w:eastAsia="Calibri" w:hAnsi="Calibri"/>
                <w:sz w:val="22"/>
                <w:szCs w:val="22"/>
              </w:rPr>
              <w:instrText xml:space="preserve"> HYPERLINK "https://www.retsinformation.dk/Forms/R0710.aspx?id=175827" \l "id4a25a72b-6414-465c-aec4-ffc7eed9f1b9" </w:instrText>
            </w:r>
            <w:r w:rsidRPr="009234DE">
              <w:rPr>
                <w:rFonts w:ascii="Calibri" w:eastAsia="Calibri" w:hAnsi="Calibri"/>
                <w:sz w:val="22"/>
                <w:szCs w:val="22"/>
              </w:rPr>
              <w:fldChar w:fldCharType="separate"/>
            </w:r>
            <w:r w:rsidRPr="009234DE">
              <w:rPr>
                <w:rFonts w:ascii="Calibri" w:eastAsia="Calibri" w:hAnsi="Calibri"/>
                <w:sz w:val="22"/>
                <w:szCs w:val="22"/>
                <w:u w:val="single"/>
                <w:vertAlign w:val="superscript"/>
              </w:rPr>
              <w:t>*</w:t>
            </w:r>
            <w:r w:rsidRPr="009234DE">
              <w:rPr>
                <w:rFonts w:ascii="Calibri" w:eastAsia="Calibri" w:hAnsi="Calibri"/>
                <w:sz w:val="22"/>
                <w:szCs w:val="22"/>
              </w:rPr>
              <w:fldChar w:fldCharType="end"/>
            </w:r>
            <w:bookmarkEnd w:id="29"/>
          </w:p>
        </w:tc>
        <w:tc>
          <w:tcPr>
            <w:tcW w:w="0" w:type="auto"/>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Hg</w:t>
            </w:r>
          </w:p>
        </w:tc>
        <w:tc>
          <w:tcPr>
            <w:tcW w:w="0" w:type="auto"/>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Cd</w:t>
            </w:r>
          </w:p>
        </w:tc>
        <w:tc>
          <w:tcPr>
            <w:tcW w:w="0" w:type="auto"/>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HCl</w:t>
            </w:r>
          </w:p>
        </w:tc>
        <w:tc>
          <w:tcPr>
            <w:tcW w:w="1873" w:type="dxa"/>
            <w:tcBorders>
              <w:top w:val="single" w:sz="8" w:space="0" w:color="000000"/>
              <w:left w:val="single" w:sz="8" w:space="0" w:color="000000"/>
              <w:bottom w:val="single" w:sz="8" w:space="0" w:color="000000"/>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Tungmetaller</w:t>
            </w:r>
          </w:p>
        </w:tc>
      </w:tr>
      <w:tr w:rsidR="00570EAE" w:rsidRPr="009234DE" w:rsidTr="0054134C">
        <w:trPr>
          <w:trHeight w:val="875"/>
        </w:trPr>
        <w:tc>
          <w:tcPr>
            <w:tcW w:w="1842" w:type="dxa"/>
            <w:tcBorders>
              <w:top w:val="single" w:sz="8" w:space="0" w:color="000000"/>
              <w:left w:val="single" w:sz="8" w:space="0" w:color="000000"/>
              <w:bottom w:val="single" w:sz="4" w:space="0" w:color="auto"/>
              <w:right w:val="single" w:sz="8" w:space="0" w:color="000000"/>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Naturgas og biogas</w:t>
            </w:r>
          </w:p>
        </w:tc>
        <w:tc>
          <w:tcPr>
            <w:tcW w:w="1560" w:type="dxa"/>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120 kW – 50 MW</w:t>
            </w:r>
          </w:p>
        </w:tc>
        <w:tc>
          <w:tcPr>
            <w:tcW w:w="915" w:type="dxa"/>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0" w:type="auto"/>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75</w:t>
            </w:r>
          </w:p>
        </w:tc>
        <w:tc>
          <w:tcPr>
            <w:tcW w:w="0" w:type="auto"/>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65</w:t>
            </w:r>
          </w:p>
        </w:tc>
        <w:tc>
          <w:tcPr>
            <w:tcW w:w="0" w:type="auto"/>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0" w:type="auto"/>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0" w:type="auto"/>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1873" w:type="dxa"/>
            <w:tcBorders>
              <w:top w:val="single" w:sz="8" w:space="0" w:color="000000"/>
              <w:left w:val="single" w:sz="8" w:space="0" w:color="000000"/>
              <w:bottom w:val="single" w:sz="4" w:space="0" w:color="auto"/>
              <w:right w:val="single" w:sz="8" w:space="0" w:color="000000"/>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r>
      <w:tr w:rsidR="00570EAE" w:rsidRPr="009234DE" w:rsidTr="0054134C">
        <w:trPr>
          <w:trHeight w:val="1075"/>
        </w:trPr>
        <w:tc>
          <w:tcPr>
            <w:tcW w:w="1842" w:type="dxa"/>
            <w:tcBorders>
              <w:top w:val="single" w:sz="4" w:space="0" w:color="auto"/>
              <w:left w:val="single" w:sz="4" w:space="0" w:color="auto"/>
              <w:bottom w:val="single" w:sz="4" w:space="0" w:color="auto"/>
              <w:right w:val="single" w:sz="4" w:space="0" w:color="auto"/>
            </w:tcBorders>
            <w:hideMark/>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Biomasseaffald</w:t>
            </w:r>
          </w:p>
        </w:tc>
        <w:tc>
          <w:tcPr>
            <w:tcW w:w="1560" w:type="dxa"/>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1 MW – 5 MW</w:t>
            </w:r>
          </w:p>
        </w:tc>
        <w:tc>
          <w:tcPr>
            <w:tcW w:w="915" w:type="dxa"/>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40</w:t>
            </w:r>
            <w:bookmarkStart w:id="30" w:name="Henvisning_ide8e8d2fc-2f7d-4a13-ae44-fdf"/>
            <w:r w:rsidRPr="009234DE">
              <w:rPr>
                <w:rFonts w:ascii="Calibri" w:eastAsia="Calibri" w:hAnsi="Calibri"/>
                <w:sz w:val="22"/>
                <w:szCs w:val="22"/>
              </w:rPr>
              <w:fldChar w:fldCharType="begin"/>
            </w:r>
            <w:r w:rsidRPr="009234DE">
              <w:rPr>
                <w:rFonts w:ascii="Calibri" w:eastAsia="Calibri" w:hAnsi="Calibri"/>
                <w:sz w:val="22"/>
                <w:szCs w:val="22"/>
              </w:rPr>
              <w:instrText xml:space="preserve"> HYPERLINK "https://www.retsinformation.dk/Forms/R0710.aspx?id=175827" \l "ide8e8d2fc-2f7d-4a13-ae44-fdf13cca7a0c" </w:instrText>
            </w:r>
            <w:r w:rsidRPr="009234DE">
              <w:rPr>
                <w:rFonts w:ascii="Calibri" w:eastAsia="Calibri" w:hAnsi="Calibri"/>
                <w:sz w:val="22"/>
                <w:szCs w:val="22"/>
              </w:rPr>
              <w:fldChar w:fldCharType="separate"/>
            </w:r>
            <w:r w:rsidRPr="009234DE">
              <w:rPr>
                <w:rFonts w:ascii="Calibri" w:eastAsia="Calibri" w:hAnsi="Calibri"/>
                <w:sz w:val="22"/>
                <w:szCs w:val="22"/>
                <w:u w:val="single"/>
                <w:vertAlign w:val="superscript"/>
              </w:rPr>
              <w:t>**</w:t>
            </w:r>
            <w:r w:rsidRPr="009234DE">
              <w:rPr>
                <w:rFonts w:ascii="Calibri" w:eastAsia="Calibri" w:hAnsi="Calibri"/>
                <w:sz w:val="22"/>
                <w:szCs w:val="22"/>
              </w:rPr>
              <w:fldChar w:fldCharType="end"/>
            </w:r>
            <w:bookmarkEnd w:id="30"/>
          </w:p>
        </w:tc>
        <w:tc>
          <w:tcPr>
            <w:tcW w:w="0" w:type="auto"/>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625</w:t>
            </w:r>
          </w:p>
        </w:tc>
        <w:tc>
          <w:tcPr>
            <w:tcW w:w="0" w:type="auto"/>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0" w:type="auto"/>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0" w:type="auto"/>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0" w:type="auto"/>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c>
          <w:tcPr>
            <w:tcW w:w="1873" w:type="dxa"/>
            <w:tcBorders>
              <w:top w:val="single" w:sz="4" w:space="0" w:color="auto"/>
              <w:left w:val="single" w:sz="4" w:space="0" w:color="auto"/>
              <w:bottom w:val="single" w:sz="4" w:space="0" w:color="auto"/>
              <w:right w:val="single" w:sz="4" w:space="0" w:color="auto"/>
            </w:tcBorders>
          </w:tcPr>
          <w:p w:rsidR="00570EAE" w:rsidRPr="009234DE" w:rsidRDefault="00570EAE" w:rsidP="00E81C8C">
            <w:pPr>
              <w:spacing w:line="240" w:lineRule="auto"/>
              <w:rPr>
                <w:rFonts w:ascii="Calibri" w:eastAsia="Calibri" w:hAnsi="Calibri"/>
                <w:sz w:val="22"/>
                <w:szCs w:val="22"/>
              </w:rPr>
            </w:pPr>
            <w:r w:rsidRPr="009234DE">
              <w:rPr>
                <w:rFonts w:ascii="Calibri" w:eastAsia="Calibri" w:hAnsi="Calibri"/>
                <w:sz w:val="22"/>
                <w:szCs w:val="22"/>
              </w:rPr>
              <w:t>-</w:t>
            </w:r>
          </w:p>
        </w:tc>
      </w:tr>
    </w:tbl>
    <w:p w:rsidR="00570EAE" w:rsidRPr="009234DE" w:rsidRDefault="00570EAE" w:rsidP="00570EAE">
      <w:pPr>
        <w:ind w:left="426"/>
      </w:pPr>
      <w:r w:rsidRPr="009234DE">
        <w:t>* NO</w:t>
      </w:r>
      <w:r w:rsidRPr="009234DE">
        <w:rPr>
          <w:vertAlign w:val="subscript"/>
        </w:rPr>
        <w:t>x</w:t>
      </w:r>
      <w:r w:rsidRPr="009234DE">
        <w:t> regnet vægtmæssigt som NO</w:t>
      </w:r>
      <w:r w:rsidRPr="009234DE">
        <w:rPr>
          <w:vertAlign w:val="subscript"/>
        </w:rPr>
        <w:t>2</w:t>
      </w:r>
      <w:r w:rsidRPr="009234DE">
        <w:t>.</w:t>
      </w:r>
    </w:p>
    <w:p w:rsidR="00570EAE" w:rsidRPr="009234DE" w:rsidRDefault="00570EAE" w:rsidP="00570EAE">
      <w:pPr>
        <w:ind w:left="426"/>
      </w:pPr>
      <w:r w:rsidRPr="009234DE">
        <w:t>** dog 100 mg/normal m</w:t>
      </w:r>
      <w:r w:rsidRPr="009234DE">
        <w:rPr>
          <w:vertAlign w:val="superscript"/>
        </w:rPr>
        <w:t>3</w:t>
      </w:r>
      <w:r w:rsidRPr="009234DE">
        <w:t> for anlæg, der anvender vådrensningsanlæg.(S)</w:t>
      </w:r>
    </w:p>
    <w:p w:rsidR="00570EAE" w:rsidRDefault="00570EAE" w:rsidP="00570EAE">
      <w:pPr>
        <w:ind w:left="426"/>
      </w:pPr>
    </w:p>
    <w:p w:rsidR="0054134C" w:rsidRPr="0054134C" w:rsidRDefault="0054134C" w:rsidP="00570EAE">
      <w:pPr>
        <w:ind w:left="426"/>
        <w:rPr>
          <w:u w:val="single"/>
        </w:rPr>
      </w:pPr>
      <w:r w:rsidRPr="0054134C">
        <w:rPr>
          <w:u w:val="single"/>
        </w:rPr>
        <w:t>Lugt</w:t>
      </w:r>
      <w:r>
        <w:rPr>
          <w:u w:val="single"/>
        </w:rPr>
        <w:t>bidrag</w:t>
      </w:r>
    </w:p>
    <w:p w:rsidR="0054134C" w:rsidRPr="009234DE" w:rsidRDefault="0054134C" w:rsidP="00570EAE">
      <w:pPr>
        <w:ind w:left="426"/>
      </w:pPr>
    </w:p>
    <w:p w:rsidR="00570EAE" w:rsidRPr="009234DE" w:rsidRDefault="00570EAE" w:rsidP="00570EAE">
      <w:pPr>
        <w:numPr>
          <w:ilvl w:val="0"/>
          <w:numId w:val="3"/>
        </w:numPr>
        <w:ind w:left="426" w:hanging="426"/>
        <w:rPr>
          <w:rFonts w:cs="Arial"/>
        </w:rPr>
      </w:pPr>
      <w:r w:rsidRPr="009234DE">
        <w:rPr>
          <w:rFonts w:cs="Arial"/>
        </w:rPr>
        <w:t>Virksomhedens lugtbidrag i omgivelserne, hidrørende fra faste afkast, må ikke overstige 5LE/m3 i byzone og 10 LE/m</w:t>
      </w:r>
      <w:r w:rsidRPr="009234DE">
        <w:rPr>
          <w:rFonts w:cs="Arial"/>
          <w:vertAlign w:val="superscript"/>
        </w:rPr>
        <w:t>3</w:t>
      </w:r>
      <w:r w:rsidRPr="009234DE">
        <w:rPr>
          <w:rFonts w:cs="Arial"/>
        </w:rPr>
        <w:t xml:space="preserve"> ved boliger i det åbne land (målt/beregnet med en midlingstid på 1 minut). </w:t>
      </w:r>
    </w:p>
    <w:p w:rsidR="00570EAE" w:rsidRPr="009234DE" w:rsidRDefault="00570EAE" w:rsidP="00570EAE">
      <w:pPr>
        <w:pStyle w:val="vilkr-overskrift20"/>
        <w:tabs>
          <w:tab w:val="left" w:pos="1304"/>
        </w:tabs>
        <w:spacing w:line="280" w:lineRule="atLeast"/>
        <w:ind w:left="426"/>
        <w:rPr>
          <w:rFonts w:ascii="Arial" w:hAnsi="Arial" w:cs="Arial"/>
          <w:sz w:val="20"/>
          <w:szCs w:val="20"/>
        </w:rPr>
      </w:pPr>
    </w:p>
    <w:p w:rsidR="00570EAE" w:rsidRPr="009234DE" w:rsidRDefault="00570EAE" w:rsidP="00570EAE">
      <w:pPr>
        <w:pStyle w:val="vilkr-overskrift20"/>
        <w:tabs>
          <w:tab w:val="left" w:pos="1304"/>
        </w:tabs>
        <w:spacing w:line="280" w:lineRule="atLeast"/>
        <w:ind w:left="426"/>
        <w:rPr>
          <w:rFonts w:ascii="Arial" w:hAnsi="Arial" w:cs="Arial"/>
          <w:sz w:val="20"/>
          <w:szCs w:val="20"/>
        </w:rPr>
      </w:pPr>
      <w:r w:rsidRPr="009234DE">
        <w:rPr>
          <w:rFonts w:ascii="Arial" w:hAnsi="Arial" w:cs="Arial"/>
          <w:sz w:val="20"/>
          <w:szCs w:val="20"/>
        </w:rPr>
        <w:t>Kommunen kan forlange, at virksomheden dokumenterer, at grænseværdien for lugtbidraget er overholdt, dog maks. én gang hvert 3. år, hvis grænseværdien er overholdt. Dokumentationen skal senest 3 måneder efter, at kravet er fremsat, tilsendes tilsynsmyndigheden sammen med oplysninger om driftsforholdene under målingerne.</w:t>
      </w:r>
    </w:p>
    <w:p w:rsidR="00570EAE" w:rsidRPr="009234DE" w:rsidRDefault="00570EAE" w:rsidP="00570EAE">
      <w:pPr>
        <w:pStyle w:val="vilkr-overskrift20"/>
        <w:tabs>
          <w:tab w:val="left" w:pos="1304"/>
        </w:tabs>
        <w:spacing w:line="280" w:lineRule="atLeast"/>
        <w:ind w:left="426"/>
        <w:rPr>
          <w:rFonts w:ascii="Arial" w:hAnsi="Arial" w:cs="Arial"/>
          <w:sz w:val="20"/>
          <w:szCs w:val="20"/>
        </w:rPr>
      </w:pPr>
    </w:p>
    <w:p w:rsidR="00570EAE" w:rsidRPr="009234DE" w:rsidRDefault="00570EAE" w:rsidP="00570EAE">
      <w:pPr>
        <w:pStyle w:val="vilkr-overskrift20"/>
        <w:tabs>
          <w:tab w:val="left" w:pos="1304"/>
        </w:tabs>
        <w:spacing w:line="280" w:lineRule="atLeast"/>
        <w:ind w:left="426"/>
        <w:rPr>
          <w:rFonts w:ascii="Arial" w:hAnsi="Arial" w:cs="Arial"/>
          <w:sz w:val="20"/>
          <w:szCs w:val="20"/>
        </w:rPr>
      </w:pPr>
      <w:r w:rsidRPr="009234DE">
        <w:rPr>
          <w:rFonts w:ascii="Arial" w:hAnsi="Arial" w:cs="Arial"/>
          <w:sz w:val="20"/>
          <w:szCs w:val="20"/>
        </w:rPr>
        <w:t xml:space="preserve">Målingerne skal udføres som akkrediteret teknisk prøvning, og målerapporten skal udfærdiges som akkrediteret prøvningsrapport. Målelaboratoriet skal være akkrediteret af Den Danske Akkrediterings- og Metrologifond (DANAK) eller et tilsvarende akkrediteringsorgan, som er medunderskriver af EA’s multilaterale aftale om gensidig anerkendelse. </w:t>
      </w:r>
    </w:p>
    <w:p w:rsidR="00570EAE" w:rsidRPr="009234DE" w:rsidRDefault="00570EAE" w:rsidP="00570EAE">
      <w:pPr>
        <w:pStyle w:val="vilkr-overskrift20"/>
        <w:tabs>
          <w:tab w:val="left" w:pos="1304"/>
        </w:tabs>
        <w:spacing w:line="280" w:lineRule="atLeast"/>
        <w:ind w:left="426"/>
        <w:rPr>
          <w:rFonts w:ascii="Arial" w:hAnsi="Arial" w:cs="Arial"/>
          <w:sz w:val="20"/>
          <w:szCs w:val="20"/>
        </w:rPr>
      </w:pPr>
    </w:p>
    <w:p w:rsidR="00570EAE" w:rsidRPr="009234DE" w:rsidRDefault="00570EAE" w:rsidP="00570EAE">
      <w:pPr>
        <w:pStyle w:val="vilkr-overskrift20"/>
        <w:tabs>
          <w:tab w:val="left" w:pos="1304"/>
        </w:tabs>
        <w:spacing w:line="280" w:lineRule="atLeast"/>
        <w:ind w:left="426"/>
        <w:rPr>
          <w:rFonts w:ascii="Arial" w:hAnsi="Arial" w:cs="Arial"/>
          <w:sz w:val="20"/>
          <w:szCs w:val="20"/>
        </w:rPr>
      </w:pPr>
      <w:r w:rsidRPr="009234DE">
        <w:rPr>
          <w:rFonts w:ascii="Arial" w:hAnsi="Arial" w:cs="Arial"/>
          <w:sz w:val="20"/>
          <w:szCs w:val="20"/>
        </w:rPr>
        <w:t>Måling og analyse skal udføres i overensstemmelse med principperne i det til enhver tid gældende metodeblad, pt. metodeblad MEL-13, fra Miljøstyrelsens referencelaboratorium.</w:t>
      </w:r>
    </w:p>
    <w:p w:rsidR="00570EAE" w:rsidRPr="009234DE" w:rsidRDefault="00570EAE" w:rsidP="00570EAE">
      <w:pPr>
        <w:pStyle w:val="vilkr-overskrift20"/>
        <w:tabs>
          <w:tab w:val="left" w:pos="1304"/>
        </w:tabs>
        <w:spacing w:line="280" w:lineRule="atLeast"/>
        <w:ind w:left="426"/>
        <w:rPr>
          <w:rFonts w:ascii="Arial" w:hAnsi="Arial" w:cs="Arial"/>
          <w:sz w:val="20"/>
          <w:szCs w:val="20"/>
        </w:rPr>
      </w:pPr>
    </w:p>
    <w:p w:rsidR="00570EAE" w:rsidRPr="009234DE" w:rsidRDefault="00570EAE" w:rsidP="00570EAE">
      <w:pPr>
        <w:pStyle w:val="vilkr-overskrift20"/>
        <w:tabs>
          <w:tab w:val="left" w:pos="1304"/>
        </w:tabs>
        <w:spacing w:line="280" w:lineRule="atLeast"/>
        <w:ind w:left="426"/>
        <w:rPr>
          <w:rFonts w:ascii="Arial" w:hAnsi="Arial" w:cs="Arial"/>
          <w:sz w:val="20"/>
          <w:szCs w:val="20"/>
        </w:rPr>
      </w:pPr>
      <w:r w:rsidRPr="009234DE">
        <w:rPr>
          <w:rFonts w:ascii="Arial" w:hAnsi="Arial" w:cs="Arial"/>
          <w:sz w:val="20"/>
          <w:szCs w:val="20"/>
        </w:rPr>
        <w:t>Der skal udtages mindst 3 lugtprøver for hvert afkast, idet det forud for prøveudtagningen aftales med tilsynsmyndigheden, hvilke afkast der skal indgå i målingerne.</w:t>
      </w:r>
    </w:p>
    <w:p w:rsidR="00570EAE" w:rsidRPr="009234DE" w:rsidRDefault="00570EAE" w:rsidP="00570EAE">
      <w:pPr>
        <w:pStyle w:val="vilkr-overskrift20"/>
        <w:tabs>
          <w:tab w:val="left" w:pos="1304"/>
        </w:tabs>
        <w:spacing w:line="280" w:lineRule="atLeast"/>
        <w:ind w:left="426"/>
        <w:rPr>
          <w:rFonts w:ascii="Arial" w:hAnsi="Arial" w:cs="Arial"/>
          <w:sz w:val="20"/>
          <w:szCs w:val="20"/>
        </w:rPr>
      </w:pPr>
    </w:p>
    <w:p w:rsidR="00570EAE" w:rsidRPr="009234DE" w:rsidRDefault="00570EAE" w:rsidP="00570EAE">
      <w:pPr>
        <w:pStyle w:val="vilkr-overskrift20"/>
        <w:tabs>
          <w:tab w:val="left" w:pos="1304"/>
        </w:tabs>
        <w:spacing w:line="280" w:lineRule="atLeast"/>
        <w:ind w:left="426"/>
        <w:rPr>
          <w:rFonts w:ascii="Arial" w:hAnsi="Arial" w:cs="Arial"/>
          <w:sz w:val="20"/>
          <w:szCs w:val="20"/>
        </w:rPr>
      </w:pPr>
      <w:r w:rsidRPr="009234DE">
        <w:rPr>
          <w:rFonts w:ascii="Arial" w:hAnsi="Arial" w:cs="Arial"/>
          <w:sz w:val="20"/>
          <w:szCs w:val="20"/>
        </w:rPr>
        <w:t>Beregningerne af lugtbidraget i omgivelserne skal udføres med OML-metoden. Beregningerne skal udføres på baggrund af det geometriske gennemsnit af måleseriens lugtemissioner.</w:t>
      </w:r>
    </w:p>
    <w:p w:rsidR="00570EAE" w:rsidRPr="009234DE" w:rsidRDefault="00570EAE" w:rsidP="00570EAE">
      <w:pPr>
        <w:ind w:left="426"/>
      </w:pPr>
    </w:p>
    <w:p w:rsidR="00570EAE" w:rsidRPr="009234DE" w:rsidRDefault="00570EAE" w:rsidP="00570EAE">
      <w:pPr>
        <w:pStyle w:val="Overskrift2"/>
        <w:numPr>
          <w:ilvl w:val="1"/>
          <w:numId w:val="1"/>
        </w:numPr>
        <w:spacing w:before="240" w:after="240"/>
        <w:ind w:left="426" w:hanging="426"/>
      </w:pPr>
      <w:r w:rsidRPr="009234DE">
        <w:t xml:space="preserve">Beskyttelse af jord, grundvand og overfladevand </w:t>
      </w:r>
    </w:p>
    <w:p w:rsidR="00570EAE" w:rsidRPr="009234DE" w:rsidRDefault="00570EAE" w:rsidP="00570EAE">
      <w:pPr>
        <w:pStyle w:val="Brdtekst"/>
        <w:numPr>
          <w:ilvl w:val="0"/>
          <w:numId w:val="3"/>
        </w:numPr>
        <w:tabs>
          <w:tab w:val="clear" w:pos="284"/>
        </w:tabs>
        <w:overflowPunct w:val="0"/>
        <w:autoSpaceDE w:val="0"/>
        <w:autoSpaceDN w:val="0"/>
        <w:adjustRightInd w:val="0"/>
        <w:spacing w:line="280" w:lineRule="atLeast"/>
        <w:ind w:left="426" w:hanging="426"/>
        <w:jc w:val="left"/>
        <w:textAlignment w:val="baseline"/>
        <w:rPr>
          <w:sz w:val="20"/>
          <w:szCs w:val="20"/>
        </w:rPr>
      </w:pPr>
      <w:r w:rsidRPr="009234DE">
        <w:rPr>
          <w:sz w:val="20"/>
          <w:szCs w:val="20"/>
        </w:rPr>
        <w:t>Slam, spildolie, kemikalier og hjælpestoffer skal opbevares i egnede og tætte beholdere, der skal være mærket med indhold.(S)</w:t>
      </w:r>
    </w:p>
    <w:p w:rsidR="00570EAE" w:rsidRPr="009234DE" w:rsidRDefault="00570EAE" w:rsidP="00570EAE">
      <w:pPr>
        <w:pStyle w:val="Brdtekst"/>
        <w:tabs>
          <w:tab w:val="clear" w:pos="284"/>
        </w:tabs>
        <w:overflowPunct w:val="0"/>
        <w:autoSpaceDE w:val="0"/>
        <w:autoSpaceDN w:val="0"/>
        <w:adjustRightInd w:val="0"/>
        <w:spacing w:line="280" w:lineRule="atLeast"/>
        <w:ind w:left="426"/>
        <w:jc w:val="left"/>
        <w:textAlignment w:val="baseline"/>
        <w:rPr>
          <w:sz w:val="20"/>
          <w:szCs w:val="20"/>
        </w:rPr>
      </w:pPr>
    </w:p>
    <w:p w:rsidR="00570EAE" w:rsidRPr="009234DE" w:rsidRDefault="00570EAE" w:rsidP="00570EAE">
      <w:pPr>
        <w:pStyle w:val="Brdtekst"/>
        <w:numPr>
          <w:ilvl w:val="0"/>
          <w:numId w:val="3"/>
        </w:numPr>
        <w:tabs>
          <w:tab w:val="clear" w:pos="284"/>
        </w:tabs>
        <w:overflowPunct w:val="0"/>
        <w:autoSpaceDE w:val="0"/>
        <w:autoSpaceDN w:val="0"/>
        <w:adjustRightInd w:val="0"/>
        <w:spacing w:line="280" w:lineRule="atLeast"/>
        <w:ind w:left="426" w:hanging="426"/>
        <w:jc w:val="left"/>
        <w:textAlignment w:val="baseline"/>
        <w:rPr>
          <w:sz w:val="20"/>
          <w:szCs w:val="20"/>
        </w:rPr>
      </w:pPr>
      <w:r w:rsidRPr="009234DE">
        <w:rPr>
          <w:sz w:val="20"/>
          <w:szCs w:val="20"/>
        </w:rPr>
        <w:t>De ovenfor nævnte beholdere skal placeres under tag og beskyttet mod vejrlig på en oplagsplads med tæt belægning uden afløb. Oplagspladsen skal være indrettet således, at spild kan holdes inden for et afgrænset område og uden mulighed for afledning til jord, grundvand, overfladevand og kloak. Området skal kunne rumme indholdet af den største beholder el. lign., der opbevares på det.(S)</w:t>
      </w:r>
    </w:p>
    <w:p w:rsidR="00570EAE" w:rsidRPr="009234DE" w:rsidRDefault="00570EAE" w:rsidP="00570EAE">
      <w:pPr>
        <w:pStyle w:val="Listeafsnit"/>
        <w:rPr>
          <w:sz w:val="20"/>
          <w:szCs w:val="20"/>
        </w:rPr>
      </w:pPr>
    </w:p>
    <w:p w:rsidR="00570EAE" w:rsidRPr="009234DE" w:rsidRDefault="00570EAE" w:rsidP="00570EAE">
      <w:pPr>
        <w:pStyle w:val="Brdtekst"/>
        <w:numPr>
          <w:ilvl w:val="0"/>
          <w:numId w:val="3"/>
        </w:numPr>
        <w:tabs>
          <w:tab w:val="clear" w:pos="284"/>
        </w:tabs>
        <w:overflowPunct w:val="0"/>
        <w:autoSpaceDE w:val="0"/>
        <w:autoSpaceDN w:val="0"/>
        <w:adjustRightInd w:val="0"/>
        <w:spacing w:line="280" w:lineRule="atLeast"/>
        <w:ind w:left="426" w:hanging="426"/>
        <w:jc w:val="left"/>
        <w:textAlignment w:val="baseline"/>
        <w:rPr>
          <w:sz w:val="20"/>
          <w:szCs w:val="20"/>
        </w:rPr>
      </w:pPr>
      <w:r w:rsidRPr="009234DE">
        <w:rPr>
          <w:sz w:val="20"/>
          <w:szCs w:val="20"/>
        </w:rPr>
        <w:t>Tætte belægninger skal være i god vedligeholdelsesstand. Utætheder skal udbedres så hurtigt som muligt, efter at de er konstateret.(S)</w:t>
      </w:r>
    </w:p>
    <w:p w:rsidR="00570EAE" w:rsidRPr="009234DE" w:rsidRDefault="00570EAE" w:rsidP="00570EAE">
      <w:pPr>
        <w:pStyle w:val="Listeafsnit"/>
        <w:rPr>
          <w:sz w:val="20"/>
          <w:szCs w:val="20"/>
        </w:rPr>
      </w:pPr>
    </w:p>
    <w:p w:rsidR="00570EAE" w:rsidRPr="009234DE" w:rsidRDefault="00570EAE" w:rsidP="00570EAE">
      <w:pPr>
        <w:pStyle w:val="Overskrift2"/>
        <w:numPr>
          <w:ilvl w:val="1"/>
          <w:numId w:val="1"/>
        </w:numPr>
        <w:spacing w:before="240" w:after="240"/>
        <w:ind w:left="426" w:hanging="426"/>
      </w:pPr>
      <w:r w:rsidRPr="009234DE">
        <w:t>Affald</w:t>
      </w:r>
    </w:p>
    <w:p w:rsidR="00570EAE" w:rsidRPr="009234DE" w:rsidRDefault="00570EAE" w:rsidP="00570EAE">
      <w:pPr>
        <w:numPr>
          <w:ilvl w:val="0"/>
          <w:numId w:val="3"/>
        </w:numPr>
        <w:ind w:left="426" w:hanging="426"/>
        <w:rPr>
          <w:rFonts w:cs="Arial"/>
        </w:rPr>
      </w:pPr>
      <w:r w:rsidRPr="009234DE">
        <w:rPr>
          <w:rFonts w:cs="Arial"/>
        </w:rPr>
        <w:t>Asken fra forbrænding af kul, faste brændsler og biomasseaffald samt affald fra rensningsprocesser skal opbevares indendørs eller i tæt lukket beholder.(S)</w:t>
      </w:r>
    </w:p>
    <w:p w:rsidR="00570EAE" w:rsidRPr="009234DE" w:rsidRDefault="00570EAE" w:rsidP="00570EAE">
      <w:pPr>
        <w:pStyle w:val="Overskrift2"/>
        <w:numPr>
          <w:ilvl w:val="1"/>
          <w:numId w:val="1"/>
        </w:numPr>
        <w:spacing w:before="240" w:after="240"/>
        <w:ind w:left="426" w:hanging="426"/>
      </w:pPr>
      <w:r w:rsidRPr="009234DE">
        <w:t>Egenkontrol</w:t>
      </w:r>
    </w:p>
    <w:p w:rsidR="00570EAE" w:rsidRPr="009234DE" w:rsidRDefault="00570EAE" w:rsidP="00570EAE">
      <w:pPr>
        <w:ind w:left="426"/>
        <w:rPr>
          <w:rFonts w:cs="Arial"/>
          <w:u w:val="single"/>
        </w:rPr>
      </w:pPr>
      <w:r w:rsidRPr="009234DE">
        <w:rPr>
          <w:rFonts w:cs="Arial"/>
          <w:u w:val="single"/>
        </w:rPr>
        <w:t>Automatisk kontrol</w:t>
      </w:r>
    </w:p>
    <w:p w:rsidR="00570EAE" w:rsidRPr="009234DE" w:rsidRDefault="00570EAE" w:rsidP="00570EAE">
      <w:pPr>
        <w:ind w:left="426"/>
        <w:rPr>
          <w:rFonts w:cs="Arial"/>
        </w:rPr>
      </w:pPr>
    </w:p>
    <w:p w:rsidR="00570EAE" w:rsidRPr="00275393" w:rsidRDefault="00570EAE" w:rsidP="00570EAE">
      <w:pPr>
        <w:numPr>
          <w:ilvl w:val="0"/>
          <w:numId w:val="3"/>
        </w:numPr>
        <w:ind w:left="426" w:hanging="426"/>
      </w:pPr>
      <w:r w:rsidRPr="00275393">
        <w:rPr>
          <w:rFonts w:cs="Arial"/>
        </w:rPr>
        <w:t>Kedler, der fyrer med biomasseaffald, skal være forsynet med måle- og reguleringsudstyr for O</w:t>
      </w:r>
      <w:r w:rsidRPr="00275393">
        <w:rPr>
          <w:rFonts w:cs="Arial"/>
          <w:vertAlign w:val="subscript"/>
        </w:rPr>
        <w:t>2</w:t>
      </w:r>
      <w:r w:rsidRPr="00275393">
        <w:rPr>
          <w:rFonts w:cs="Arial"/>
        </w:rPr>
        <w:t xml:space="preserve"> til styring af forbrændingsprocessen. </w:t>
      </w:r>
    </w:p>
    <w:p w:rsidR="00570EAE" w:rsidRPr="00275393" w:rsidRDefault="00570EAE" w:rsidP="00570EAE">
      <w:pPr>
        <w:ind w:left="426"/>
        <w:rPr>
          <w:rFonts w:cs="Arial"/>
        </w:rPr>
      </w:pPr>
      <w:r w:rsidRPr="00275393">
        <w:rPr>
          <w:rFonts w:cs="Arial"/>
        </w:rPr>
        <w:t>Kedlerne skal drives med et indhold af O</w:t>
      </w:r>
      <w:r w:rsidRPr="00275393">
        <w:rPr>
          <w:rFonts w:cs="Arial"/>
          <w:vertAlign w:val="subscript"/>
        </w:rPr>
        <w:t>2</w:t>
      </w:r>
      <w:r w:rsidRPr="00275393">
        <w:rPr>
          <w:rFonts w:cs="Arial"/>
        </w:rPr>
        <w:t> i røggassen, der altid er større end 4 % (vol), bortset fra i opstarts- og nedlukningsperioder. (S)</w:t>
      </w:r>
    </w:p>
    <w:p w:rsidR="00570EAE" w:rsidRPr="00275393" w:rsidRDefault="00570EAE" w:rsidP="00570EAE">
      <w:pPr>
        <w:ind w:left="426"/>
        <w:rPr>
          <w:rFonts w:cs="Arial"/>
        </w:rPr>
      </w:pPr>
    </w:p>
    <w:p w:rsidR="00570EAE" w:rsidRPr="00275393" w:rsidRDefault="00570EAE" w:rsidP="00570EAE">
      <w:pPr>
        <w:pStyle w:val="Listeafsnit"/>
      </w:pPr>
    </w:p>
    <w:p w:rsidR="00570EAE" w:rsidRPr="00275393" w:rsidRDefault="00570EAE" w:rsidP="00570EAE">
      <w:pPr>
        <w:numPr>
          <w:ilvl w:val="0"/>
          <w:numId w:val="3"/>
        </w:numPr>
        <w:ind w:left="426" w:hanging="426"/>
        <w:rPr>
          <w:rFonts w:cs="Arial"/>
        </w:rPr>
      </w:pPr>
      <w:r w:rsidRPr="00275393">
        <w:rPr>
          <w:rFonts w:cs="Arial"/>
          <w:lang w:eastAsia="da-DK"/>
        </w:rPr>
        <w:t xml:space="preserve">Anlægget skal forsynes med AMS-udstyr til løbende visning og registrering af carbonmonooxid (CO). Alternativt skal måling af koncentrationen af carbonmonooxid (CO) udføres med et håndholdt måleinstrument. I så fald skal der foretages måling og registrering mindst 1 gang ugentlig.(S) </w:t>
      </w:r>
    </w:p>
    <w:p w:rsidR="00570EAE" w:rsidRPr="00275393" w:rsidRDefault="00570EAE" w:rsidP="00570EAE">
      <w:pPr>
        <w:ind w:left="426"/>
        <w:rPr>
          <w:rFonts w:cs="Arial"/>
        </w:rPr>
      </w:pPr>
    </w:p>
    <w:p w:rsidR="00570EAE" w:rsidRPr="00275393" w:rsidRDefault="00570EAE" w:rsidP="00570EAE">
      <w:pPr>
        <w:ind w:left="426"/>
        <w:rPr>
          <w:rFonts w:cs="Arial"/>
        </w:rPr>
      </w:pPr>
    </w:p>
    <w:p w:rsidR="00570EAE" w:rsidRPr="00275393" w:rsidRDefault="00570EAE" w:rsidP="00570EAE">
      <w:pPr>
        <w:ind w:left="426"/>
        <w:rPr>
          <w:rFonts w:cs="Arial"/>
          <w:u w:val="single"/>
        </w:rPr>
      </w:pPr>
      <w:r w:rsidRPr="00275393">
        <w:rPr>
          <w:rFonts w:cs="Arial"/>
          <w:iCs/>
          <w:u w:val="single"/>
        </w:rPr>
        <w:t>Præstationskontrol</w:t>
      </w:r>
    </w:p>
    <w:p w:rsidR="00570EAE" w:rsidRPr="00275393" w:rsidRDefault="00570EAE" w:rsidP="00570EAE">
      <w:pPr>
        <w:ind w:left="426"/>
        <w:rPr>
          <w:rFonts w:cs="Arial"/>
        </w:rPr>
      </w:pPr>
    </w:p>
    <w:p w:rsidR="00570EAE" w:rsidRPr="00275393" w:rsidRDefault="00570EAE" w:rsidP="00570EAE">
      <w:pPr>
        <w:numPr>
          <w:ilvl w:val="0"/>
          <w:numId w:val="3"/>
        </w:numPr>
        <w:ind w:left="426" w:hanging="426"/>
        <w:rPr>
          <w:rFonts w:cs="Arial"/>
        </w:rPr>
      </w:pPr>
      <w:r w:rsidRPr="00275393">
        <w:rPr>
          <w:rFonts w:cs="Arial"/>
        </w:rPr>
        <w:t xml:space="preserve">Senest 6 måneder efter at et nyt kedelanlæg er taget i brug, skal der ved præstationskontrol foretages 2 enkeltmålinger hver af en varighed på 45 minutter med henblik på at dokumentere, at emissionsgrænseværdierne i vilkår </w:t>
      </w:r>
      <w:r w:rsidR="0054134C">
        <w:rPr>
          <w:rFonts w:cs="Arial"/>
        </w:rPr>
        <w:t>11</w:t>
      </w:r>
      <w:r w:rsidRPr="00275393">
        <w:rPr>
          <w:rFonts w:cs="Arial"/>
        </w:rPr>
        <w:t xml:space="preserve"> for støv er overholdt .</w:t>
      </w:r>
    </w:p>
    <w:p w:rsidR="00570EAE" w:rsidRPr="00275393" w:rsidRDefault="00570EAE" w:rsidP="00570EAE">
      <w:pPr>
        <w:ind w:left="426"/>
        <w:rPr>
          <w:rFonts w:cs="Arial"/>
        </w:rPr>
      </w:pPr>
    </w:p>
    <w:p w:rsidR="00570EAE" w:rsidRPr="00275393" w:rsidRDefault="00570EAE" w:rsidP="00570EAE">
      <w:pPr>
        <w:ind w:left="426"/>
        <w:rPr>
          <w:rFonts w:cs="Arial"/>
        </w:rPr>
      </w:pPr>
      <w:r w:rsidRPr="00275393">
        <w:rPr>
          <w:rFonts w:cs="Arial"/>
        </w:rPr>
        <w:t xml:space="preserve">Målingerne skal foretages under repræsentative driftsforhold (maksimal normaldrift) og skal udføres af et firma/laboratorium, der er akkrediteret hertil af Den Danske Akkrediterings- og Metrologifond eller af et tilsvarende akkrediteringsorgan, som er medunderskriver af EA’s multilaterale aftale om gensidig anerkendelse. Rapport over målingerne skal indsendes til tilsynsmyndigheden senest 2 måneder efter, at disse er foretaget. Herefter kan tilsynsmyndigheden kræve, at anlægget foretager yderligere emissionsmålinger med henblik på at dokumentere overholdelse af vilkår </w:t>
      </w:r>
      <w:r w:rsidR="0054134C">
        <w:rPr>
          <w:rFonts w:cs="Arial"/>
        </w:rPr>
        <w:t>11</w:t>
      </w:r>
      <w:r w:rsidRPr="00275393">
        <w:rPr>
          <w:rFonts w:cs="Arial"/>
        </w:rPr>
        <w:t xml:space="preserve"> efter ovenstående retningslinjer, dog højest hvert andet år.</w:t>
      </w:r>
    </w:p>
    <w:p w:rsidR="00570EAE" w:rsidRPr="00275393" w:rsidRDefault="00570EAE" w:rsidP="00570EAE">
      <w:pPr>
        <w:ind w:left="426"/>
        <w:rPr>
          <w:rFonts w:cs="Arial"/>
        </w:rPr>
      </w:pPr>
    </w:p>
    <w:p w:rsidR="00570EAE" w:rsidRPr="009234DE" w:rsidRDefault="00570EAE" w:rsidP="00570EAE">
      <w:pPr>
        <w:ind w:left="426"/>
        <w:rPr>
          <w:rFonts w:cs="Arial"/>
        </w:rPr>
      </w:pPr>
      <w:r w:rsidRPr="00275393">
        <w:rPr>
          <w:rFonts w:cs="Arial"/>
        </w:rPr>
        <w:t xml:space="preserve">For enkelte naturgas- eller gasoliefyret kedelanlæg &lt; 5 MW kan tilsynsmyndigheden herefter kræve, at anlægget foretager præstationskontrol efter ovenstående retningslinjer, dog normalt højest hvert andet år. </w:t>
      </w:r>
    </w:p>
    <w:p w:rsidR="00570EAE" w:rsidRPr="009234DE" w:rsidRDefault="00570EAE" w:rsidP="00570EAE">
      <w:pPr>
        <w:ind w:left="426"/>
        <w:rPr>
          <w:rFonts w:cs="Arial"/>
        </w:rPr>
      </w:pPr>
    </w:p>
    <w:p w:rsidR="00570EAE" w:rsidRPr="009234DE" w:rsidRDefault="00570EAE" w:rsidP="00570EAE">
      <w:pPr>
        <w:numPr>
          <w:ilvl w:val="0"/>
          <w:numId w:val="3"/>
        </w:numPr>
        <w:ind w:left="426" w:hanging="426"/>
        <w:rPr>
          <w:rFonts w:cs="Arial"/>
        </w:rPr>
      </w:pPr>
      <w:r w:rsidRPr="009234DE">
        <w:rPr>
          <w:rFonts w:cs="Arial"/>
        </w:rPr>
        <w:lastRenderedPageBreak/>
        <w:t>Emissionsgrænseværdierne anses for overholdt, når det aritmetiske gennemsnit af alle enkeltmålinger udført ved præstationskontrollen er mindre end eller lig med emissionsgrænseværdien.(S)</w:t>
      </w:r>
    </w:p>
    <w:p w:rsidR="00570EAE" w:rsidRPr="009234DE" w:rsidRDefault="00570EAE" w:rsidP="00570EAE">
      <w:pPr>
        <w:ind w:left="426"/>
        <w:rPr>
          <w:rFonts w:cs="Arial"/>
        </w:rPr>
      </w:pPr>
    </w:p>
    <w:p w:rsidR="00570EAE" w:rsidRPr="009234DE" w:rsidRDefault="00570EAE" w:rsidP="00570EAE">
      <w:pPr>
        <w:numPr>
          <w:ilvl w:val="0"/>
          <w:numId w:val="3"/>
        </w:numPr>
        <w:ind w:left="426" w:hanging="426"/>
        <w:rPr>
          <w:rFonts w:cs="Arial"/>
        </w:rPr>
      </w:pPr>
      <w:r w:rsidRPr="009234DE">
        <w:rPr>
          <w:rFonts w:cs="Arial"/>
        </w:rPr>
        <w:t>Prøvetagning og analyse skal ske efter de i tabel 2 nævnte metoder eller efter internationale standarder med mindst samme analysepræcision og usikkerhedsniveau.</w:t>
      </w:r>
    </w:p>
    <w:p w:rsidR="00570EAE" w:rsidRPr="009234DE" w:rsidRDefault="00570EAE" w:rsidP="00570EAE">
      <w:pPr>
        <w:pStyle w:val="Listeafsnit"/>
      </w:pPr>
    </w:p>
    <w:p w:rsidR="00570EAE" w:rsidRPr="009234DE" w:rsidRDefault="00570EAE" w:rsidP="00570EAE">
      <w:pPr>
        <w:ind w:left="426"/>
        <w:rPr>
          <w:rFonts w:cs="Arial"/>
        </w:rPr>
      </w:pPr>
      <w:r w:rsidRPr="009234DE">
        <w:rPr>
          <w:rFonts w:cs="Arial"/>
          <w:i/>
          <w:iCs/>
        </w:rPr>
        <w:t>Tabel 2.</w:t>
      </w:r>
      <w:r w:rsidRPr="009234DE">
        <w:rPr>
          <w:rFonts w:cs="Arial"/>
        </w:rPr>
        <w:t> </w:t>
      </w:r>
      <w:r w:rsidRPr="009234DE">
        <w:rPr>
          <w:rFonts w:cs="Arial"/>
          <w:i/>
          <w:iCs/>
        </w:rPr>
        <w:t>Prøvetagnings- og analysemetoder</w:t>
      </w:r>
    </w:p>
    <w:tbl>
      <w:tblPr>
        <w:tblW w:w="8054" w:type="dxa"/>
        <w:tblInd w:w="441" w:type="dxa"/>
        <w:tblCellMar>
          <w:top w:w="15" w:type="dxa"/>
          <w:left w:w="15" w:type="dxa"/>
          <w:bottom w:w="15" w:type="dxa"/>
          <w:right w:w="15" w:type="dxa"/>
        </w:tblCellMar>
        <w:tblLook w:val="04A0" w:firstRow="1" w:lastRow="0" w:firstColumn="1" w:lastColumn="0" w:noHBand="0" w:noVBand="1"/>
      </w:tblPr>
      <w:tblGrid>
        <w:gridCol w:w="4085"/>
        <w:gridCol w:w="1560"/>
        <w:gridCol w:w="2409"/>
      </w:tblGrid>
      <w:tr w:rsidR="00570EAE" w:rsidRPr="009234DE" w:rsidTr="0054134C">
        <w:tc>
          <w:tcPr>
            <w:tcW w:w="4085"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b/>
                <w:bCs/>
              </w:rPr>
              <w:t>Navn</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b/>
                <w:bCs/>
              </w:rPr>
              <w:t>Parameter</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b/>
                <w:bCs/>
              </w:rPr>
              <w:t>Metodeblad nr.</w:t>
            </w:r>
            <w:r w:rsidRPr="009234DE">
              <w:rPr>
                <w:rFonts w:cs="Arial"/>
              </w:rPr>
              <w:t> </w:t>
            </w:r>
            <w:bookmarkStart w:id="31" w:name="Henvisning_idb444b842-992f-4f8d-b7c3-fec"/>
            <w:r w:rsidRPr="009234DE">
              <w:rPr>
                <w:rFonts w:cs="Arial"/>
              </w:rPr>
              <w:fldChar w:fldCharType="begin"/>
            </w:r>
            <w:r w:rsidRPr="009234DE">
              <w:rPr>
                <w:rFonts w:cs="Arial"/>
              </w:rPr>
              <w:instrText xml:space="preserve"> HYPERLINK "https://www.retsinformation.dk/Forms/R0710.aspx?id=175827" \l "idb444b842-992f-4f8d-b7c3-fec42a58ae38" </w:instrText>
            </w:r>
            <w:r w:rsidRPr="009234DE">
              <w:rPr>
                <w:rFonts w:cs="Arial"/>
              </w:rPr>
              <w:fldChar w:fldCharType="separate"/>
            </w:r>
            <w:r w:rsidRPr="009234DE">
              <w:rPr>
                <w:rStyle w:val="Hyperlink"/>
                <w:rFonts w:cs="Arial"/>
                <w:color w:val="auto"/>
                <w:vertAlign w:val="superscript"/>
              </w:rPr>
              <w:t>*</w:t>
            </w:r>
            <w:r w:rsidRPr="009234DE">
              <w:rPr>
                <w:rFonts w:cs="Arial"/>
              </w:rPr>
              <w:fldChar w:fldCharType="end"/>
            </w:r>
            <w:bookmarkEnd w:id="31"/>
          </w:p>
        </w:tc>
      </w:tr>
      <w:tr w:rsidR="00570EAE" w:rsidRPr="009234DE" w:rsidTr="0054134C">
        <w:tc>
          <w:tcPr>
            <w:tcW w:w="4085"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Bestemmelse af koncentrationen af totalt partikulært materiale i strømmende gas</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Støv</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MEL-02</w:t>
            </w:r>
          </w:p>
        </w:tc>
      </w:tr>
      <w:tr w:rsidR="00570EAE" w:rsidRPr="009234DE" w:rsidTr="0054134C">
        <w:tc>
          <w:tcPr>
            <w:tcW w:w="4085"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Bestemmelse af koncentrationer af kvælstofoxider (NO</w:t>
            </w:r>
            <w:r w:rsidRPr="009234DE">
              <w:rPr>
                <w:rFonts w:cs="Arial"/>
                <w:vertAlign w:val="subscript"/>
              </w:rPr>
              <w:t>x</w:t>
            </w:r>
            <w:r w:rsidRPr="009234DE">
              <w:rPr>
                <w:rFonts w:cs="Arial"/>
              </w:rPr>
              <w:t>) i strømmende gas</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NO</w:t>
            </w:r>
            <w:r w:rsidRPr="009234DE">
              <w:rPr>
                <w:rFonts w:cs="Arial"/>
                <w:vertAlign w:val="subscript"/>
              </w:rPr>
              <w:t>x</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MEL-03</w:t>
            </w:r>
          </w:p>
        </w:tc>
      </w:tr>
      <w:tr w:rsidR="00570EAE" w:rsidRPr="009234DE" w:rsidTr="0054134C">
        <w:tc>
          <w:tcPr>
            <w:tcW w:w="4085"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Bestemmelse af koncentrationer af ilt (O</w:t>
            </w:r>
            <w:r w:rsidRPr="009234DE">
              <w:rPr>
                <w:rFonts w:cs="Arial"/>
                <w:vertAlign w:val="subscript"/>
              </w:rPr>
              <w:t>2</w:t>
            </w:r>
            <w:r w:rsidRPr="009234DE">
              <w:rPr>
                <w:rFonts w:cs="Arial"/>
              </w:rPr>
              <w:t>) i strømmende gas</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O</w:t>
            </w:r>
            <w:r w:rsidRPr="009234DE">
              <w:rPr>
                <w:rFonts w:cs="Arial"/>
                <w:vertAlign w:val="subscript"/>
              </w:rPr>
              <w:t>2</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MEL-05</w:t>
            </w:r>
          </w:p>
        </w:tc>
      </w:tr>
      <w:tr w:rsidR="00570EAE" w:rsidRPr="009234DE" w:rsidTr="0054134C">
        <w:tc>
          <w:tcPr>
            <w:tcW w:w="4085"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Bestemmelse af carbonmonooxid (CO) i strømmende gas</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CO</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570EAE" w:rsidRPr="009234DE" w:rsidRDefault="00570EAE" w:rsidP="00E81C8C">
            <w:pPr>
              <w:ind w:left="426"/>
              <w:rPr>
                <w:rFonts w:cs="Arial"/>
              </w:rPr>
            </w:pPr>
            <w:r w:rsidRPr="009234DE">
              <w:rPr>
                <w:rFonts w:cs="Arial"/>
              </w:rPr>
              <w:t>MEL-06</w:t>
            </w:r>
          </w:p>
        </w:tc>
      </w:tr>
    </w:tbl>
    <w:p w:rsidR="00570EAE" w:rsidRPr="009234DE" w:rsidRDefault="00570EAE" w:rsidP="00570EAE">
      <w:pPr>
        <w:ind w:left="426"/>
        <w:rPr>
          <w:rFonts w:cs="Arial"/>
        </w:rPr>
      </w:pPr>
      <w:r w:rsidRPr="009234DE">
        <w:rPr>
          <w:rFonts w:cs="Arial"/>
        </w:rPr>
        <w:t>* Se hjemmesiden for Miljøstyrelsens Referencelaboratorium for måling af emissioner til luften: www.ref-lab.dk.(S)</w:t>
      </w:r>
    </w:p>
    <w:p w:rsidR="00570EAE" w:rsidRPr="009234DE" w:rsidRDefault="00570EAE" w:rsidP="00570EAE">
      <w:pPr>
        <w:pStyle w:val="Listeafsnit"/>
      </w:pPr>
    </w:p>
    <w:p w:rsidR="00570EAE" w:rsidRPr="009234DE" w:rsidRDefault="00570EAE" w:rsidP="00570EAE">
      <w:pPr>
        <w:numPr>
          <w:ilvl w:val="0"/>
          <w:numId w:val="3"/>
        </w:numPr>
        <w:ind w:left="426" w:hanging="426"/>
        <w:rPr>
          <w:rFonts w:cs="Arial"/>
        </w:rPr>
      </w:pPr>
      <w:r w:rsidRPr="009234DE">
        <w:rPr>
          <w:rFonts w:cs="Arial"/>
        </w:rPr>
        <w:t>Virksomheden skal løbende og mindst en gang årligt foretage visuel kontrol for utætheder, revnedannelser og vedligeholdelsesstand af befæstede arealer og tætte belægninger herunder opsamlingskar, gruber, tankgrave og bassiner. Utætheder skal udbedres, så hurtigt som muligt efter at de er konstateret.(S)</w:t>
      </w:r>
    </w:p>
    <w:p w:rsidR="00570EAE" w:rsidRPr="009234DE" w:rsidRDefault="00570EAE" w:rsidP="00570EAE">
      <w:pPr>
        <w:ind w:left="426"/>
        <w:rPr>
          <w:rFonts w:cs="Arial"/>
        </w:rPr>
      </w:pPr>
    </w:p>
    <w:p w:rsidR="00570EAE" w:rsidRPr="009234DE" w:rsidRDefault="00570EAE" w:rsidP="00570EAE">
      <w:pPr>
        <w:ind w:left="426"/>
        <w:rPr>
          <w:rFonts w:cs="Arial"/>
          <w:u w:val="single"/>
        </w:rPr>
      </w:pPr>
      <w:r w:rsidRPr="009234DE">
        <w:rPr>
          <w:rFonts w:cs="Arial"/>
          <w:iCs/>
          <w:u w:val="single"/>
        </w:rPr>
        <w:t>Driftsjournal</w:t>
      </w:r>
    </w:p>
    <w:p w:rsidR="00570EAE" w:rsidRPr="009234DE" w:rsidRDefault="00570EAE" w:rsidP="00570EAE">
      <w:pPr>
        <w:ind w:left="426"/>
        <w:rPr>
          <w:rFonts w:cs="Arial"/>
        </w:rPr>
      </w:pPr>
    </w:p>
    <w:p w:rsidR="00570EAE" w:rsidRPr="009234DE" w:rsidRDefault="00570EAE" w:rsidP="00570EAE">
      <w:pPr>
        <w:numPr>
          <w:ilvl w:val="0"/>
          <w:numId w:val="3"/>
        </w:numPr>
        <w:ind w:left="426" w:hanging="426"/>
        <w:rPr>
          <w:rFonts w:cs="Arial"/>
        </w:rPr>
      </w:pPr>
      <w:r w:rsidRPr="009234DE">
        <w:rPr>
          <w:rFonts w:cs="Arial"/>
        </w:rPr>
        <w:t>Der skal føres driftsjournal med angivelse af:</w:t>
      </w:r>
    </w:p>
    <w:p w:rsidR="00570EAE" w:rsidRPr="009234DE" w:rsidRDefault="00570EAE" w:rsidP="00570EAE">
      <w:pPr>
        <w:numPr>
          <w:ilvl w:val="0"/>
          <w:numId w:val="35"/>
        </w:numPr>
        <w:rPr>
          <w:rFonts w:cs="Arial"/>
        </w:rPr>
      </w:pPr>
      <w:r w:rsidRPr="009234DE">
        <w:rPr>
          <w:rFonts w:cs="Arial"/>
        </w:rPr>
        <w:t>Olieforbrug på gasmotorer.</w:t>
      </w:r>
    </w:p>
    <w:p w:rsidR="00570EAE" w:rsidRPr="009234DE" w:rsidRDefault="00570EAE" w:rsidP="00570EAE">
      <w:pPr>
        <w:numPr>
          <w:ilvl w:val="0"/>
          <w:numId w:val="35"/>
        </w:numPr>
        <w:rPr>
          <w:rFonts w:cs="Arial"/>
        </w:rPr>
      </w:pPr>
      <w:r w:rsidRPr="009234DE">
        <w:rPr>
          <w:rFonts w:cs="Arial"/>
        </w:rPr>
        <w:t>Justering af brændere.</w:t>
      </w:r>
    </w:p>
    <w:p w:rsidR="00570EAE" w:rsidRPr="009234DE" w:rsidRDefault="00570EAE" w:rsidP="00570EAE">
      <w:pPr>
        <w:numPr>
          <w:ilvl w:val="0"/>
          <w:numId w:val="35"/>
        </w:numPr>
        <w:rPr>
          <w:rFonts w:cs="Arial"/>
        </w:rPr>
      </w:pPr>
      <w:r w:rsidRPr="009234DE">
        <w:rPr>
          <w:rFonts w:cs="Arial"/>
        </w:rPr>
        <w:t>Justeringspunkt for gasmotorer.</w:t>
      </w:r>
    </w:p>
    <w:p w:rsidR="00570EAE" w:rsidRPr="009234DE" w:rsidRDefault="00570EAE" w:rsidP="00570EAE">
      <w:pPr>
        <w:numPr>
          <w:ilvl w:val="0"/>
          <w:numId w:val="35"/>
        </w:numPr>
        <w:rPr>
          <w:rFonts w:cs="Arial"/>
        </w:rPr>
      </w:pPr>
      <w:r w:rsidRPr="009234DE">
        <w:rPr>
          <w:rFonts w:cs="Arial"/>
        </w:rPr>
        <w:t>Dato for vask af kompressor på gasturbineanlæg.</w:t>
      </w:r>
    </w:p>
    <w:p w:rsidR="00570EAE" w:rsidRDefault="00570EAE" w:rsidP="00570EAE">
      <w:pPr>
        <w:numPr>
          <w:ilvl w:val="0"/>
          <w:numId w:val="35"/>
        </w:numPr>
        <w:rPr>
          <w:rFonts w:cs="Arial"/>
        </w:rPr>
      </w:pPr>
      <w:r w:rsidRPr="009234DE">
        <w:rPr>
          <w:rFonts w:cs="Arial"/>
        </w:rPr>
        <w:t>Dato for og resultat af kvalitetssikring af AMS-udstyr.</w:t>
      </w:r>
    </w:p>
    <w:p w:rsidR="00570EAE" w:rsidRPr="009234DE" w:rsidRDefault="00570EAE" w:rsidP="00570EAE">
      <w:pPr>
        <w:numPr>
          <w:ilvl w:val="0"/>
          <w:numId w:val="35"/>
        </w:numPr>
        <w:rPr>
          <w:rFonts w:cs="Arial"/>
        </w:rPr>
      </w:pPr>
      <w:r>
        <w:rPr>
          <w:rFonts w:cs="Arial"/>
        </w:rPr>
        <w:t>Resultatet af CO-målinger</w:t>
      </w:r>
    </w:p>
    <w:p w:rsidR="00570EAE" w:rsidRPr="009234DE" w:rsidRDefault="00570EAE" w:rsidP="00570EAE">
      <w:pPr>
        <w:numPr>
          <w:ilvl w:val="0"/>
          <w:numId w:val="35"/>
        </w:numPr>
        <w:rPr>
          <w:rFonts w:cs="Arial"/>
        </w:rPr>
      </w:pPr>
      <w:r w:rsidRPr="009234DE">
        <w:rPr>
          <w:rFonts w:cs="Arial"/>
        </w:rPr>
        <w:t>Kontrol med luftrenseanlæg, herunder:</w:t>
      </w:r>
    </w:p>
    <w:p w:rsidR="00570EAE" w:rsidRPr="009234DE" w:rsidRDefault="00570EAE" w:rsidP="00570EAE">
      <w:pPr>
        <w:numPr>
          <w:ilvl w:val="0"/>
          <w:numId w:val="35"/>
        </w:numPr>
        <w:rPr>
          <w:rFonts w:cs="Arial"/>
        </w:rPr>
      </w:pPr>
      <w:r w:rsidRPr="009234DE">
        <w:rPr>
          <w:rFonts w:cs="Arial"/>
        </w:rPr>
        <w:t>Dato for skift af filterposer.</w:t>
      </w:r>
    </w:p>
    <w:p w:rsidR="00570EAE" w:rsidRPr="009234DE" w:rsidRDefault="00570EAE" w:rsidP="00570EAE">
      <w:pPr>
        <w:numPr>
          <w:ilvl w:val="0"/>
          <w:numId w:val="35"/>
        </w:numPr>
        <w:rPr>
          <w:rFonts w:cs="Arial"/>
        </w:rPr>
      </w:pPr>
      <w:r w:rsidRPr="009234DE">
        <w:rPr>
          <w:rFonts w:cs="Arial"/>
        </w:rPr>
        <w:t>Dato for kortsluttede elektroder i elektrofilter, der tages ud af drift.</w:t>
      </w:r>
    </w:p>
    <w:p w:rsidR="00570EAE" w:rsidRPr="009234DE" w:rsidRDefault="00570EAE" w:rsidP="00570EAE">
      <w:pPr>
        <w:numPr>
          <w:ilvl w:val="0"/>
          <w:numId w:val="35"/>
        </w:numPr>
        <w:rPr>
          <w:rFonts w:cs="Arial"/>
        </w:rPr>
      </w:pPr>
      <w:r w:rsidRPr="009234DE">
        <w:rPr>
          <w:rFonts w:cs="Arial"/>
        </w:rPr>
        <w:t>Dato for skift af elektroder i elektrofilter.</w:t>
      </w:r>
    </w:p>
    <w:p w:rsidR="00570EAE" w:rsidRPr="009234DE" w:rsidRDefault="00570EAE" w:rsidP="00570EAE">
      <w:pPr>
        <w:numPr>
          <w:ilvl w:val="0"/>
          <w:numId w:val="35"/>
        </w:numPr>
        <w:rPr>
          <w:rFonts w:cs="Arial"/>
        </w:rPr>
      </w:pPr>
      <w:r w:rsidRPr="009234DE">
        <w:rPr>
          <w:rFonts w:cs="Arial"/>
        </w:rPr>
        <w:t xml:space="preserve">Dato for visuel kontrol for utætheder, revnedannelser og vedligeholdelsesstand af befæstede arealer, tætte belægninger, gruber, mv., samt dato for eventuelle udbedringer af revner eller andre skader, jf. </w:t>
      </w:r>
      <w:r w:rsidRPr="0054134C">
        <w:rPr>
          <w:rFonts w:cs="Arial"/>
        </w:rPr>
        <w:t>vilkår 2</w:t>
      </w:r>
      <w:r w:rsidR="0054134C">
        <w:rPr>
          <w:rFonts w:cs="Arial"/>
        </w:rPr>
        <w:t>2</w:t>
      </w:r>
    </w:p>
    <w:p w:rsidR="00570EAE" w:rsidRPr="009234DE" w:rsidRDefault="00570EAE" w:rsidP="00570EAE">
      <w:pPr>
        <w:numPr>
          <w:ilvl w:val="0"/>
          <w:numId w:val="35"/>
        </w:numPr>
        <w:rPr>
          <w:rFonts w:cs="Arial"/>
        </w:rPr>
      </w:pPr>
      <w:r w:rsidRPr="009234DE">
        <w:rPr>
          <w:rFonts w:cs="Arial"/>
        </w:rPr>
        <w:t>Forbrug af type og mængde brændsel.</w:t>
      </w:r>
    </w:p>
    <w:p w:rsidR="00570EAE" w:rsidRPr="009234DE" w:rsidRDefault="00570EAE" w:rsidP="00570EAE">
      <w:pPr>
        <w:numPr>
          <w:ilvl w:val="0"/>
          <w:numId w:val="35"/>
        </w:numPr>
        <w:rPr>
          <w:rFonts w:cs="Arial"/>
        </w:rPr>
      </w:pPr>
      <w:r w:rsidRPr="009234DE">
        <w:rPr>
          <w:rFonts w:cs="Arial"/>
        </w:rPr>
        <w:t>Håndtering af affald fra forbrændingsprocessen.</w:t>
      </w:r>
    </w:p>
    <w:p w:rsidR="00570EAE" w:rsidRPr="009234DE" w:rsidRDefault="00570EAE" w:rsidP="00570EAE">
      <w:pPr>
        <w:numPr>
          <w:ilvl w:val="0"/>
          <w:numId w:val="35"/>
        </w:numPr>
        <w:rPr>
          <w:rFonts w:cs="Arial"/>
        </w:rPr>
      </w:pPr>
      <w:r w:rsidRPr="009234DE">
        <w:rPr>
          <w:rFonts w:cs="Arial"/>
        </w:rPr>
        <w:t>Antal driftstimer pr. år.</w:t>
      </w:r>
    </w:p>
    <w:p w:rsidR="00570EAE" w:rsidRPr="009234DE" w:rsidRDefault="00570EAE" w:rsidP="00570EAE">
      <w:pPr>
        <w:ind w:left="426"/>
        <w:rPr>
          <w:rFonts w:cs="Arial"/>
        </w:rPr>
      </w:pPr>
    </w:p>
    <w:p w:rsidR="00570EAE" w:rsidRPr="009234DE" w:rsidRDefault="00570EAE" w:rsidP="00570EAE">
      <w:pPr>
        <w:ind w:left="426"/>
        <w:rPr>
          <w:rFonts w:cs="Arial"/>
        </w:rPr>
      </w:pPr>
      <w:r w:rsidRPr="009234DE">
        <w:rPr>
          <w:rFonts w:cs="Arial"/>
        </w:rPr>
        <w:t>Driftsjournalen skal være tilgængelig for tilsynsmyndigheden og skal opbevares på virksomheden i mindst 5 år.(S)</w:t>
      </w:r>
    </w:p>
    <w:p w:rsidR="00570EAE" w:rsidRPr="009234DE" w:rsidRDefault="00570EAE" w:rsidP="00570EAE">
      <w:pPr>
        <w:pStyle w:val="Overskrift1"/>
        <w:numPr>
          <w:ilvl w:val="0"/>
          <w:numId w:val="1"/>
        </w:numPr>
        <w:spacing w:before="360" w:after="240"/>
        <w:ind w:left="431" w:hanging="431"/>
      </w:pPr>
      <w:bookmarkStart w:id="32" w:name="_Toc223777089"/>
      <w:bookmarkStart w:id="33" w:name="_Toc224005273"/>
      <w:r w:rsidRPr="009234DE">
        <w:lastRenderedPageBreak/>
        <w:t xml:space="preserve">Afgørelsens varighed </w:t>
      </w:r>
      <w:bookmarkEnd w:id="32"/>
      <w:bookmarkEnd w:id="33"/>
      <w:r w:rsidRPr="009234DE">
        <w:t>m.m.</w:t>
      </w:r>
    </w:p>
    <w:p w:rsidR="00570EAE" w:rsidRPr="009234DE" w:rsidRDefault="00570EAE" w:rsidP="00570EAE">
      <w:r w:rsidRPr="009234DE">
        <w:t>En virksomheds miljøgodkendelse kan i henhold til godkendelsesbekendtgørelsens § 41b tages op til revurdering, når der er forløbet 8 år fra godkendelsens meddelelse.</w:t>
      </w:r>
    </w:p>
    <w:p w:rsidR="00570EAE" w:rsidRPr="009234DE" w:rsidRDefault="00570EAE" w:rsidP="00570EAE"/>
    <w:p w:rsidR="00570EAE" w:rsidRPr="009234DE" w:rsidRDefault="00570EAE" w:rsidP="00570EAE">
      <w:r w:rsidRPr="009234DE">
        <w:t>Som tidligere nævnt er virksomhedens eksisterende anlæg og drift miljøgodkendt efter miljøbeskyttelseslovens § 33 ved godkendelse af 9. december 1999. Den ovennævnte retsbeskyttelse på 8 år er derfor bortfaldet, og der opnås ikke fornyet retsbeskyttelse for det omfattede anlæg og drift ved nærværende afgørelse.</w:t>
      </w:r>
    </w:p>
    <w:p w:rsidR="00570EAE" w:rsidRPr="009234DE" w:rsidRDefault="00570EAE" w:rsidP="00570EAE"/>
    <w:p w:rsidR="00570EAE" w:rsidRPr="00EC613B" w:rsidRDefault="00570EAE" w:rsidP="00570EAE">
      <w:r w:rsidRPr="00EC613B">
        <w:t>For Solvarmeanlæggets anlæg og drift, som ved nærværende afgørelse godkendes første gang efter miljøbeskyttelseslovens § 33, gælder, at tilsynsmyndigheden i henhold til Miljøbeskyttelseslovens § 41a, stk. 1, tidligst efter 8 år kan meddele påbud eller forbud, med mindre der er forhold omfattet af § 41a, stk. 2.</w:t>
      </w:r>
    </w:p>
    <w:p w:rsidR="00570EAE" w:rsidRPr="00EC613B" w:rsidRDefault="00570EAE" w:rsidP="00570EAE"/>
    <w:p w:rsidR="00570EAE" w:rsidRPr="00EC613B" w:rsidRDefault="00570EAE" w:rsidP="00570EAE">
      <w:r w:rsidRPr="00EC613B">
        <w:t>Godkendelsen af den ansøgte udvidelse med biomassekedel bortfalder, hvis den ikke er udnyttet inden 2 år fra meddelelsen af nærværende afgørelse.</w:t>
      </w:r>
    </w:p>
    <w:p w:rsidR="00570EAE" w:rsidRPr="00EC613B" w:rsidRDefault="00570EAE" w:rsidP="00570EAE"/>
    <w:p w:rsidR="00570EAE" w:rsidRPr="00EC613B" w:rsidRDefault="00570EAE" w:rsidP="00570EAE">
      <w:r w:rsidRPr="00EC613B">
        <w:t>For anlæg og drift af biomassekedel, som ved nærværende afgørelse godkendes første gang efter miljøbeskyttelseslovens § 33, gælder, at tilsynsmyndigheden i henhold til Miljøbeskyttelseslovens § 41a, stk. 1, tidligst efter 8 år kan meddele påbud eller forbud, med mindre der er forhold omfattet af § 41a, stk. 2.</w:t>
      </w:r>
    </w:p>
    <w:p w:rsidR="00570EAE" w:rsidRPr="009234DE" w:rsidRDefault="00570EAE" w:rsidP="00570EAE"/>
    <w:p w:rsidR="00570EAE" w:rsidRPr="009234DE" w:rsidRDefault="00570EAE" w:rsidP="00570EAE">
      <w:pPr>
        <w:rPr>
          <w:u w:val="single"/>
        </w:rPr>
      </w:pPr>
      <w:r w:rsidRPr="009234DE">
        <w:rPr>
          <w:u w:val="single"/>
        </w:rPr>
        <w:t>Generelt for virksomheden</w:t>
      </w:r>
    </w:p>
    <w:p w:rsidR="00570EAE" w:rsidRPr="009234DE" w:rsidRDefault="00570EAE" w:rsidP="00570EAE"/>
    <w:p w:rsidR="00570EAE" w:rsidRPr="009234DE" w:rsidRDefault="00570EAE" w:rsidP="00570EAE">
      <w:r w:rsidRPr="009234DE">
        <w:t>Godkendelsen bortfalder, hvis den ikke har været udnyttet i 3 på hinanden følgende år, jfr. miljøbeskyttelseslovens § 78a.</w:t>
      </w:r>
    </w:p>
    <w:p w:rsidR="00570EAE" w:rsidRPr="009234DE" w:rsidRDefault="00570EAE" w:rsidP="00570EAE"/>
    <w:p w:rsidR="00570EAE" w:rsidRPr="009234DE" w:rsidRDefault="00570EAE" w:rsidP="00570EAE">
      <w:pPr>
        <w:rPr>
          <w:noProof/>
        </w:rPr>
      </w:pPr>
      <w:r w:rsidRPr="009234DE">
        <w:rPr>
          <w:noProof/>
        </w:rPr>
        <w:t>Virksomhedens indretning og drift må i henhold til miljøbeskyttelseslovens § 33 ikke udvides eller ændres på en måde, som indebærer forøget forurening, før udvidelsen eller ændringen er godkendt.</w:t>
      </w:r>
    </w:p>
    <w:p w:rsidR="00570EAE" w:rsidRPr="009234DE" w:rsidRDefault="00570EAE" w:rsidP="00570EAE">
      <w:pPr>
        <w:pStyle w:val="Overskrift1"/>
        <w:numPr>
          <w:ilvl w:val="0"/>
          <w:numId w:val="1"/>
        </w:numPr>
        <w:spacing w:before="360" w:after="240"/>
        <w:ind w:left="431" w:hanging="431"/>
      </w:pPr>
      <w:bookmarkStart w:id="34" w:name="_Toc223777090"/>
      <w:bookmarkStart w:id="35" w:name="_Toc224005274"/>
      <w:r w:rsidRPr="009234DE">
        <w:t>Klagevejledning</w:t>
      </w:r>
      <w:bookmarkEnd w:id="34"/>
      <w:bookmarkEnd w:id="35"/>
    </w:p>
    <w:p w:rsidR="00570EAE" w:rsidRPr="009234DE" w:rsidRDefault="00570EAE" w:rsidP="00570EAE">
      <w:pPr>
        <w:rPr>
          <w:bCs/>
        </w:rPr>
      </w:pPr>
      <w:r w:rsidRPr="009234DE">
        <w:rPr>
          <w:bCs/>
        </w:rPr>
        <w:t xml:space="preserve">Afgørelsen kan påklages til Natur- og Miljøklagenævnet af de klageberettigede, der fremgår af miljøbeskyttelseslovens kap. 11, jfr. §§ 98, 99 og 100. </w:t>
      </w:r>
    </w:p>
    <w:p w:rsidR="00570EAE" w:rsidRPr="009234DE" w:rsidRDefault="00570EAE" w:rsidP="00570EAE">
      <w:pPr>
        <w:rPr>
          <w:bCs/>
        </w:rPr>
      </w:pPr>
    </w:p>
    <w:p w:rsidR="00570EAE" w:rsidRPr="009234DE" w:rsidRDefault="00570EAE" w:rsidP="00570EAE">
      <w:pPr>
        <w:rPr>
          <w:bCs/>
        </w:rPr>
      </w:pPr>
      <w:r w:rsidRPr="009234DE">
        <w:rPr>
          <w:bCs/>
        </w:rPr>
        <w:t xml:space="preserve">Hvis du ønsker at klage over afgørelsen, kan du klage til Natur- og Miljøklagenævnet. Klagen skal være indgivet senest den </w:t>
      </w:r>
      <w:r>
        <w:rPr>
          <w:bCs/>
        </w:rPr>
        <w:t>8. august 2016</w:t>
      </w:r>
      <w:r w:rsidRPr="009234DE">
        <w:rPr>
          <w:bCs/>
        </w:rPr>
        <w:t xml:space="preserve"> inden rådhusets lukketid.</w:t>
      </w:r>
    </w:p>
    <w:p w:rsidR="00570EAE" w:rsidRPr="009234DE" w:rsidRDefault="00570EAE" w:rsidP="00570EAE">
      <w:pPr>
        <w:rPr>
          <w:bCs/>
        </w:rPr>
      </w:pPr>
    </w:p>
    <w:p w:rsidR="00570EAE" w:rsidRPr="009234DE" w:rsidRDefault="00570EAE" w:rsidP="00570EAE">
      <w:pPr>
        <w:rPr>
          <w:bCs/>
        </w:rPr>
      </w:pPr>
      <w:r w:rsidRPr="009234DE">
        <w:rPr>
          <w:bCs/>
        </w:rPr>
        <w:t xml:space="preserve">Du klager via Klageportalen, der ligger på </w:t>
      </w:r>
      <w:hyperlink r:id="rId27" w:history="1">
        <w:r w:rsidRPr="009234DE">
          <w:rPr>
            <w:bCs/>
            <w:u w:val="single"/>
          </w:rPr>
          <w:t>www.borger.dk</w:t>
        </w:r>
      </w:hyperlink>
      <w:r w:rsidRPr="009234DE">
        <w:rPr>
          <w:bCs/>
        </w:rPr>
        <w:t xml:space="preserve"> og </w:t>
      </w:r>
      <w:hyperlink r:id="rId28" w:history="1">
        <w:r w:rsidRPr="009234DE">
          <w:rPr>
            <w:bCs/>
            <w:u w:val="single"/>
          </w:rPr>
          <w:t>www.virk.dk</w:t>
        </w:r>
      </w:hyperlink>
      <w:r w:rsidRPr="009234DE">
        <w:rPr>
          <w:bCs/>
        </w:rPr>
        <w:t xml:space="preserve">. </w:t>
      </w:r>
      <w:r w:rsidRPr="009234DE">
        <w:t xml:space="preserve">Vejledning om, hvordan man skal logge på og anvende Klageportalen, kan findes </w:t>
      </w:r>
      <w:r w:rsidRPr="009234DE">
        <w:rPr>
          <w:bCs/>
        </w:rPr>
        <w:t xml:space="preserve">på Natur- og Miljøklagenævnets hjemmeside </w:t>
      </w:r>
      <w:hyperlink r:id="rId29" w:history="1">
        <w:r w:rsidRPr="009234DE">
          <w:rPr>
            <w:bCs/>
            <w:u w:val="single"/>
          </w:rPr>
          <w:t>www.nmkn.dk</w:t>
        </w:r>
      </w:hyperlink>
      <w:r w:rsidRPr="009234DE">
        <w:rPr>
          <w:bCs/>
        </w:rPr>
        <w:t xml:space="preserve">, samt på </w:t>
      </w:r>
      <w:hyperlink r:id="rId30" w:history="1">
        <w:r w:rsidRPr="009234DE">
          <w:rPr>
            <w:bCs/>
            <w:u w:val="single"/>
          </w:rPr>
          <w:t>www.borger.dk</w:t>
        </w:r>
      </w:hyperlink>
      <w:r w:rsidRPr="009234DE">
        <w:rPr>
          <w:bCs/>
        </w:rPr>
        <w:t xml:space="preserve"> og </w:t>
      </w:r>
      <w:hyperlink r:id="rId31" w:history="1">
        <w:r w:rsidRPr="009234DE">
          <w:rPr>
            <w:bCs/>
            <w:u w:val="single"/>
          </w:rPr>
          <w:t>www.virk.dk</w:t>
        </w:r>
      </w:hyperlink>
      <w:r w:rsidRPr="009234DE">
        <w:rPr>
          <w:bCs/>
        </w:rPr>
        <w:t>. Klagen sendes gennem Klageportalen til kommunen. En klage er indgivet, når den er tilgængelig for kommunen i Klageportalen. Når du klager, skal du betale et gebyr på kr. 500. Du betaler gebyret med betalingskort i Klageportalen.</w:t>
      </w:r>
    </w:p>
    <w:p w:rsidR="00570EAE" w:rsidRPr="009234DE" w:rsidRDefault="00570EAE" w:rsidP="00570EAE">
      <w:pPr>
        <w:rPr>
          <w:bCs/>
        </w:rPr>
      </w:pPr>
    </w:p>
    <w:p w:rsidR="00570EAE" w:rsidRPr="009234DE" w:rsidRDefault="00570EAE" w:rsidP="00570EAE">
      <w:pPr>
        <w:rPr>
          <w:bCs/>
        </w:rPr>
      </w:pPr>
      <w:r w:rsidRPr="009234DE">
        <w:rPr>
          <w:bCs/>
        </w:rPr>
        <w:t>Natur- og Miljøklagenævnet skal som udgangspunkt afvise en klage, der kommer uden om Klageportalen. Hvis du ønsker at blive fritaget for at bruge Klageportalen, skal du sende en begrundet anmodning til kommunen. Kommunen videresender herefter anmodningen til Natur- og Miljøklagenævnet, som træffer afgørelse om, hvorvidt din anmodning kan imødekommes.</w:t>
      </w:r>
    </w:p>
    <w:p w:rsidR="00570EAE" w:rsidRPr="009234DE" w:rsidRDefault="00570EAE" w:rsidP="00570EAE">
      <w:pPr>
        <w:rPr>
          <w:bCs/>
        </w:rPr>
      </w:pPr>
    </w:p>
    <w:p w:rsidR="00570EAE" w:rsidRPr="009234DE" w:rsidRDefault="00570EAE" w:rsidP="00570EAE">
      <w:pPr>
        <w:rPr>
          <w:bCs/>
        </w:rPr>
      </w:pPr>
      <w:r w:rsidRPr="009234DE">
        <w:rPr>
          <w:bCs/>
        </w:rPr>
        <w:t>En eventuel klage har opsættende virkning for påbud efter miljøbeskyttelseslovens § 41, medmindre Natur- og Miljøklagenævnet bestemmer andet.</w:t>
      </w:r>
    </w:p>
    <w:p w:rsidR="00570EAE" w:rsidRPr="009234DE" w:rsidRDefault="00570EAE" w:rsidP="00570EAE">
      <w:pPr>
        <w:rPr>
          <w:bCs/>
        </w:rPr>
      </w:pPr>
    </w:p>
    <w:p w:rsidR="00570EAE" w:rsidRPr="00EC613B" w:rsidRDefault="00570EAE" w:rsidP="00570EAE">
      <w:pPr>
        <w:rPr>
          <w:bCs/>
        </w:rPr>
      </w:pPr>
    </w:p>
    <w:p w:rsidR="00570EAE" w:rsidRPr="00EC613B" w:rsidRDefault="00570EAE" w:rsidP="00570EAE">
      <w:pPr>
        <w:rPr>
          <w:bCs/>
        </w:rPr>
      </w:pPr>
      <w:r w:rsidRPr="00EC613B">
        <w:rPr>
          <w:bCs/>
        </w:rPr>
        <w:t>En eventuel klage over godkendelse efter miljøbeskyttelseslovens § 33 har som udgangspunkt ikke opsættende virkning, medmindre Natur- og Miljøklagenævnet bestemmer andet. Udnyttelse af afgørelsen inden klagefristens udløb sker på egen risiko.</w:t>
      </w:r>
    </w:p>
    <w:p w:rsidR="00570EAE" w:rsidRPr="009234DE" w:rsidRDefault="00570EAE" w:rsidP="00570EAE">
      <w:pPr>
        <w:rPr>
          <w:bCs/>
        </w:rPr>
      </w:pPr>
    </w:p>
    <w:p w:rsidR="00570EAE" w:rsidRPr="009234DE" w:rsidRDefault="00570EAE" w:rsidP="00570EAE">
      <w:r w:rsidRPr="009234DE">
        <w:t>Hvis afgørelsen ønskes indbragt for domstolene, skal søgsmål være anlagt inden 6 måneder, eller - hvis sagen påklages - inden 6 måneder efter, at endelig afgørelse foreligger.</w:t>
      </w:r>
    </w:p>
    <w:p w:rsidR="00570EAE" w:rsidRPr="009234DE" w:rsidRDefault="00570EAE" w:rsidP="00570EAE">
      <w:pPr>
        <w:pStyle w:val="Overskrift1"/>
        <w:numPr>
          <w:ilvl w:val="0"/>
          <w:numId w:val="1"/>
        </w:numPr>
        <w:spacing w:before="360" w:after="240"/>
        <w:ind w:left="431" w:hanging="431"/>
      </w:pPr>
      <w:bookmarkStart w:id="36" w:name="_Toc223777091"/>
      <w:bookmarkStart w:id="37" w:name="_Toc224005275"/>
      <w:r w:rsidRPr="009234DE">
        <w:t>Offentliggørelse</w:t>
      </w:r>
      <w:bookmarkEnd w:id="36"/>
      <w:bookmarkEnd w:id="37"/>
    </w:p>
    <w:p w:rsidR="00570EAE" w:rsidRPr="009234DE" w:rsidRDefault="00570EAE" w:rsidP="00570EAE">
      <w:pPr>
        <w:pStyle w:val="Brdtekst"/>
        <w:spacing w:line="280" w:lineRule="atLeast"/>
        <w:rPr>
          <w:sz w:val="20"/>
          <w:szCs w:val="20"/>
        </w:rPr>
      </w:pPr>
      <w:r w:rsidRPr="009234DE">
        <w:rPr>
          <w:sz w:val="20"/>
          <w:szCs w:val="20"/>
        </w:rPr>
        <w:t xml:space="preserve">Afgørelsen vil </w:t>
      </w:r>
      <w:r>
        <w:rPr>
          <w:sz w:val="20"/>
          <w:szCs w:val="20"/>
        </w:rPr>
        <w:t xml:space="preserve">d. 11. juli 2016 </w:t>
      </w:r>
      <w:r w:rsidRPr="009234DE">
        <w:rPr>
          <w:sz w:val="20"/>
          <w:szCs w:val="20"/>
        </w:rPr>
        <w:t>blive annonceret</w:t>
      </w:r>
      <w:r>
        <w:rPr>
          <w:sz w:val="20"/>
          <w:szCs w:val="20"/>
        </w:rPr>
        <w:t xml:space="preserve"> på Billund kommunes hjemmeside http://www.billund.dk  og offentliggøres desuden </w:t>
      </w:r>
      <w:r w:rsidRPr="009234DE">
        <w:rPr>
          <w:sz w:val="20"/>
          <w:szCs w:val="20"/>
        </w:rPr>
        <w:t xml:space="preserve">i Billund Ugeavis og Midtjysk Ugeavis den </w:t>
      </w:r>
      <w:r>
        <w:rPr>
          <w:sz w:val="20"/>
          <w:szCs w:val="20"/>
        </w:rPr>
        <w:t>19. juli 2016</w:t>
      </w:r>
      <w:r w:rsidRPr="009234DE">
        <w:rPr>
          <w:sz w:val="20"/>
          <w:szCs w:val="20"/>
        </w:rPr>
        <w:t xml:space="preserve">. </w:t>
      </w:r>
    </w:p>
    <w:p w:rsidR="00570EAE" w:rsidRPr="009234DE" w:rsidRDefault="00570EAE" w:rsidP="00570EAE"/>
    <w:p w:rsidR="00570EAE" w:rsidRPr="009234DE" w:rsidRDefault="00570EAE" w:rsidP="00570EAE">
      <w:r w:rsidRPr="009234DE">
        <w:t>Afgørelsen er sendt til:</w:t>
      </w:r>
    </w:p>
    <w:p w:rsidR="00570EAE" w:rsidRPr="009234DE" w:rsidRDefault="00570EAE" w:rsidP="00570EAE"/>
    <w:p w:rsidR="00570EAE" w:rsidRPr="009234DE" w:rsidRDefault="00570EAE" w:rsidP="00570EAE">
      <w:r w:rsidRPr="009234DE">
        <w:t xml:space="preserve">Sundhedsstyrelsen, Embedslægeinstitutionen Syddanmark, </w:t>
      </w:r>
      <w:hyperlink r:id="rId32" w:history="1">
        <w:r w:rsidRPr="009234DE">
          <w:rPr>
            <w:rStyle w:val="Hyperlink"/>
            <w:color w:val="auto"/>
          </w:rPr>
          <w:t>syd@sst.dk</w:t>
        </w:r>
      </w:hyperlink>
      <w:r w:rsidRPr="009234DE">
        <w:t xml:space="preserve"> </w:t>
      </w:r>
    </w:p>
    <w:p w:rsidR="00570EAE" w:rsidRPr="009234DE" w:rsidRDefault="00570EAE" w:rsidP="00570EAE">
      <w:r w:rsidRPr="009234DE">
        <w:t xml:space="preserve">Danmarks Naturfredningsforening, Masnedøgade 20, 2100 København Ø, </w:t>
      </w:r>
      <w:hyperlink r:id="rId33" w:history="1">
        <w:r w:rsidRPr="009234DE">
          <w:rPr>
            <w:rStyle w:val="Hyperlink"/>
            <w:color w:val="auto"/>
          </w:rPr>
          <w:t>dnbillund-sager@dn.dk</w:t>
        </w:r>
      </w:hyperlink>
    </w:p>
    <w:p w:rsidR="00570EAE" w:rsidRPr="009234DE" w:rsidRDefault="00570EAE" w:rsidP="00570EAE">
      <w:r w:rsidRPr="009234DE">
        <w:t xml:space="preserve">Friluftsrådet, </w:t>
      </w:r>
      <w:hyperlink r:id="rId34" w:history="1">
        <w:r w:rsidRPr="009234DE">
          <w:rPr>
            <w:rStyle w:val="Hyperlink"/>
            <w:color w:val="auto"/>
          </w:rPr>
          <w:t>trekantomraadet@friluftsraadet.dk</w:t>
        </w:r>
      </w:hyperlink>
      <w:r w:rsidRPr="009234DE">
        <w:t xml:space="preserve"> </w:t>
      </w:r>
    </w:p>
    <w:p w:rsidR="00570EAE" w:rsidRPr="009234DE" w:rsidRDefault="00570EAE" w:rsidP="00570EAE">
      <w:pPr>
        <w:rPr>
          <w:rFonts w:cs="Arial"/>
        </w:rPr>
      </w:pPr>
      <w:r w:rsidRPr="009234DE">
        <w:rPr>
          <w:rFonts w:cs="Arial"/>
        </w:rPr>
        <w:t xml:space="preserve">Dansk Ornitologisk Forening, </w:t>
      </w:r>
      <w:hyperlink r:id="rId35" w:history="1">
        <w:r w:rsidRPr="009234DE">
          <w:rPr>
            <w:rStyle w:val="Hyperlink"/>
            <w:rFonts w:cs="Arial"/>
            <w:color w:val="auto"/>
          </w:rPr>
          <w:t>billund@dof.dk</w:t>
        </w:r>
      </w:hyperlink>
      <w:r w:rsidRPr="009234DE">
        <w:rPr>
          <w:rFonts w:cs="Arial"/>
        </w:rPr>
        <w:t xml:space="preserve"> og </w:t>
      </w:r>
      <w:hyperlink r:id="rId36" w:history="1">
        <w:r w:rsidRPr="009234DE">
          <w:rPr>
            <w:rStyle w:val="Hyperlink"/>
            <w:rFonts w:cs="Arial"/>
            <w:color w:val="auto"/>
          </w:rPr>
          <w:t>natur@dof.dk</w:t>
        </w:r>
      </w:hyperlink>
      <w:r w:rsidRPr="009234DE">
        <w:rPr>
          <w:rFonts w:cs="Arial"/>
        </w:rPr>
        <w:t xml:space="preserve"> </w:t>
      </w:r>
    </w:p>
    <w:p w:rsidR="00570EAE" w:rsidRPr="009234DE" w:rsidRDefault="00570EAE" w:rsidP="00570EAE"/>
    <w:p w:rsidR="00570EAE" w:rsidRPr="009234DE" w:rsidRDefault="00570EAE" w:rsidP="00570EAE">
      <w:pPr>
        <w:pStyle w:val="Brdtekst"/>
        <w:spacing w:line="280" w:lineRule="atLeast"/>
        <w:rPr>
          <w:sz w:val="20"/>
          <w:szCs w:val="20"/>
        </w:rPr>
      </w:pPr>
      <w:r w:rsidRPr="009234DE">
        <w:rPr>
          <w:sz w:val="20"/>
          <w:szCs w:val="20"/>
        </w:rPr>
        <w:t xml:space="preserve">Henvendelse om afgørelsen kan ske til undertegnede på tlf.7972 </w:t>
      </w:r>
      <w:r>
        <w:rPr>
          <w:sz w:val="20"/>
          <w:szCs w:val="20"/>
        </w:rPr>
        <w:t>7090</w:t>
      </w:r>
      <w:r w:rsidRPr="009234DE">
        <w:rPr>
          <w:sz w:val="20"/>
          <w:szCs w:val="20"/>
        </w:rPr>
        <w:t>.</w:t>
      </w:r>
    </w:p>
    <w:p w:rsidR="00570EAE" w:rsidRPr="009234DE" w:rsidRDefault="00570EAE" w:rsidP="00570EAE"/>
    <w:p w:rsidR="00570EAE" w:rsidRPr="009234DE" w:rsidRDefault="00570EAE" w:rsidP="00570EAE"/>
    <w:p w:rsidR="00570EAE" w:rsidRPr="0054134C" w:rsidRDefault="00570EAE" w:rsidP="00570EAE">
      <w:r w:rsidRPr="0054134C">
        <w:t>Ulla Berg Bojesen</w:t>
      </w:r>
    </w:p>
    <w:p w:rsidR="00570EAE" w:rsidRPr="009234DE" w:rsidRDefault="00570EAE" w:rsidP="00570EAE">
      <w:pPr>
        <w:rPr>
          <w:i/>
        </w:rPr>
      </w:pPr>
      <w:r w:rsidRPr="0054134C">
        <w:rPr>
          <w:i/>
        </w:rPr>
        <w:t>Civilingeniør</w:t>
      </w:r>
    </w:p>
    <w:p w:rsidR="00570EAE" w:rsidRPr="009234DE" w:rsidRDefault="00570EAE" w:rsidP="00570EAE"/>
    <w:p w:rsidR="00570EAE" w:rsidRPr="009234DE" w:rsidRDefault="00570EAE" w:rsidP="00570EAE">
      <w:pPr>
        <w:rPr>
          <w:b/>
          <w:sz w:val="22"/>
          <w:szCs w:val="22"/>
        </w:rPr>
      </w:pPr>
      <w:r w:rsidRPr="009234DE">
        <w:rPr>
          <w:b/>
          <w:sz w:val="22"/>
          <w:szCs w:val="22"/>
        </w:rPr>
        <w:t>Bilag til godkendelsen:</w:t>
      </w:r>
    </w:p>
    <w:p w:rsidR="00570EAE" w:rsidRPr="009234DE" w:rsidRDefault="00570EAE" w:rsidP="00570EAE"/>
    <w:p w:rsidR="00570EAE" w:rsidRPr="009234DE" w:rsidRDefault="00570EAE" w:rsidP="00570EAE">
      <w:r w:rsidRPr="009234DE">
        <w:t>Bilag 1: Virksomhedens lokalisering</w:t>
      </w:r>
    </w:p>
    <w:p w:rsidR="00570EAE" w:rsidRPr="009234DE" w:rsidRDefault="00570EAE" w:rsidP="00570EAE">
      <w:r w:rsidRPr="009234DE">
        <w:t xml:space="preserve">Bilag 2: </w:t>
      </w:r>
      <w:r>
        <w:t>Miljøgodkendelsen fra 1999</w:t>
      </w:r>
    </w:p>
    <w:p w:rsidR="00570EAE" w:rsidRPr="009234DE" w:rsidRDefault="00570EAE" w:rsidP="00570EAE">
      <w:r w:rsidRPr="009234DE">
        <w:t>Bilag 3: Kommuneplanens rammeområder</w:t>
      </w:r>
      <w:r>
        <w:t xml:space="preserve"> og lokalplaner</w:t>
      </w:r>
    </w:p>
    <w:p w:rsidR="00570EAE" w:rsidRDefault="00570EAE" w:rsidP="00570EAE">
      <w:r w:rsidRPr="009234DE">
        <w:t xml:space="preserve">Bilag 4: </w:t>
      </w:r>
      <w:r>
        <w:t>Processkitser biomasseanlæg</w:t>
      </w:r>
    </w:p>
    <w:p w:rsidR="00570EAE" w:rsidRDefault="00570EAE" w:rsidP="00570EAE">
      <w:r>
        <w:t>Bilag 5: Indretning, drift og beredskabsplan for solvarmeanlæg</w:t>
      </w:r>
    </w:p>
    <w:p w:rsidR="00F116A3" w:rsidRDefault="00570EAE" w:rsidP="00570EAE">
      <w:r>
        <w:t>Bilag 6: Nødplan gasanlæ</w:t>
      </w:r>
      <w:r w:rsidR="0054134C">
        <w:t>g</w:t>
      </w:r>
    </w:p>
    <w:p w:rsidR="00F116A3" w:rsidRDefault="00F116A3"/>
    <w:p w:rsidR="00E134BB" w:rsidRDefault="00E134BB"/>
    <w:p w:rsidR="0003666B" w:rsidRDefault="0003666B">
      <w:pPr>
        <w:rPr>
          <w:i/>
        </w:rPr>
      </w:pPr>
    </w:p>
    <w:sectPr w:rsidR="0003666B" w:rsidSect="00591816">
      <w:headerReference w:type="default" r:id="rId37"/>
      <w:type w:val="continuous"/>
      <w:pgSz w:w="11906" w:h="16838" w:code="9"/>
      <w:pgMar w:top="1134" w:right="2125" w:bottom="1134" w:left="1247"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8C" w:rsidRDefault="00E81C8C">
      <w:r>
        <w:separator/>
      </w:r>
    </w:p>
  </w:endnote>
  <w:endnote w:type="continuationSeparator" w:id="0">
    <w:p w:rsidR="00E81C8C" w:rsidRDefault="00E8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8C" w:rsidRDefault="00E81C8C">
    <w:pPr>
      <w:pStyle w:val="Sidefod"/>
    </w:pPr>
    <w:r>
      <w:rPr>
        <w:noProof/>
        <w:lang w:eastAsia="da-DK"/>
      </w:rPr>
      <mc:AlternateContent>
        <mc:Choice Requires="wps">
          <w:drawing>
            <wp:anchor distT="0" distB="0" distL="114300" distR="114300" simplePos="0" relativeHeight="251657216" behindDoc="0" locked="1" layoutInCell="1" allowOverlap="1">
              <wp:simplePos x="0" y="0"/>
              <wp:positionH relativeFrom="column">
                <wp:posOffset>4803140</wp:posOffset>
              </wp:positionH>
              <wp:positionV relativeFrom="page">
                <wp:posOffset>10092055</wp:posOffset>
              </wp:positionV>
              <wp:extent cx="762635" cy="294640"/>
              <wp:effectExtent l="0" t="0" r="0" b="0"/>
              <wp:wrapSquare wrapText="bothSides"/>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C8C" w:rsidRPr="00CC6F6B" w:rsidRDefault="00E81C8C" w:rsidP="00AF74F3">
                          <w:pPr>
                            <w:pStyle w:val="Sidefod"/>
                            <w:jc w:val="right"/>
                            <w:rPr>
                              <w:sz w:val="16"/>
                            </w:rPr>
                          </w:pPr>
                          <w:r>
                            <w:rPr>
                              <w:rStyle w:val="Sidetal"/>
                            </w:rPr>
                            <w:t xml:space="preserve">Side </w:t>
                          </w:r>
                          <w:r>
                            <w:rPr>
                              <w:rStyle w:val="Sidetal"/>
                            </w:rPr>
                            <w:fldChar w:fldCharType="begin"/>
                          </w:r>
                          <w:r>
                            <w:rPr>
                              <w:rStyle w:val="Sidetal"/>
                            </w:rPr>
                            <w:instrText xml:space="preserve"> PAGE </w:instrText>
                          </w:r>
                          <w:r>
                            <w:rPr>
                              <w:rStyle w:val="Sidetal"/>
                            </w:rPr>
                            <w:fldChar w:fldCharType="separate"/>
                          </w:r>
                          <w:r w:rsidR="0028292B">
                            <w:rPr>
                              <w:rStyle w:val="Sidetal"/>
                              <w:noProof/>
                            </w:rPr>
                            <w:t>11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8292B">
                            <w:rPr>
                              <w:rStyle w:val="Sidetal"/>
                              <w:noProof/>
                            </w:rPr>
                            <w:t>29</w:t>
                          </w:r>
                          <w:r>
                            <w:rPr>
                              <w:rStyle w:val="Sidetal"/>
                            </w:rPr>
                            <w:fldChar w:fldCharType="end"/>
                          </w:r>
                        </w:p>
                        <w:p w:rsidR="00E81C8C" w:rsidRDefault="00E81C8C" w:rsidP="00AF74F3"/>
                        <w:p w:rsidR="00E81C8C" w:rsidRDefault="00E81C8C" w:rsidP="00AF74F3"/>
                        <w:p w:rsidR="00E81C8C" w:rsidRDefault="00E81C8C" w:rsidP="00AF74F3"/>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378.2pt;margin-top:794.65pt;width:60.05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9kqtwIAALU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SRoD1Q9Mj2Bt3JPYoT255x0Bl4PQzgZ/ZwDjS7UvVwL6tvGgm5bKnYsFul5NgyWkN6ob3pX1yd&#10;cLQFWY8fZQ1x6NZIB7RvVG97B91AgA40PZ2osblUcDhLouRdjFEFpiglCXHU+TQ7Xh6UNu+Z7JFd&#10;5FgB8w6c7u61scnQ7OhiYwlZ8q5z7Hfi2QE4TicQGq5am03CkfkzDdLVfDUnHomSlUeCovBuyyXx&#10;kjKcxcW7Yrkswl82bkiyltc1EzbMUVgh+TPiDhKfJHGSlpYdry2cTUmrzXrZKbSjIOzSfa7lYDm7&#10;+c/TcE2AWl6UFEYkuItSr0zmM4+UJPbSWTD3gjC9S5OApKQon5d0zwX795LQmOM0juJJS+ekX9QW&#10;uO91bTTruYHR0fE+x/OTE82sAleidtQayrtpfdEKm/65FUD3kWinVyvRSaxmv94DihXxWtZPoFwl&#10;QVkgT5h3sGil+oHRCLMjx/r7liqGUfdBgPrtoHELEs8i2Ci3SUMCqkXrSwsVFcDk2GA0LZdmGk7b&#10;QfFNC1GmtybkLbyWhjslnzM6vDGYDa6gwxyzw+dy77zO03bxGwAA//8DAFBLAwQUAAYACAAAACEA&#10;4eDsOeIAAAANAQAADwAAAGRycy9kb3ducmV2LnhtbEyPy07DMBBF90j8gzVI7KgDIY+mcSqE1AVF&#10;RdD2A5zYjSPicYjdJvw9wwqWM/fozplyPdueXfToO4cC7hcRMI2NUx22Ao6HzV0OzAeJSvYOtYBv&#10;7WFdXV+VslBuwg992YeWUQn6QgowIQwF574x2kq/cINGyk5utDLQOLZcjXKictvzhyhKuZUd0gUj&#10;B/1sdPO5P1sBu83b68ty3h5q2W0n9/UeH82EQtzezE8rYEHP4Q+GX31Sh4qcandG5VkvIEvSR0Ip&#10;SPJlDIyQPEsTYDWt0jjJgFcl//9F9QMAAP//AwBQSwECLQAUAAYACAAAACEAtoM4kv4AAADhAQAA&#10;EwAAAAAAAAAAAAAAAAAAAAAAW0NvbnRlbnRfVHlwZXNdLnhtbFBLAQItABQABgAIAAAAIQA4/SH/&#10;1gAAAJQBAAALAAAAAAAAAAAAAAAAAC8BAABfcmVscy8ucmVsc1BLAQItABQABgAIAAAAIQAR59kq&#10;twIAALUFAAAOAAAAAAAAAAAAAAAAAC4CAABkcnMvZTJvRG9jLnhtbFBLAQItABQABgAIAAAAIQDh&#10;4Ow54gAAAA0BAAAPAAAAAAAAAAAAAAAAABEFAABkcnMvZG93bnJldi54bWxQSwUGAAAAAAQABADz&#10;AAAAIAYAAAAA&#10;" filled="f" stroked="f">
              <v:textbox inset="0">
                <w:txbxContent>
                  <w:p w:rsidR="00E81C8C" w:rsidRPr="00CC6F6B" w:rsidRDefault="00E81C8C" w:rsidP="00AF74F3">
                    <w:pPr>
                      <w:pStyle w:val="Sidefod"/>
                      <w:jc w:val="right"/>
                      <w:rPr>
                        <w:sz w:val="16"/>
                      </w:rPr>
                    </w:pPr>
                    <w:r>
                      <w:rPr>
                        <w:rStyle w:val="Sidetal"/>
                      </w:rPr>
                      <w:t xml:space="preserve">Side </w:t>
                    </w:r>
                    <w:r>
                      <w:rPr>
                        <w:rStyle w:val="Sidetal"/>
                      </w:rPr>
                      <w:fldChar w:fldCharType="begin"/>
                    </w:r>
                    <w:r>
                      <w:rPr>
                        <w:rStyle w:val="Sidetal"/>
                      </w:rPr>
                      <w:instrText xml:space="preserve"> PAGE </w:instrText>
                    </w:r>
                    <w:r>
                      <w:rPr>
                        <w:rStyle w:val="Sidetal"/>
                      </w:rPr>
                      <w:fldChar w:fldCharType="separate"/>
                    </w:r>
                    <w:r w:rsidR="0028292B">
                      <w:rPr>
                        <w:rStyle w:val="Sidetal"/>
                        <w:noProof/>
                      </w:rPr>
                      <w:t>11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8292B">
                      <w:rPr>
                        <w:rStyle w:val="Sidetal"/>
                        <w:noProof/>
                      </w:rPr>
                      <w:t>29</w:t>
                    </w:r>
                    <w:r>
                      <w:rPr>
                        <w:rStyle w:val="Sidetal"/>
                      </w:rPr>
                      <w:fldChar w:fldCharType="end"/>
                    </w:r>
                  </w:p>
                  <w:p w:rsidR="00E81C8C" w:rsidRDefault="00E81C8C" w:rsidP="00AF74F3"/>
                  <w:p w:rsidR="00E81C8C" w:rsidRDefault="00E81C8C" w:rsidP="00AF74F3"/>
                  <w:p w:rsidR="00E81C8C" w:rsidRDefault="00E81C8C" w:rsidP="00AF74F3"/>
                </w:txbxContent>
              </v:textbox>
              <w10:wrap type="squar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8C" w:rsidRDefault="00E81C8C">
    <w:pPr>
      <w:pStyle w:val="Sidefod"/>
    </w:pPr>
    <w:r>
      <w:rPr>
        <w:noProof/>
        <w:lang w:eastAsia="da-DK"/>
      </w:rPr>
      <mc:AlternateContent>
        <mc:Choice Requires="wps">
          <w:drawing>
            <wp:anchor distT="0" distB="0" distL="114300" distR="114300" simplePos="0" relativeHeight="251656192" behindDoc="0" locked="1" layoutInCell="1" allowOverlap="1">
              <wp:simplePos x="0" y="0"/>
              <wp:positionH relativeFrom="column">
                <wp:posOffset>4804410</wp:posOffset>
              </wp:positionH>
              <wp:positionV relativeFrom="page">
                <wp:posOffset>10092055</wp:posOffset>
              </wp:positionV>
              <wp:extent cx="762635" cy="294640"/>
              <wp:effectExtent l="0" t="0" r="0" b="0"/>
              <wp:wrapSquare wrapText="bothSides"/>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C8C" w:rsidRDefault="00E81C8C" w:rsidP="00E559DE"/>
                        <w:p w:rsidR="00E81C8C" w:rsidRDefault="00E81C8C" w:rsidP="00E559DE"/>
                        <w:p w:rsidR="00E81C8C" w:rsidRDefault="00E81C8C" w:rsidP="00E559DE"/>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7" type="#_x0000_t202" style="position:absolute;margin-left:378.3pt;margin-top:794.65pt;width:60.05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squQIAALw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h7Y846Az8LofwM/s4dy6Wqp6uJPVV42EXLZUbNiNUnJsGa0hPXfTP7s6&#10;4WgLsh4/yBri0K2RDmjfqN4CQjUQoEObHk+tsblUcDhLouQyxqgCU5SShLjW+TQ7Xh6UNu+Y7JFd&#10;5FhB5x043d1pAzTA9ehiYwlZ8q5z3e/EswNwnE4gNFy1NpuEa+aPNEhX89WceCRKVh4JisK7KZfE&#10;S8pwFheXxXJZhD9t3JBkLa9rJmyYo7BC8meNO0h8ksRJWlp2vLZwNiWtNutlp9COgrBL99lmQfJn&#10;bv7zNJwZuLygFEYkuI1Sr0zmM4+UJPbSWTD3gjC9TZOApKQon1O644L9OyU05jiNo3jS0m+5Be57&#10;zY1mPTcwOjre53h+cqKZVeBK1K61hvJuWp+Vwqb/VAqo2LHRTq9WopNYzX69P7wMALNaXsv6EQSs&#10;JAgMVApjDxatVN8xGmGE5Fh/21LFMOreC3gEdt64BYlnEWyU26QhAfGi9bmFigpgcmwwmpZLM82o&#10;7aD4poUo05MT8gYeTcOdoJ8yAjZ2AyPC8TqMMzuDzvfO62noLn4BAAD//wMAUEsDBBQABgAIAAAA&#10;IQARi4CE4QAAAA0BAAAPAAAAZHJzL2Rvd25yZXYueG1sTI9BTsMwEEX3SNzBGiR21IEoThriVAip&#10;C4pA0PYATmziiHgcYrcJt2dYwXLmP/15U20WN7CzmULvUcLtKgFmsPW6x07C8bC9KYCFqFCrwaOR&#10;8G0CbOrLi0qV2s/4bs772DEqwVAqCTbGseQ8tNY4FVZ+NEjZh5+cijROHdeTmqncDfwuSQR3qke6&#10;YNVoHq1pP/cnJ+Fl+/r8tF52h0b1u9l/vaVHO6OU11fLwz2waJb4B8OvPqlDTU6NP6EObJCQZ0IQ&#10;SkFWrFNghBS5yIE1tBJplgOvK/7/i/oHAAD//wMAUEsBAi0AFAAGAAgAAAAhALaDOJL+AAAA4QEA&#10;ABMAAAAAAAAAAAAAAAAAAAAAAFtDb250ZW50X1R5cGVzXS54bWxQSwECLQAUAAYACAAAACEAOP0h&#10;/9YAAACUAQAACwAAAAAAAAAAAAAAAAAvAQAAX3JlbHMvLnJlbHNQSwECLQAUAAYACAAAACEAnV0r&#10;KrkCAAC8BQAADgAAAAAAAAAAAAAAAAAuAgAAZHJzL2Uyb0RvYy54bWxQSwECLQAUAAYACAAAACEA&#10;EYuAhOEAAAANAQAADwAAAAAAAAAAAAAAAAATBQAAZHJzL2Rvd25yZXYueG1sUEsFBgAAAAAEAAQA&#10;8wAAACEGAAAAAA==&#10;" filled="f" stroked="f">
              <v:textbox inset="0">
                <w:txbxContent>
                  <w:p w:rsidR="00E81C8C" w:rsidRDefault="00E81C8C" w:rsidP="00E559DE"/>
                  <w:p w:rsidR="00E81C8C" w:rsidRDefault="00E81C8C" w:rsidP="00E559DE"/>
                  <w:p w:rsidR="00E81C8C" w:rsidRDefault="00E81C8C" w:rsidP="00E559DE"/>
                </w:txbxContent>
              </v:textbox>
              <w10:wrap type="squar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8C" w:rsidRDefault="00E81C8C">
      <w:r>
        <w:separator/>
      </w:r>
    </w:p>
  </w:footnote>
  <w:footnote w:type="continuationSeparator" w:id="0">
    <w:p w:rsidR="00E81C8C" w:rsidRDefault="00E81C8C">
      <w:r>
        <w:continuationSeparator/>
      </w:r>
    </w:p>
  </w:footnote>
  <w:footnote w:id="1">
    <w:p w:rsidR="00E81C8C" w:rsidRPr="005D3AE9" w:rsidRDefault="00E81C8C" w:rsidP="00570EAE">
      <w:pPr>
        <w:pStyle w:val="Fodnotetekst"/>
        <w:rPr>
          <w:sz w:val="16"/>
          <w:szCs w:val="16"/>
        </w:rPr>
      </w:pPr>
      <w:r w:rsidRPr="005D3AE9">
        <w:rPr>
          <w:rStyle w:val="Fodnotehenvisning"/>
          <w:sz w:val="16"/>
          <w:szCs w:val="16"/>
        </w:rPr>
        <w:footnoteRef/>
      </w:r>
      <w:r w:rsidRPr="005D3AE9">
        <w:rPr>
          <w:sz w:val="16"/>
          <w:szCs w:val="16"/>
        </w:rPr>
        <w:t xml:space="preserve"> Miljøministeriets </w:t>
      </w:r>
      <w:r>
        <w:rPr>
          <w:sz w:val="16"/>
          <w:szCs w:val="16"/>
        </w:rPr>
        <w:t>lov</w:t>
      </w:r>
      <w:r w:rsidRPr="005D3AE9">
        <w:rPr>
          <w:sz w:val="16"/>
          <w:szCs w:val="16"/>
        </w:rPr>
        <w:t xml:space="preserve">bekendtgørelse nr. </w:t>
      </w:r>
      <w:r w:rsidRPr="00812430">
        <w:rPr>
          <w:bCs/>
          <w:sz w:val="16"/>
          <w:szCs w:val="16"/>
        </w:rPr>
        <w:t>1317 af 19/11/2015</w:t>
      </w:r>
      <w:r w:rsidRPr="00812430">
        <w:rPr>
          <w:b/>
          <w:bCs/>
          <w:sz w:val="16"/>
          <w:szCs w:val="16"/>
        </w:rPr>
        <w:t> </w:t>
      </w:r>
      <w:r w:rsidRPr="00812430">
        <w:rPr>
          <w:sz w:val="16"/>
          <w:szCs w:val="16"/>
        </w:rPr>
        <w:t>om miljøbeskyttelse</w:t>
      </w:r>
    </w:p>
  </w:footnote>
  <w:footnote w:id="2">
    <w:p w:rsidR="00E81C8C" w:rsidRPr="005D3AE9" w:rsidRDefault="00E81C8C" w:rsidP="00570EAE">
      <w:pPr>
        <w:pStyle w:val="Fodnotetekst"/>
        <w:rPr>
          <w:sz w:val="16"/>
          <w:szCs w:val="16"/>
        </w:rPr>
      </w:pPr>
      <w:r w:rsidRPr="005D3AE9">
        <w:rPr>
          <w:rStyle w:val="Fodnotehenvisning"/>
          <w:sz w:val="16"/>
          <w:szCs w:val="16"/>
        </w:rPr>
        <w:footnoteRef/>
      </w:r>
      <w:r w:rsidRPr="005D3AE9">
        <w:rPr>
          <w:sz w:val="16"/>
          <w:szCs w:val="16"/>
        </w:rPr>
        <w:t xml:space="preserve"> Miljøministeriets bekendtgørelse nr. </w:t>
      </w:r>
      <w:r w:rsidRPr="006177EC">
        <w:rPr>
          <w:sz w:val="16"/>
          <w:szCs w:val="16"/>
        </w:rPr>
        <w:t>1447 af 02/12/2015</w:t>
      </w:r>
      <w:r>
        <w:rPr>
          <w:sz w:val="16"/>
          <w:szCs w:val="16"/>
        </w:rPr>
        <w:t xml:space="preserve"> </w:t>
      </w:r>
      <w:r w:rsidRPr="005D3AE9">
        <w:rPr>
          <w:sz w:val="16"/>
          <w:szCs w:val="16"/>
        </w:rPr>
        <w:t>om godkendelse af listevirksomhed</w:t>
      </w:r>
    </w:p>
  </w:footnote>
  <w:footnote w:id="3">
    <w:p w:rsidR="00E81C8C" w:rsidRPr="0061416E" w:rsidRDefault="00E81C8C" w:rsidP="00570EAE">
      <w:pPr>
        <w:pStyle w:val="Fodnotetekst"/>
        <w:rPr>
          <w:sz w:val="16"/>
          <w:szCs w:val="16"/>
        </w:rPr>
      </w:pPr>
      <w:r w:rsidRPr="0061416E">
        <w:rPr>
          <w:rStyle w:val="Fodnotehenvisning"/>
          <w:sz w:val="16"/>
          <w:szCs w:val="16"/>
        </w:rPr>
        <w:footnoteRef/>
      </w:r>
      <w:r w:rsidRPr="0061416E">
        <w:rPr>
          <w:sz w:val="16"/>
          <w:szCs w:val="16"/>
        </w:rPr>
        <w:t xml:space="preserve"> Miljøministeriets bekendtgørelse </w:t>
      </w:r>
      <w:r>
        <w:rPr>
          <w:sz w:val="16"/>
          <w:szCs w:val="16"/>
        </w:rPr>
        <w:t>nr.</w:t>
      </w:r>
      <w:r w:rsidRPr="006177EC">
        <w:rPr>
          <w:rFonts w:ascii="Gill Sans MT" w:hAnsi="Gill Sans MT" w:cs="Gill Sans MT"/>
          <w:color w:val="000000"/>
          <w:sz w:val="24"/>
          <w:szCs w:val="24"/>
        </w:rPr>
        <w:t xml:space="preserve"> </w:t>
      </w:r>
      <w:r w:rsidRPr="006177EC">
        <w:rPr>
          <w:sz w:val="16"/>
          <w:szCs w:val="16"/>
        </w:rPr>
        <w:t>1418 af 02/12/2015</w:t>
      </w:r>
      <w:r>
        <w:rPr>
          <w:sz w:val="16"/>
          <w:szCs w:val="16"/>
        </w:rPr>
        <w:t xml:space="preserve"> om </w:t>
      </w:r>
      <w:r w:rsidRPr="0061416E">
        <w:rPr>
          <w:sz w:val="16"/>
          <w:szCs w:val="16"/>
        </w:rPr>
        <w:t>standardvilkår i godkendelse af listevirksomhed</w:t>
      </w:r>
    </w:p>
  </w:footnote>
  <w:footnote w:id="4">
    <w:p w:rsidR="00E81C8C" w:rsidRPr="007E3A61" w:rsidRDefault="00E81C8C" w:rsidP="00570EAE">
      <w:pPr>
        <w:pStyle w:val="Fodnotetekst"/>
        <w:rPr>
          <w:sz w:val="16"/>
          <w:szCs w:val="16"/>
        </w:rPr>
      </w:pPr>
      <w:r w:rsidRPr="00C94C39">
        <w:rPr>
          <w:rStyle w:val="Fodnotehenvisning"/>
          <w:sz w:val="16"/>
          <w:szCs w:val="16"/>
        </w:rPr>
        <w:footnoteRef/>
      </w:r>
      <w:r w:rsidRPr="00C94C39">
        <w:rPr>
          <w:sz w:val="16"/>
          <w:szCs w:val="16"/>
        </w:rPr>
        <w:t xml:space="preserve"> </w:t>
      </w:r>
      <w:r w:rsidRPr="00C94C39">
        <w:rPr>
          <w:bCs/>
          <w:sz w:val="16"/>
          <w:szCs w:val="16"/>
        </w:rPr>
        <w:t>Miljøministeriets bekendtgørelse nr. 1450 af 20. december 2012 om begrænsning af emission af nitrogenoxider og carbonmonooxid fra motorer og turbiner</w:t>
      </w:r>
    </w:p>
  </w:footnote>
  <w:footnote w:id="5">
    <w:p w:rsidR="00E81C8C" w:rsidRDefault="00E81C8C" w:rsidP="00570EAE">
      <w:pPr>
        <w:pStyle w:val="Fodnotetekst"/>
      </w:pPr>
      <w:r>
        <w:rPr>
          <w:rStyle w:val="Fodnotehenvisning"/>
        </w:rPr>
        <w:footnoteRef/>
      </w:r>
      <w:r>
        <w:t xml:space="preserve"> </w:t>
      </w:r>
      <w:r w:rsidRPr="00116690">
        <w:rPr>
          <w:sz w:val="16"/>
          <w:szCs w:val="16"/>
        </w:rPr>
        <w:t>Miljøstyrelsens vejledning nr. 4/1985: Begrænsning af lugtgener fra virksomheder</w:t>
      </w:r>
    </w:p>
  </w:footnote>
  <w:footnote w:id="6">
    <w:p w:rsidR="00E81C8C" w:rsidRDefault="00E81C8C" w:rsidP="00570EAE">
      <w:r w:rsidRPr="00A0764F">
        <w:rPr>
          <w:rStyle w:val="Fodnotehenvisning"/>
          <w:sz w:val="16"/>
          <w:szCs w:val="16"/>
        </w:rPr>
        <w:footnoteRef/>
      </w:r>
      <w:r w:rsidRPr="00A0764F">
        <w:rPr>
          <w:sz w:val="16"/>
          <w:szCs w:val="16"/>
        </w:rPr>
        <w:t xml:space="preserve"> </w:t>
      </w:r>
      <w:r>
        <w:rPr>
          <w:sz w:val="16"/>
          <w:szCs w:val="16"/>
        </w:rPr>
        <w:t xml:space="preserve">Aktuelt: </w:t>
      </w:r>
      <w:r w:rsidRPr="00A0764F">
        <w:rPr>
          <w:sz w:val="16"/>
          <w:szCs w:val="16"/>
        </w:rPr>
        <w:t xml:space="preserve">Miljøministeriets bekendtgørelse nr. </w:t>
      </w:r>
      <w:r>
        <w:rPr>
          <w:sz w:val="16"/>
          <w:szCs w:val="16"/>
        </w:rPr>
        <w:t>153</w:t>
      </w:r>
      <w:r w:rsidRPr="00A0764F">
        <w:rPr>
          <w:sz w:val="16"/>
          <w:szCs w:val="16"/>
        </w:rPr>
        <w:t xml:space="preserve"> af </w:t>
      </w:r>
      <w:r>
        <w:rPr>
          <w:sz w:val="16"/>
          <w:szCs w:val="16"/>
        </w:rPr>
        <w:t>25</w:t>
      </w:r>
      <w:r w:rsidRPr="00A0764F">
        <w:rPr>
          <w:sz w:val="16"/>
          <w:szCs w:val="16"/>
        </w:rPr>
        <w:t xml:space="preserve">. </w:t>
      </w:r>
      <w:r>
        <w:rPr>
          <w:sz w:val="16"/>
          <w:szCs w:val="16"/>
        </w:rPr>
        <w:t>februar</w:t>
      </w:r>
      <w:r w:rsidRPr="00A0764F">
        <w:rPr>
          <w:sz w:val="16"/>
          <w:szCs w:val="16"/>
        </w:rPr>
        <w:t xml:space="preserve"> 20</w:t>
      </w:r>
      <w:r>
        <w:rPr>
          <w:sz w:val="16"/>
          <w:szCs w:val="16"/>
        </w:rPr>
        <w:t>16</w:t>
      </w:r>
      <w:r w:rsidRPr="00A0764F">
        <w:rPr>
          <w:sz w:val="16"/>
          <w:szCs w:val="16"/>
        </w:rPr>
        <w:t xml:space="preserve"> om spildevandstilladelser m.v. efter miljøbeskyttelseslovens kapitel 3 og 4</w:t>
      </w:r>
      <w:r>
        <w:rPr>
          <w:sz w:val="16"/>
          <w:szCs w:val="16"/>
        </w:rPr>
        <w:t>.</w:t>
      </w:r>
    </w:p>
  </w:footnote>
  <w:footnote w:id="7">
    <w:p w:rsidR="00E81C8C" w:rsidRPr="009632C8" w:rsidRDefault="00E81C8C" w:rsidP="00570EAE">
      <w:pPr>
        <w:pStyle w:val="Fodnotetekst"/>
        <w:rPr>
          <w:sz w:val="16"/>
          <w:szCs w:val="16"/>
        </w:rPr>
      </w:pPr>
      <w:r>
        <w:rPr>
          <w:rStyle w:val="Fodnotehenvisning"/>
        </w:rPr>
        <w:footnoteRef/>
      </w:r>
      <w:r>
        <w:t xml:space="preserve"> </w:t>
      </w:r>
      <w:r w:rsidRPr="009632C8">
        <w:rPr>
          <w:sz w:val="16"/>
          <w:szCs w:val="16"/>
        </w:rPr>
        <w:t>Bekendtgørelse nr. 818 af 21. juli 2008 om anvendelse af bioaske til jordbrugsformål(Bioaskebekendtgørelsen)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8C" w:rsidRDefault="00E81C8C">
    <w:pPr>
      <w:pStyle w:val="Sidehoved"/>
    </w:pPr>
  </w:p>
  <w:p w:rsidR="00E81C8C" w:rsidRDefault="00E81C8C">
    <w:pPr>
      <w:pStyle w:val="Sidehoved"/>
    </w:pPr>
  </w:p>
  <w:p w:rsidR="00E81C8C" w:rsidRDefault="00E81C8C">
    <w:pPr>
      <w:pStyle w:val="Sidehoved"/>
    </w:pPr>
  </w:p>
  <w:p w:rsidR="00E81C8C" w:rsidRDefault="00E81C8C">
    <w:pPr>
      <w:pStyle w:val="Sidehoved"/>
    </w:pPr>
  </w:p>
  <w:p w:rsidR="00E81C8C" w:rsidRDefault="00E81C8C">
    <w:pPr>
      <w:pStyle w:val="Sidehoved"/>
    </w:pPr>
  </w:p>
  <w:p w:rsidR="00E81C8C" w:rsidRDefault="00E81C8C">
    <w:pPr>
      <w:pStyle w:val="Sidehoved"/>
    </w:pPr>
  </w:p>
  <w:p w:rsidR="00E81C8C" w:rsidRDefault="00E81C8C">
    <w:pPr>
      <w:pStyle w:val="Sidehoved"/>
    </w:pPr>
  </w:p>
  <w:p w:rsidR="00E81C8C" w:rsidRDefault="00E81C8C">
    <w:pPr>
      <w:pStyle w:val="Sidehoved"/>
    </w:pPr>
  </w:p>
  <w:p w:rsidR="00E81C8C" w:rsidRDefault="00E81C8C">
    <w:pPr>
      <w:pStyle w:val="Sidehoved"/>
    </w:pPr>
  </w:p>
  <w:p w:rsidR="00E81C8C" w:rsidRDefault="00E81C8C">
    <w:pPr>
      <w:pStyle w:val="Sidehoved"/>
    </w:pPr>
    <w:r>
      <w:rPr>
        <w:noProof/>
        <w:lang w:eastAsia="da-DK"/>
      </w:rPr>
      <w:drawing>
        <wp:anchor distT="0" distB="0" distL="114300" distR="114300" simplePos="0" relativeHeight="251659264" behindDoc="1" locked="1" layoutInCell="1" allowOverlap="1">
          <wp:simplePos x="0" y="0"/>
          <wp:positionH relativeFrom="column">
            <wp:posOffset>4514850</wp:posOffset>
          </wp:positionH>
          <wp:positionV relativeFrom="page">
            <wp:posOffset>1317625</wp:posOffset>
          </wp:positionV>
          <wp:extent cx="1619250" cy="628650"/>
          <wp:effectExtent l="0" t="0" r="0" b="0"/>
          <wp:wrapNone/>
          <wp:docPr id="59" name="Billede 59" descr="Bill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ill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8C" w:rsidRDefault="00E81C8C">
    <w:pPr>
      <w:pStyle w:val="Sidehoved"/>
    </w:pPr>
    <w:r>
      <w:rPr>
        <w:noProof/>
        <w:lang w:eastAsia="da-DK"/>
      </w:rPr>
      <w:drawing>
        <wp:anchor distT="0" distB="0" distL="114300" distR="114300" simplePos="0" relativeHeight="251658240" behindDoc="1" locked="1" layoutInCell="1" allowOverlap="1">
          <wp:simplePos x="0" y="0"/>
          <wp:positionH relativeFrom="column">
            <wp:posOffset>4514850</wp:posOffset>
          </wp:positionH>
          <wp:positionV relativeFrom="page">
            <wp:posOffset>1316355</wp:posOffset>
          </wp:positionV>
          <wp:extent cx="1619250" cy="628650"/>
          <wp:effectExtent l="0" t="0" r="0" b="0"/>
          <wp:wrapNone/>
          <wp:docPr id="57" name="Billede 57" descr="Bill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ill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8C" w:rsidRDefault="00E81C8C" w:rsidP="00F97853">
    <w:pPr>
      <w:pStyle w:val="Sidehoved"/>
    </w:pPr>
  </w:p>
  <w:p w:rsidR="00E81C8C" w:rsidRDefault="00E81C8C" w:rsidP="00F97853">
    <w:pPr>
      <w:pStyle w:val="Sidehoved"/>
    </w:pPr>
  </w:p>
  <w:p w:rsidR="00E81C8C" w:rsidRPr="00F97853" w:rsidRDefault="00E81C8C" w:rsidP="00F9785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6393"/>
    <w:multiLevelType w:val="hybridMultilevel"/>
    <w:tmpl w:val="7382C5BC"/>
    <w:lvl w:ilvl="0" w:tplc="82C42796">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 w15:restartNumberingAfterBreak="0">
    <w:nsid w:val="07353C7F"/>
    <w:multiLevelType w:val="hybridMultilevel"/>
    <w:tmpl w:val="399C6752"/>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11EE0"/>
    <w:multiLevelType w:val="hybridMultilevel"/>
    <w:tmpl w:val="765072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0D3CDB"/>
    <w:multiLevelType w:val="hybridMultilevel"/>
    <w:tmpl w:val="D234A6E0"/>
    <w:lvl w:ilvl="0" w:tplc="82C42796">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4" w15:restartNumberingAfterBreak="0">
    <w:nsid w:val="0C246FCF"/>
    <w:multiLevelType w:val="hybridMultilevel"/>
    <w:tmpl w:val="59A8EE70"/>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327901"/>
    <w:multiLevelType w:val="hybridMultilevel"/>
    <w:tmpl w:val="E8769A90"/>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31B146C"/>
    <w:multiLevelType w:val="hybridMultilevel"/>
    <w:tmpl w:val="4B406D70"/>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023678"/>
    <w:multiLevelType w:val="hybridMultilevel"/>
    <w:tmpl w:val="CA76B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DB0AF8"/>
    <w:multiLevelType w:val="hybridMultilevel"/>
    <w:tmpl w:val="116A6B6E"/>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B9E3090"/>
    <w:multiLevelType w:val="hybridMultilevel"/>
    <w:tmpl w:val="88B6592E"/>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1511F7"/>
    <w:multiLevelType w:val="hybridMultilevel"/>
    <w:tmpl w:val="E514EC2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C63419A"/>
    <w:multiLevelType w:val="multilevel"/>
    <w:tmpl w:val="DF4AB16C"/>
    <w:lvl w:ilvl="0">
      <w:start w:val="1"/>
      <w:numFmt w:val="decimal"/>
      <w:pStyle w:val="Vilkr-overskrift1"/>
      <w:lvlText w:val="%1."/>
      <w:lvlJc w:val="left"/>
      <w:pPr>
        <w:tabs>
          <w:tab w:val="num" w:pos="1361"/>
        </w:tabs>
        <w:ind w:left="-539" w:firstLine="539"/>
      </w:pPr>
      <w:rPr>
        <w:rFonts w:hint="default"/>
        <w:b/>
        <w:i w:val="0"/>
        <w:sz w:val="28"/>
        <w:szCs w:val="28"/>
        <w:u w:val="none"/>
      </w:rPr>
    </w:lvl>
    <w:lvl w:ilvl="1">
      <w:start w:val="1"/>
      <w:numFmt w:val="decimal"/>
      <w:pStyle w:val="Vilkr-overskrift2"/>
      <w:lvlText w:val="%1.%2."/>
      <w:lvlJc w:val="left"/>
      <w:pPr>
        <w:tabs>
          <w:tab w:val="num" w:pos="459"/>
        </w:tabs>
        <w:ind w:left="1361" w:hanging="794"/>
      </w:pPr>
      <w:rPr>
        <w:rFonts w:ascii="Georgia" w:hAnsi="Georgia" w:hint="default"/>
        <w:b w:val="0"/>
        <w:bCs w:val="0"/>
        <w:i w:val="0"/>
        <w:iCs w:val="0"/>
        <w:caps w:val="0"/>
        <w:smallCaps w:val="0"/>
        <w:strike w:val="0"/>
        <w:dstrike w:val="0"/>
        <w:color w:val="auto"/>
        <w:spacing w:val="0"/>
        <w:w w:val="100"/>
        <w:kern w:val="0"/>
        <w:position w:val="0"/>
        <w:sz w:val="22"/>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7"/>
        </w:tabs>
        <w:ind w:left="891" w:hanging="504"/>
      </w:pPr>
      <w:rPr>
        <w:rFonts w:hint="default"/>
      </w:rPr>
    </w:lvl>
    <w:lvl w:ilvl="3">
      <w:start w:val="1"/>
      <w:numFmt w:val="decimal"/>
      <w:lvlText w:val="%1.%2.%3.%4."/>
      <w:lvlJc w:val="left"/>
      <w:pPr>
        <w:tabs>
          <w:tab w:val="num" w:pos="1467"/>
        </w:tabs>
        <w:ind w:left="1395" w:hanging="648"/>
      </w:pPr>
      <w:rPr>
        <w:rFonts w:hint="default"/>
      </w:rPr>
    </w:lvl>
    <w:lvl w:ilvl="4">
      <w:start w:val="1"/>
      <w:numFmt w:val="decimal"/>
      <w:lvlText w:val="%1.%2.%3.%4.%5."/>
      <w:lvlJc w:val="left"/>
      <w:pPr>
        <w:tabs>
          <w:tab w:val="num" w:pos="2187"/>
        </w:tabs>
        <w:ind w:left="1899" w:hanging="792"/>
      </w:pPr>
      <w:rPr>
        <w:rFonts w:hint="default"/>
      </w:rPr>
    </w:lvl>
    <w:lvl w:ilvl="5">
      <w:start w:val="1"/>
      <w:numFmt w:val="decimal"/>
      <w:lvlText w:val="%1.%2.%3.%4.%5.%6."/>
      <w:lvlJc w:val="left"/>
      <w:pPr>
        <w:tabs>
          <w:tab w:val="num" w:pos="2547"/>
        </w:tabs>
        <w:ind w:left="2403" w:hanging="936"/>
      </w:pPr>
      <w:rPr>
        <w:rFonts w:hint="default"/>
      </w:rPr>
    </w:lvl>
    <w:lvl w:ilvl="6">
      <w:start w:val="1"/>
      <w:numFmt w:val="decimal"/>
      <w:lvlText w:val="%1.%2.%3.%4.%5.%6.%7."/>
      <w:lvlJc w:val="left"/>
      <w:pPr>
        <w:tabs>
          <w:tab w:val="num" w:pos="3267"/>
        </w:tabs>
        <w:ind w:left="2907" w:hanging="1080"/>
      </w:pPr>
      <w:rPr>
        <w:rFonts w:hint="default"/>
      </w:rPr>
    </w:lvl>
    <w:lvl w:ilvl="7">
      <w:start w:val="1"/>
      <w:numFmt w:val="decimal"/>
      <w:lvlText w:val="%1.%2.%3.%4.%5.%6.%7.%8."/>
      <w:lvlJc w:val="left"/>
      <w:pPr>
        <w:tabs>
          <w:tab w:val="num" w:pos="3627"/>
        </w:tabs>
        <w:ind w:left="3411" w:hanging="1224"/>
      </w:pPr>
      <w:rPr>
        <w:rFonts w:hint="default"/>
      </w:rPr>
    </w:lvl>
    <w:lvl w:ilvl="8">
      <w:start w:val="1"/>
      <w:numFmt w:val="decimal"/>
      <w:lvlText w:val="%1.%2.%3.%4.%5.%6.%7.%8.%9."/>
      <w:lvlJc w:val="left"/>
      <w:pPr>
        <w:tabs>
          <w:tab w:val="num" w:pos="4347"/>
        </w:tabs>
        <w:ind w:left="3987" w:hanging="1440"/>
      </w:pPr>
      <w:rPr>
        <w:rFonts w:hint="default"/>
      </w:rPr>
    </w:lvl>
  </w:abstractNum>
  <w:abstractNum w:abstractNumId="12" w15:restartNumberingAfterBreak="0">
    <w:nsid w:val="22E015E7"/>
    <w:multiLevelType w:val="hybridMultilevel"/>
    <w:tmpl w:val="F81CDB3C"/>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CF14CF"/>
    <w:multiLevelType w:val="hybridMultilevel"/>
    <w:tmpl w:val="0B006CEA"/>
    <w:lvl w:ilvl="0" w:tplc="82C42796">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4" w15:restartNumberingAfterBreak="0">
    <w:nsid w:val="2DAB2343"/>
    <w:multiLevelType w:val="hybridMultilevel"/>
    <w:tmpl w:val="16E81CDE"/>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29F4B63"/>
    <w:multiLevelType w:val="hybridMultilevel"/>
    <w:tmpl w:val="B2A4CD4A"/>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487F65"/>
    <w:multiLevelType w:val="hybridMultilevel"/>
    <w:tmpl w:val="13445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C14A6D"/>
    <w:multiLevelType w:val="hybridMultilevel"/>
    <w:tmpl w:val="765C16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E0C0E0B"/>
    <w:multiLevelType w:val="hybridMultilevel"/>
    <w:tmpl w:val="F92A664C"/>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E267336"/>
    <w:multiLevelType w:val="hybridMultilevel"/>
    <w:tmpl w:val="58F2C140"/>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FE73950"/>
    <w:multiLevelType w:val="hybridMultilevel"/>
    <w:tmpl w:val="E21497D6"/>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2364E9D"/>
    <w:multiLevelType w:val="hybridMultilevel"/>
    <w:tmpl w:val="27F69196"/>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22" w15:restartNumberingAfterBreak="0">
    <w:nsid w:val="455102BB"/>
    <w:multiLevelType w:val="hybridMultilevel"/>
    <w:tmpl w:val="CEF29466"/>
    <w:lvl w:ilvl="0" w:tplc="82C42796">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469E6C22"/>
    <w:multiLevelType w:val="hybridMultilevel"/>
    <w:tmpl w:val="0798AD7C"/>
    <w:lvl w:ilvl="0" w:tplc="82C42796">
      <w:start w:val="1"/>
      <w:numFmt w:val="bullet"/>
      <w:lvlText w:val=""/>
      <w:lvlJc w:val="left"/>
      <w:pPr>
        <w:ind w:left="720" w:hanging="360"/>
      </w:pPr>
      <w:rPr>
        <w:rFonts w:ascii="Symbol" w:hAnsi="Symbol" w:hint="default"/>
      </w:rPr>
    </w:lvl>
    <w:lvl w:ilvl="1" w:tplc="F4089D50">
      <w:numFmt w:val="bullet"/>
      <w:lvlText w:val="–"/>
      <w:lvlJc w:val="left"/>
      <w:pPr>
        <w:ind w:left="1440" w:hanging="360"/>
      </w:pPr>
      <w:rPr>
        <w:rFonts w:ascii="Arial" w:eastAsia="Times New Roman"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96A275C"/>
    <w:multiLevelType w:val="hybridMultilevel"/>
    <w:tmpl w:val="5A32C0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A265365"/>
    <w:multiLevelType w:val="hybridMultilevel"/>
    <w:tmpl w:val="38DEFA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FB24EC"/>
    <w:multiLevelType w:val="hybridMultilevel"/>
    <w:tmpl w:val="78BA151E"/>
    <w:lvl w:ilvl="0" w:tplc="82C42796">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530D62D5"/>
    <w:multiLevelType w:val="hybridMultilevel"/>
    <w:tmpl w:val="A9080274"/>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46622AD"/>
    <w:multiLevelType w:val="hybridMultilevel"/>
    <w:tmpl w:val="F1BC5950"/>
    <w:lvl w:ilvl="0" w:tplc="82C42796">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9" w15:restartNumberingAfterBreak="0">
    <w:nsid w:val="5D2E7E38"/>
    <w:multiLevelType w:val="hybridMultilevel"/>
    <w:tmpl w:val="F4C011A4"/>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ED4313E"/>
    <w:multiLevelType w:val="hybridMultilevel"/>
    <w:tmpl w:val="CACEBBF6"/>
    <w:lvl w:ilvl="0" w:tplc="82C42796">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1C33ECD"/>
    <w:multiLevelType w:val="hybridMultilevel"/>
    <w:tmpl w:val="07C4604A"/>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CB6A5B"/>
    <w:multiLevelType w:val="hybridMultilevel"/>
    <w:tmpl w:val="F49A787E"/>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845948"/>
    <w:multiLevelType w:val="hybridMultilevel"/>
    <w:tmpl w:val="AF443922"/>
    <w:lvl w:ilvl="0" w:tplc="82C42796">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70943237"/>
    <w:multiLevelType w:val="hybridMultilevel"/>
    <w:tmpl w:val="6B8A275C"/>
    <w:lvl w:ilvl="0" w:tplc="82C4279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6B671A3"/>
    <w:multiLevelType w:val="hybridMultilevel"/>
    <w:tmpl w:val="8CC04E4E"/>
    <w:lvl w:ilvl="0" w:tplc="0406000F">
      <w:start w:val="1"/>
      <w:numFmt w:val="decimal"/>
      <w:lvlText w:val="%1."/>
      <w:lvlJc w:val="left"/>
      <w:pPr>
        <w:ind w:left="1145" w:hanging="360"/>
      </w:p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36" w15:restartNumberingAfterBreak="0">
    <w:nsid w:val="784C50CA"/>
    <w:multiLevelType w:val="hybridMultilevel"/>
    <w:tmpl w:val="37029210"/>
    <w:lvl w:ilvl="0" w:tplc="82C42796">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37" w15:restartNumberingAfterBreak="0">
    <w:nsid w:val="78F816BD"/>
    <w:multiLevelType w:val="multilevel"/>
    <w:tmpl w:val="D4D237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B1E74A4"/>
    <w:multiLevelType w:val="hybridMultilevel"/>
    <w:tmpl w:val="F5D2FF6A"/>
    <w:lvl w:ilvl="0" w:tplc="82C42796">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7"/>
  </w:num>
  <w:num w:numId="2">
    <w:abstractNumId w:val="11"/>
  </w:num>
  <w:num w:numId="3">
    <w:abstractNumId w:val="17"/>
  </w:num>
  <w:num w:numId="4">
    <w:abstractNumId w:val="12"/>
  </w:num>
  <w:num w:numId="5">
    <w:abstractNumId w:val="15"/>
  </w:num>
  <w:num w:numId="6">
    <w:abstractNumId w:val="8"/>
  </w:num>
  <w:num w:numId="7">
    <w:abstractNumId w:val="30"/>
  </w:num>
  <w:num w:numId="8">
    <w:abstractNumId w:val="3"/>
  </w:num>
  <w:num w:numId="9">
    <w:abstractNumId w:val="28"/>
  </w:num>
  <w:num w:numId="10">
    <w:abstractNumId w:val="38"/>
  </w:num>
  <w:num w:numId="11">
    <w:abstractNumId w:val="33"/>
  </w:num>
  <w:num w:numId="12">
    <w:abstractNumId w:val="22"/>
  </w:num>
  <w:num w:numId="13">
    <w:abstractNumId w:val="1"/>
  </w:num>
  <w:num w:numId="14">
    <w:abstractNumId w:val="26"/>
  </w:num>
  <w:num w:numId="15">
    <w:abstractNumId w:val="2"/>
  </w:num>
  <w:num w:numId="16">
    <w:abstractNumId w:val="27"/>
  </w:num>
  <w:num w:numId="17">
    <w:abstractNumId w:val="20"/>
  </w:num>
  <w:num w:numId="18">
    <w:abstractNumId w:val="23"/>
  </w:num>
  <w:num w:numId="19">
    <w:abstractNumId w:val="9"/>
  </w:num>
  <w:num w:numId="20">
    <w:abstractNumId w:val="5"/>
  </w:num>
  <w:num w:numId="21">
    <w:abstractNumId w:val="10"/>
  </w:num>
  <w:num w:numId="22">
    <w:abstractNumId w:val="6"/>
  </w:num>
  <w:num w:numId="23">
    <w:abstractNumId w:val="25"/>
  </w:num>
  <w:num w:numId="24">
    <w:abstractNumId w:val="21"/>
  </w:num>
  <w:num w:numId="25">
    <w:abstractNumId w:val="18"/>
  </w:num>
  <w:num w:numId="26">
    <w:abstractNumId w:val="31"/>
  </w:num>
  <w:num w:numId="27">
    <w:abstractNumId w:val="4"/>
  </w:num>
  <w:num w:numId="28">
    <w:abstractNumId w:val="34"/>
  </w:num>
  <w:num w:numId="29">
    <w:abstractNumId w:val="19"/>
  </w:num>
  <w:num w:numId="30">
    <w:abstractNumId w:val="29"/>
  </w:num>
  <w:num w:numId="31">
    <w:abstractNumId w:val="32"/>
  </w:num>
  <w:num w:numId="32">
    <w:abstractNumId w:val="14"/>
  </w:num>
  <w:num w:numId="33">
    <w:abstractNumId w:val="0"/>
  </w:num>
  <w:num w:numId="34">
    <w:abstractNumId w:val="36"/>
  </w:num>
  <w:num w:numId="35">
    <w:abstractNumId w:val="13"/>
  </w:num>
  <w:num w:numId="36">
    <w:abstractNumId w:val="35"/>
  </w:num>
  <w:num w:numId="37">
    <w:abstractNumId w:val="7"/>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AE"/>
    <w:rsid w:val="00022495"/>
    <w:rsid w:val="00034248"/>
    <w:rsid w:val="0003666B"/>
    <w:rsid w:val="00066EB5"/>
    <w:rsid w:val="00067567"/>
    <w:rsid w:val="00081B5F"/>
    <w:rsid w:val="0008360C"/>
    <w:rsid w:val="000A5A96"/>
    <w:rsid w:val="000A5B41"/>
    <w:rsid w:val="000B7E38"/>
    <w:rsid w:val="000C4ADD"/>
    <w:rsid w:val="000C7ACB"/>
    <w:rsid w:val="000D243D"/>
    <w:rsid w:val="000D3A4D"/>
    <w:rsid w:val="000E1539"/>
    <w:rsid w:val="000F6D32"/>
    <w:rsid w:val="001307CA"/>
    <w:rsid w:val="00181AC4"/>
    <w:rsid w:val="00186D37"/>
    <w:rsid w:val="00190173"/>
    <w:rsid w:val="00196120"/>
    <w:rsid w:val="0019704D"/>
    <w:rsid w:val="001A02E5"/>
    <w:rsid w:val="001B1B3C"/>
    <w:rsid w:val="001B28AD"/>
    <w:rsid w:val="001C01FA"/>
    <w:rsid w:val="001D2C12"/>
    <w:rsid w:val="001E2D8C"/>
    <w:rsid w:val="001E3FBA"/>
    <w:rsid w:val="00203B18"/>
    <w:rsid w:val="002171F1"/>
    <w:rsid w:val="00234422"/>
    <w:rsid w:val="00256110"/>
    <w:rsid w:val="002564E6"/>
    <w:rsid w:val="0026486D"/>
    <w:rsid w:val="00265EF2"/>
    <w:rsid w:val="00274048"/>
    <w:rsid w:val="00281CAC"/>
    <w:rsid w:val="0028292B"/>
    <w:rsid w:val="00284F60"/>
    <w:rsid w:val="00296FD8"/>
    <w:rsid w:val="002C1AA9"/>
    <w:rsid w:val="002C2796"/>
    <w:rsid w:val="002D0179"/>
    <w:rsid w:val="002D2E67"/>
    <w:rsid w:val="002D50C6"/>
    <w:rsid w:val="002D69C1"/>
    <w:rsid w:val="002E0CD0"/>
    <w:rsid w:val="002F44C8"/>
    <w:rsid w:val="00344B0F"/>
    <w:rsid w:val="00376D11"/>
    <w:rsid w:val="00377E70"/>
    <w:rsid w:val="00381E8E"/>
    <w:rsid w:val="00382F1C"/>
    <w:rsid w:val="003B236F"/>
    <w:rsid w:val="003D3869"/>
    <w:rsid w:val="003E005F"/>
    <w:rsid w:val="003E189B"/>
    <w:rsid w:val="00426485"/>
    <w:rsid w:val="00446F38"/>
    <w:rsid w:val="00455876"/>
    <w:rsid w:val="00456633"/>
    <w:rsid w:val="004670FF"/>
    <w:rsid w:val="00467F02"/>
    <w:rsid w:val="00470DB6"/>
    <w:rsid w:val="00483DD1"/>
    <w:rsid w:val="00485692"/>
    <w:rsid w:val="00486D65"/>
    <w:rsid w:val="004933DF"/>
    <w:rsid w:val="00497BC3"/>
    <w:rsid w:val="004B4DA4"/>
    <w:rsid w:val="004D2ED9"/>
    <w:rsid w:val="004D4AAD"/>
    <w:rsid w:val="004E3D3F"/>
    <w:rsid w:val="004F3095"/>
    <w:rsid w:val="005000AC"/>
    <w:rsid w:val="00535167"/>
    <w:rsid w:val="0053674F"/>
    <w:rsid w:val="00536CB3"/>
    <w:rsid w:val="0053742F"/>
    <w:rsid w:val="0054134C"/>
    <w:rsid w:val="005460F0"/>
    <w:rsid w:val="00565DB7"/>
    <w:rsid w:val="00570EAE"/>
    <w:rsid w:val="005716A6"/>
    <w:rsid w:val="00571F53"/>
    <w:rsid w:val="00575BAB"/>
    <w:rsid w:val="00591816"/>
    <w:rsid w:val="005A7941"/>
    <w:rsid w:val="005B0A29"/>
    <w:rsid w:val="005B6340"/>
    <w:rsid w:val="005C1B88"/>
    <w:rsid w:val="005C7BA3"/>
    <w:rsid w:val="005E635A"/>
    <w:rsid w:val="005F486F"/>
    <w:rsid w:val="00600419"/>
    <w:rsid w:val="0060717C"/>
    <w:rsid w:val="006239EA"/>
    <w:rsid w:val="00644F42"/>
    <w:rsid w:val="00646CC3"/>
    <w:rsid w:val="006A7AEF"/>
    <w:rsid w:val="006C1EB4"/>
    <w:rsid w:val="006C3BAA"/>
    <w:rsid w:val="006E49EA"/>
    <w:rsid w:val="006F4346"/>
    <w:rsid w:val="0072135E"/>
    <w:rsid w:val="007332AE"/>
    <w:rsid w:val="00736D32"/>
    <w:rsid w:val="00742EF0"/>
    <w:rsid w:val="007A2D6C"/>
    <w:rsid w:val="007B6D03"/>
    <w:rsid w:val="007C0E80"/>
    <w:rsid w:val="007C4FD5"/>
    <w:rsid w:val="007E472F"/>
    <w:rsid w:val="007F1E57"/>
    <w:rsid w:val="00801B3F"/>
    <w:rsid w:val="00811809"/>
    <w:rsid w:val="00826220"/>
    <w:rsid w:val="00832D8E"/>
    <w:rsid w:val="00847AAE"/>
    <w:rsid w:val="00851164"/>
    <w:rsid w:val="00851B8C"/>
    <w:rsid w:val="008751BD"/>
    <w:rsid w:val="00877351"/>
    <w:rsid w:val="0088333F"/>
    <w:rsid w:val="008901E2"/>
    <w:rsid w:val="00895F7C"/>
    <w:rsid w:val="008A5FEC"/>
    <w:rsid w:val="008B2D10"/>
    <w:rsid w:val="008E1C5C"/>
    <w:rsid w:val="008E78B4"/>
    <w:rsid w:val="00901DDD"/>
    <w:rsid w:val="00902084"/>
    <w:rsid w:val="0090265A"/>
    <w:rsid w:val="0091033E"/>
    <w:rsid w:val="00917D19"/>
    <w:rsid w:val="009208A3"/>
    <w:rsid w:val="009244F2"/>
    <w:rsid w:val="009275DC"/>
    <w:rsid w:val="009644A1"/>
    <w:rsid w:val="0098744A"/>
    <w:rsid w:val="00991D7E"/>
    <w:rsid w:val="00991FE1"/>
    <w:rsid w:val="009C4FB4"/>
    <w:rsid w:val="009D6AB4"/>
    <w:rsid w:val="00A11E5C"/>
    <w:rsid w:val="00A31819"/>
    <w:rsid w:val="00A4311F"/>
    <w:rsid w:val="00A5193A"/>
    <w:rsid w:val="00A57425"/>
    <w:rsid w:val="00A64C8F"/>
    <w:rsid w:val="00A81414"/>
    <w:rsid w:val="00AB48E8"/>
    <w:rsid w:val="00AB6386"/>
    <w:rsid w:val="00AC4422"/>
    <w:rsid w:val="00AD2A80"/>
    <w:rsid w:val="00AD461B"/>
    <w:rsid w:val="00AE512E"/>
    <w:rsid w:val="00AE6D59"/>
    <w:rsid w:val="00AF74F3"/>
    <w:rsid w:val="00B124C3"/>
    <w:rsid w:val="00B17188"/>
    <w:rsid w:val="00B202E1"/>
    <w:rsid w:val="00B51D9F"/>
    <w:rsid w:val="00B75479"/>
    <w:rsid w:val="00B93635"/>
    <w:rsid w:val="00BA0531"/>
    <w:rsid w:val="00BA59CD"/>
    <w:rsid w:val="00BB48D6"/>
    <w:rsid w:val="00BC6331"/>
    <w:rsid w:val="00BD0BB1"/>
    <w:rsid w:val="00BE2A51"/>
    <w:rsid w:val="00C11F27"/>
    <w:rsid w:val="00C42EEA"/>
    <w:rsid w:val="00C47121"/>
    <w:rsid w:val="00C611C0"/>
    <w:rsid w:val="00C64547"/>
    <w:rsid w:val="00C70A2A"/>
    <w:rsid w:val="00C83A77"/>
    <w:rsid w:val="00C94220"/>
    <w:rsid w:val="00CA020F"/>
    <w:rsid w:val="00CC4BA3"/>
    <w:rsid w:val="00CE3EEE"/>
    <w:rsid w:val="00CF1155"/>
    <w:rsid w:val="00CF3052"/>
    <w:rsid w:val="00D07BE8"/>
    <w:rsid w:val="00D10945"/>
    <w:rsid w:val="00D17D7D"/>
    <w:rsid w:val="00D207CA"/>
    <w:rsid w:val="00D266CC"/>
    <w:rsid w:val="00D56BBE"/>
    <w:rsid w:val="00D63745"/>
    <w:rsid w:val="00D80153"/>
    <w:rsid w:val="00DB051E"/>
    <w:rsid w:val="00DB2546"/>
    <w:rsid w:val="00DB3A94"/>
    <w:rsid w:val="00DB46BA"/>
    <w:rsid w:val="00DC07CA"/>
    <w:rsid w:val="00DD657E"/>
    <w:rsid w:val="00DE69CE"/>
    <w:rsid w:val="00DF6B98"/>
    <w:rsid w:val="00E01B7D"/>
    <w:rsid w:val="00E134BB"/>
    <w:rsid w:val="00E157E4"/>
    <w:rsid w:val="00E45F27"/>
    <w:rsid w:val="00E517B2"/>
    <w:rsid w:val="00E545F7"/>
    <w:rsid w:val="00E559DE"/>
    <w:rsid w:val="00E71C61"/>
    <w:rsid w:val="00E741B6"/>
    <w:rsid w:val="00E80454"/>
    <w:rsid w:val="00E81C8C"/>
    <w:rsid w:val="00E875DC"/>
    <w:rsid w:val="00E904D3"/>
    <w:rsid w:val="00E97801"/>
    <w:rsid w:val="00EA4A76"/>
    <w:rsid w:val="00EA6699"/>
    <w:rsid w:val="00EB1A13"/>
    <w:rsid w:val="00EC67E0"/>
    <w:rsid w:val="00ED13B7"/>
    <w:rsid w:val="00ED1506"/>
    <w:rsid w:val="00EF20BD"/>
    <w:rsid w:val="00F116A3"/>
    <w:rsid w:val="00F12476"/>
    <w:rsid w:val="00F1696E"/>
    <w:rsid w:val="00F23047"/>
    <w:rsid w:val="00F33277"/>
    <w:rsid w:val="00F42299"/>
    <w:rsid w:val="00F45340"/>
    <w:rsid w:val="00F9175A"/>
    <w:rsid w:val="00F93E33"/>
    <w:rsid w:val="00F95B67"/>
    <w:rsid w:val="00F97853"/>
    <w:rsid w:val="00FA537C"/>
    <w:rsid w:val="00FB782E"/>
    <w:rsid w:val="00FF3379"/>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110B4B0C-04A8-42DA-8B20-7B630F5E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F53"/>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link w:val="Overskrift2Tegn"/>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paragraph" w:styleId="Overskrift4">
    <w:name w:val="heading 4"/>
    <w:basedOn w:val="Normal"/>
    <w:next w:val="Brdtekstindrykning"/>
    <w:link w:val="Overskrift4Tegn"/>
    <w:qFormat/>
    <w:rsid w:val="00570EAE"/>
    <w:pPr>
      <w:keepNext/>
      <w:tabs>
        <w:tab w:val="right" w:pos="9214"/>
      </w:tabs>
      <w:spacing w:after="240" w:line="240" w:lineRule="auto"/>
      <w:ind w:left="864" w:hanging="864"/>
      <w:outlineLvl w:val="3"/>
    </w:pPr>
    <w:rPr>
      <w:b/>
      <w:sz w:val="22"/>
      <w:lang w:val="x-none"/>
    </w:rPr>
  </w:style>
  <w:style w:type="paragraph" w:styleId="Overskrift5">
    <w:name w:val="heading 5"/>
    <w:basedOn w:val="Normal"/>
    <w:next w:val="Brdtekstindrykning2"/>
    <w:link w:val="Overskrift5Tegn"/>
    <w:qFormat/>
    <w:rsid w:val="00570EAE"/>
    <w:pPr>
      <w:keepNext/>
      <w:keepLines/>
      <w:tabs>
        <w:tab w:val="left" w:pos="851"/>
        <w:tab w:val="left" w:pos="1418"/>
        <w:tab w:val="right" w:pos="9214"/>
      </w:tabs>
      <w:spacing w:after="240" w:line="240" w:lineRule="auto"/>
      <w:ind w:left="1008" w:hanging="1008"/>
      <w:outlineLvl w:val="4"/>
    </w:pPr>
    <w:rPr>
      <w:b/>
      <w:sz w:val="22"/>
      <w:lang w:val="x-none"/>
    </w:rPr>
  </w:style>
  <w:style w:type="paragraph" w:styleId="Overskrift6">
    <w:name w:val="heading 6"/>
    <w:basedOn w:val="Normal"/>
    <w:next w:val="Normal"/>
    <w:link w:val="Overskrift6Tegn"/>
    <w:qFormat/>
    <w:rsid w:val="00570EAE"/>
    <w:pPr>
      <w:keepLines/>
      <w:tabs>
        <w:tab w:val="right" w:pos="9214"/>
      </w:tabs>
      <w:spacing w:before="240" w:after="60" w:line="240" w:lineRule="auto"/>
      <w:ind w:left="1152" w:hanging="1152"/>
      <w:outlineLvl w:val="5"/>
    </w:pPr>
    <w:rPr>
      <w:i/>
      <w:sz w:val="22"/>
      <w:lang w:val="x-none"/>
    </w:rPr>
  </w:style>
  <w:style w:type="paragraph" w:styleId="Overskrift7">
    <w:name w:val="heading 7"/>
    <w:basedOn w:val="Normal"/>
    <w:next w:val="Normal"/>
    <w:link w:val="Overskrift7Tegn"/>
    <w:qFormat/>
    <w:rsid w:val="00570EAE"/>
    <w:pPr>
      <w:keepLines/>
      <w:tabs>
        <w:tab w:val="right" w:pos="9214"/>
      </w:tabs>
      <w:spacing w:before="240" w:after="60" w:line="240" w:lineRule="auto"/>
      <w:ind w:left="1296" w:hanging="1296"/>
      <w:outlineLvl w:val="6"/>
    </w:pPr>
    <w:rPr>
      <w:sz w:val="22"/>
      <w:lang w:val="x-none"/>
    </w:rPr>
  </w:style>
  <w:style w:type="paragraph" w:styleId="Overskrift8">
    <w:name w:val="heading 8"/>
    <w:basedOn w:val="Normal"/>
    <w:next w:val="Normal"/>
    <w:link w:val="Overskrift8Tegn"/>
    <w:unhideWhenUsed/>
    <w:qFormat/>
    <w:rsid w:val="00570EAE"/>
    <w:pPr>
      <w:spacing w:before="240" w:after="60"/>
      <w:ind w:left="1440" w:hanging="1440"/>
      <w:outlineLvl w:val="7"/>
    </w:pPr>
    <w:rPr>
      <w:rFonts w:ascii="Calibri" w:hAnsi="Calibri"/>
      <w:i/>
      <w:iCs/>
      <w:sz w:val="24"/>
      <w:szCs w:val="24"/>
      <w:lang w:val="x-none"/>
    </w:rPr>
  </w:style>
  <w:style w:type="paragraph" w:styleId="Overskrift9">
    <w:name w:val="heading 9"/>
    <w:basedOn w:val="Normal"/>
    <w:next w:val="Normal"/>
    <w:link w:val="Overskrift9Tegn"/>
    <w:qFormat/>
    <w:rsid w:val="00570EAE"/>
    <w:pPr>
      <w:keepLines/>
      <w:tabs>
        <w:tab w:val="right" w:pos="9214"/>
      </w:tabs>
      <w:spacing w:before="240" w:after="60" w:line="240" w:lineRule="auto"/>
      <w:ind w:left="1584" w:hanging="1584"/>
      <w:outlineLvl w:val="8"/>
    </w:pPr>
    <w:rPr>
      <w:i/>
      <w:sz w:val="18"/>
      <w:lang w:val="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link w:val="SidefodTegn"/>
    <w:uiPriority w:val="99"/>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uiPriority w:val="59"/>
    <w:rsid w:val="005E635A"/>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Afdeling">
    <w:name w:val="Afdeling"/>
    <w:basedOn w:val="Overskriftfed"/>
    <w:rsid w:val="00571F53"/>
    <w:pPr>
      <w:spacing w:line="240" w:lineRule="atLeast"/>
    </w:pPr>
    <w:rPr>
      <w:sz w:val="18"/>
    </w:rPr>
  </w:style>
  <w:style w:type="character" w:styleId="Hyperlink">
    <w:name w:val="Hyperlink"/>
    <w:basedOn w:val="Standardskrifttypeiafsnit"/>
    <w:uiPriority w:val="99"/>
    <w:rsid w:val="00991D7E"/>
    <w:rPr>
      <w:color w:val="0000FF"/>
      <w:u w:val="single"/>
    </w:rPr>
  </w:style>
  <w:style w:type="paragraph" w:customStyle="1" w:styleId="Overskriftfed">
    <w:name w:val="Overskrift fed"/>
    <w:basedOn w:val="Normal"/>
    <w:rsid w:val="00A11E5C"/>
    <w:rPr>
      <w:b/>
    </w:rPr>
  </w:style>
  <w:style w:type="paragraph" w:customStyle="1" w:styleId="Lille">
    <w:name w:val="Lille"/>
    <w:basedOn w:val="Normal"/>
    <w:rsid w:val="00571F53"/>
    <w:pPr>
      <w:spacing w:line="240" w:lineRule="atLeast"/>
    </w:pPr>
    <w:rPr>
      <w:sz w:val="16"/>
      <w:szCs w:val="18"/>
    </w:rPr>
  </w:style>
  <w:style w:type="paragraph" w:customStyle="1" w:styleId="Style">
    <w:name w:val="Style"/>
    <w:basedOn w:val="Lille"/>
    <w:rsid w:val="002D0179"/>
    <w:pPr>
      <w:spacing w:line="260" w:lineRule="atLeast"/>
    </w:pPr>
    <w:rPr>
      <w:szCs w:val="20"/>
    </w:rPr>
  </w:style>
  <w:style w:type="character" w:customStyle="1" w:styleId="Overskrift4Tegn">
    <w:name w:val="Overskrift 4 Tegn"/>
    <w:basedOn w:val="Standardskrifttypeiafsnit"/>
    <w:link w:val="Overskrift4"/>
    <w:rsid w:val="00570EAE"/>
    <w:rPr>
      <w:rFonts w:ascii="Arial" w:hAnsi="Arial"/>
      <w:b/>
      <w:sz w:val="22"/>
      <w:lang w:val="x-none" w:eastAsia="en-US"/>
    </w:rPr>
  </w:style>
  <w:style w:type="character" w:customStyle="1" w:styleId="Overskrift5Tegn">
    <w:name w:val="Overskrift 5 Tegn"/>
    <w:basedOn w:val="Standardskrifttypeiafsnit"/>
    <w:link w:val="Overskrift5"/>
    <w:rsid w:val="00570EAE"/>
    <w:rPr>
      <w:rFonts w:ascii="Arial" w:hAnsi="Arial"/>
      <w:b/>
      <w:sz w:val="22"/>
      <w:lang w:val="x-none" w:eastAsia="en-US"/>
    </w:rPr>
  </w:style>
  <w:style w:type="character" w:customStyle="1" w:styleId="Overskrift6Tegn">
    <w:name w:val="Overskrift 6 Tegn"/>
    <w:basedOn w:val="Standardskrifttypeiafsnit"/>
    <w:link w:val="Overskrift6"/>
    <w:rsid w:val="00570EAE"/>
    <w:rPr>
      <w:rFonts w:ascii="Arial" w:hAnsi="Arial"/>
      <w:i/>
      <w:sz w:val="22"/>
      <w:lang w:val="x-none" w:eastAsia="en-US"/>
    </w:rPr>
  </w:style>
  <w:style w:type="character" w:customStyle="1" w:styleId="Overskrift7Tegn">
    <w:name w:val="Overskrift 7 Tegn"/>
    <w:basedOn w:val="Standardskrifttypeiafsnit"/>
    <w:link w:val="Overskrift7"/>
    <w:rsid w:val="00570EAE"/>
    <w:rPr>
      <w:rFonts w:ascii="Arial" w:hAnsi="Arial"/>
      <w:sz w:val="22"/>
      <w:lang w:val="x-none" w:eastAsia="en-US"/>
    </w:rPr>
  </w:style>
  <w:style w:type="character" w:customStyle="1" w:styleId="Overskrift8Tegn">
    <w:name w:val="Overskrift 8 Tegn"/>
    <w:basedOn w:val="Standardskrifttypeiafsnit"/>
    <w:link w:val="Overskrift8"/>
    <w:rsid w:val="00570EAE"/>
    <w:rPr>
      <w:rFonts w:ascii="Calibri" w:hAnsi="Calibri"/>
      <w:i/>
      <w:iCs/>
      <w:sz w:val="24"/>
      <w:szCs w:val="24"/>
      <w:lang w:val="x-none" w:eastAsia="en-US"/>
    </w:rPr>
  </w:style>
  <w:style w:type="character" w:customStyle="1" w:styleId="Overskrift9Tegn">
    <w:name w:val="Overskrift 9 Tegn"/>
    <w:basedOn w:val="Standardskrifttypeiafsnit"/>
    <w:link w:val="Overskrift9"/>
    <w:rsid w:val="00570EAE"/>
    <w:rPr>
      <w:rFonts w:ascii="Arial" w:hAnsi="Arial"/>
      <w:i/>
      <w:sz w:val="18"/>
      <w:lang w:val="x-none" w:eastAsia="en-US"/>
    </w:rPr>
  </w:style>
  <w:style w:type="paragraph" w:styleId="Brdtekst">
    <w:name w:val="Body Text"/>
    <w:basedOn w:val="Normal"/>
    <w:link w:val="BrdtekstTegn"/>
    <w:rsid w:val="00570EAE"/>
    <w:pPr>
      <w:tabs>
        <w:tab w:val="left" w:pos="284"/>
      </w:tabs>
      <w:spacing w:line="240" w:lineRule="auto"/>
      <w:jc w:val="both"/>
    </w:pPr>
    <w:rPr>
      <w:rFonts w:cs="Arial"/>
      <w:sz w:val="22"/>
      <w:szCs w:val="22"/>
      <w:lang w:eastAsia="da-DK"/>
    </w:rPr>
  </w:style>
  <w:style w:type="character" w:customStyle="1" w:styleId="BrdtekstTegn">
    <w:name w:val="Brødtekst Tegn"/>
    <w:basedOn w:val="Standardskrifttypeiafsnit"/>
    <w:link w:val="Brdtekst"/>
    <w:rsid w:val="00570EAE"/>
    <w:rPr>
      <w:rFonts w:ascii="Arial" w:hAnsi="Arial" w:cs="Arial"/>
      <w:sz w:val="22"/>
      <w:szCs w:val="22"/>
    </w:rPr>
  </w:style>
  <w:style w:type="paragraph" w:styleId="Brdtekstindrykning">
    <w:name w:val="Body Text Indent"/>
    <w:basedOn w:val="Normal"/>
    <w:link w:val="BrdtekstindrykningTegn"/>
    <w:rsid w:val="00570EAE"/>
    <w:pPr>
      <w:tabs>
        <w:tab w:val="left" w:pos="284"/>
        <w:tab w:val="left" w:pos="567"/>
      </w:tabs>
      <w:spacing w:line="240" w:lineRule="auto"/>
      <w:ind w:left="567" w:hanging="567"/>
      <w:jc w:val="both"/>
    </w:pPr>
    <w:rPr>
      <w:rFonts w:cs="Arial"/>
      <w:sz w:val="22"/>
      <w:szCs w:val="22"/>
      <w:lang w:eastAsia="da-DK"/>
    </w:rPr>
  </w:style>
  <w:style w:type="character" w:customStyle="1" w:styleId="BrdtekstindrykningTegn">
    <w:name w:val="Brødtekstindrykning Tegn"/>
    <w:basedOn w:val="Standardskrifttypeiafsnit"/>
    <w:link w:val="Brdtekstindrykning"/>
    <w:rsid w:val="00570EAE"/>
    <w:rPr>
      <w:rFonts w:ascii="Arial" w:hAnsi="Arial" w:cs="Arial"/>
      <w:sz w:val="22"/>
      <w:szCs w:val="22"/>
    </w:rPr>
  </w:style>
  <w:style w:type="paragraph" w:styleId="Brdtekst2">
    <w:name w:val="Body Text 2"/>
    <w:basedOn w:val="Normal"/>
    <w:link w:val="Brdtekst2Tegn"/>
    <w:rsid w:val="00570EAE"/>
    <w:pPr>
      <w:tabs>
        <w:tab w:val="left" w:pos="284"/>
        <w:tab w:val="left" w:pos="567"/>
      </w:tabs>
      <w:spacing w:line="240" w:lineRule="auto"/>
      <w:jc w:val="both"/>
    </w:pPr>
    <w:rPr>
      <w:rFonts w:cs="Arial"/>
      <w:sz w:val="22"/>
      <w:szCs w:val="22"/>
      <w:lang w:eastAsia="da-DK"/>
    </w:rPr>
  </w:style>
  <w:style w:type="character" w:customStyle="1" w:styleId="Brdtekst2Tegn">
    <w:name w:val="Brødtekst 2 Tegn"/>
    <w:basedOn w:val="Standardskrifttypeiafsnit"/>
    <w:link w:val="Brdtekst2"/>
    <w:rsid w:val="00570EAE"/>
    <w:rPr>
      <w:rFonts w:ascii="Arial" w:hAnsi="Arial" w:cs="Arial"/>
      <w:sz w:val="22"/>
      <w:szCs w:val="22"/>
    </w:rPr>
  </w:style>
  <w:style w:type="paragraph" w:styleId="Brdtekst3">
    <w:name w:val="Body Text 3"/>
    <w:basedOn w:val="Normal"/>
    <w:link w:val="Brdtekst3Tegn"/>
    <w:rsid w:val="00570EAE"/>
    <w:pPr>
      <w:tabs>
        <w:tab w:val="left" w:pos="284"/>
        <w:tab w:val="left" w:pos="567"/>
      </w:tabs>
      <w:spacing w:line="240" w:lineRule="auto"/>
      <w:jc w:val="both"/>
    </w:pPr>
    <w:rPr>
      <w:rFonts w:cs="Arial"/>
      <w:color w:val="FF0000"/>
      <w:sz w:val="22"/>
      <w:szCs w:val="22"/>
      <w:lang w:eastAsia="da-DK"/>
    </w:rPr>
  </w:style>
  <w:style w:type="character" w:customStyle="1" w:styleId="Brdtekst3Tegn">
    <w:name w:val="Brødtekst 3 Tegn"/>
    <w:basedOn w:val="Standardskrifttypeiafsnit"/>
    <w:link w:val="Brdtekst3"/>
    <w:rsid w:val="00570EAE"/>
    <w:rPr>
      <w:rFonts w:ascii="Arial" w:hAnsi="Arial" w:cs="Arial"/>
      <w:color w:val="FF0000"/>
      <w:sz w:val="22"/>
      <w:szCs w:val="22"/>
    </w:rPr>
  </w:style>
  <w:style w:type="paragraph" w:styleId="Listeafsnit">
    <w:name w:val="List Paragraph"/>
    <w:basedOn w:val="Normal"/>
    <w:uiPriority w:val="34"/>
    <w:qFormat/>
    <w:rsid w:val="00570EAE"/>
    <w:pPr>
      <w:tabs>
        <w:tab w:val="left" w:pos="284"/>
      </w:tabs>
      <w:spacing w:line="240" w:lineRule="auto"/>
      <w:ind w:left="1304"/>
      <w:jc w:val="both"/>
    </w:pPr>
    <w:rPr>
      <w:rFonts w:cs="Arial"/>
      <w:sz w:val="22"/>
      <w:szCs w:val="22"/>
      <w:lang w:eastAsia="da-DK"/>
    </w:rPr>
  </w:style>
  <w:style w:type="paragraph" w:customStyle="1" w:styleId="Standardtekst">
    <w:name w:val="Standardtekst"/>
    <w:basedOn w:val="Normal"/>
    <w:rsid w:val="00570EAE"/>
    <w:pPr>
      <w:tabs>
        <w:tab w:val="left" w:pos="284"/>
      </w:tabs>
      <w:overflowPunct w:val="0"/>
      <w:autoSpaceDE w:val="0"/>
      <w:autoSpaceDN w:val="0"/>
      <w:adjustRightInd w:val="0"/>
      <w:spacing w:line="240" w:lineRule="auto"/>
      <w:jc w:val="both"/>
      <w:textAlignment w:val="baseline"/>
    </w:pPr>
    <w:rPr>
      <w:rFonts w:cs="Arial"/>
      <w:sz w:val="24"/>
      <w:szCs w:val="22"/>
      <w:lang w:eastAsia="da-DK"/>
    </w:rPr>
  </w:style>
  <w:style w:type="paragraph" w:styleId="Overskrift">
    <w:name w:val="TOC Heading"/>
    <w:basedOn w:val="Overskrift1"/>
    <w:next w:val="Normal"/>
    <w:uiPriority w:val="39"/>
    <w:qFormat/>
    <w:rsid w:val="00570EAE"/>
    <w:pPr>
      <w:spacing w:before="480" w:after="240"/>
    </w:pPr>
    <w:rPr>
      <w:szCs w:val="22"/>
    </w:rPr>
  </w:style>
  <w:style w:type="paragraph" w:styleId="Indholdsfortegnelse1">
    <w:name w:val="toc 1"/>
    <w:basedOn w:val="Normal"/>
    <w:next w:val="Normal"/>
    <w:autoRedefine/>
    <w:uiPriority w:val="39"/>
    <w:qFormat/>
    <w:rsid w:val="00CF1155"/>
    <w:pPr>
      <w:tabs>
        <w:tab w:val="left" w:pos="567"/>
        <w:tab w:val="left" w:pos="851"/>
        <w:tab w:val="left" w:leader="dot" w:pos="8931"/>
      </w:tabs>
      <w:spacing w:line="240" w:lineRule="auto"/>
    </w:pPr>
    <w:rPr>
      <w:rFonts w:cs="Arial"/>
      <w:szCs w:val="22"/>
      <w:lang w:eastAsia="da-DK"/>
    </w:rPr>
  </w:style>
  <w:style w:type="paragraph" w:styleId="Indholdsfortegnelse2">
    <w:name w:val="toc 2"/>
    <w:basedOn w:val="Normal"/>
    <w:next w:val="Normal"/>
    <w:autoRedefine/>
    <w:uiPriority w:val="39"/>
    <w:qFormat/>
    <w:rsid w:val="00570EAE"/>
    <w:pPr>
      <w:tabs>
        <w:tab w:val="left" w:leader="dot" w:pos="0"/>
        <w:tab w:val="left" w:pos="567"/>
        <w:tab w:val="left" w:leader="dot" w:pos="8931"/>
      </w:tabs>
      <w:spacing w:line="240" w:lineRule="auto"/>
      <w:jc w:val="both"/>
    </w:pPr>
    <w:rPr>
      <w:rFonts w:cs="Arial"/>
      <w:szCs w:val="22"/>
      <w:lang w:eastAsia="da-DK"/>
    </w:rPr>
  </w:style>
  <w:style w:type="paragraph" w:styleId="Indholdsfortegnelse3">
    <w:name w:val="toc 3"/>
    <w:basedOn w:val="Normal"/>
    <w:next w:val="Normal"/>
    <w:autoRedefine/>
    <w:uiPriority w:val="39"/>
    <w:qFormat/>
    <w:rsid w:val="00570EAE"/>
    <w:pPr>
      <w:tabs>
        <w:tab w:val="left" w:pos="880"/>
        <w:tab w:val="right" w:pos="9072"/>
      </w:tabs>
      <w:spacing w:line="240" w:lineRule="auto"/>
      <w:ind w:right="-2099"/>
      <w:jc w:val="both"/>
    </w:pPr>
    <w:rPr>
      <w:rFonts w:cs="Arial"/>
      <w:szCs w:val="22"/>
      <w:lang w:eastAsia="da-DK"/>
    </w:rPr>
  </w:style>
  <w:style w:type="paragraph" w:styleId="Fodnotetekst">
    <w:name w:val="footnote text"/>
    <w:basedOn w:val="Normal"/>
    <w:link w:val="FodnotetekstTegn"/>
    <w:rsid w:val="00570EAE"/>
    <w:pPr>
      <w:tabs>
        <w:tab w:val="left" w:pos="284"/>
      </w:tabs>
      <w:spacing w:line="240" w:lineRule="auto"/>
      <w:jc w:val="both"/>
    </w:pPr>
    <w:rPr>
      <w:rFonts w:cs="Arial"/>
      <w:lang w:eastAsia="da-DK"/>
    </w:rPr>
  </w:style>
  <w:style w:type="character" w:customStyle="1" w:styleId="FodnotetekstTegn">
    <w:name w:val="Fodnotetekst Tegn"/>
    <w:basedOn w:val="Standardskrifttypeiafsnit"/>
    <w:link w:val="Fodnotetekst"/>
    <w:rsid w:val="00570EAE"/>
    <w:rPr>
      <w:rFonts w:ascii="Arial" w:hAnsi="Arial" w:cs="Arial"/>
    </w:rPr>
  </w:style>
  <w:style w:type="character" w:styleId="Fodnotehenvisning">
    <w:name w:val="footnote reference"/>
    <w:rsid w:val="00570EAE"/>
    <w:rPr>
      <w:vertAlign w:val="superscript"/>
    </w:rPr>
  </w:style>
  <w:style w:type="paragraph" w:customStyle="1" w:styleId="Minnormalbrdtekst">
    <w:name w:val="Min normal brødtekst"/>
    <w:basedOn w:val="Normal"/>
    <w:link w:val="MinnormalbrdtekstTegn"/>
    <w:qFormat/>
    <w:rsid w:val="00570EAE"/>
    <w:pPr>
      <w:spacing w:after="120" w:line="240" w:lineRule="auto"/>
    </w:pPr>
    <w:rPr>
      <w:rFonts w:ascii="Verdana" w:hAnsi="Verdana"/>
      <w:szCs w:val="24"/>
      <w:lang w:val="x-none" w:eastAsia="x-none"/>
    </w:rPr>
  </w:style>
  <w:style w:type="character" w:customStyle="1" w:styleId="MinnormalbrdtekstTegn">
    <w:name w:val="Min normal brødtekst Tegn"/>
    <w:link w:val="Minnormalbrdtekst"/>
    <w:rsid w:val="00570EAE"/>
    <w:rPr>
      <w:rFonts w:ascii="Verdana" w:hAnsi="Verdana"/>
      <w:szCs w:val="24"/>
      <w:lang w:val="x-none" w:eastAsia="x-none"/>
    </w:rPr>
  </w:style>
  <w:style w:type="paragraph" w:customStyle="1" w:styleId="Default">
    <w:name w:val="Default"/>
    <w:rsid w:val="00570EAE"/>
    <w:pPr>
      <w:autoSpaceDE w:val="0"/>
      <w:autoSpaceDN w:val="0"/>
      <w:adjustRightInd w:val="0"/>
    </w:pPr>
    <w:rPr>
      <w:rFonts w:ascii="Verdana" w:eastAsia="Calibri" w:hAnsi="Verdana" w:cs="Verdana"/>
      <w:color w:val="000000"/>
      <w:sz w:val="24"/>
      <w:szCs w:val="24"/>
      <w:lang w:eastAsia="en-US"/>
    </w:rPr>
  </w:style>
  <w:style w:type="paragraph" w:customStyle="1" w:styleId="Vilkr-overskrift1">
    <w:name w:val="Vilkår - overskrift 1"/>
    <w:basedOn w:val="Normal"/>
    <w:next w:val="Normal"/>
    <w:rsid w:val="00570EAE"/>
    <w:pPr>
      <w:keepNext/>
      <w:numPr>
        <w:numId w:val="2"/>
      </w:numPr>
      <w:tabs>
        <w:tab w:val="clear" w:pos="1361"/>
      </w:tabs>
      <w:spacing w:before="240" w:after="240" w:line="240" w:lineRule="auto"/>
      <w:ind w:left="540" w:hanging="540"/>
    </w:pPr>
    <w:rPr>
      <w:rFonts w:ascii="Times New Roman" w:hAnsi="Times New Roman"/>
      <w:b/>
      <w:sz w:val="28"/>
      <w:lang w:eastAsia="da-DK"/>
    </w:rPr>
  </w:style>
  <w:style w:type="paragraph" w:customStyle="1" w:styleId="Vilkr-overskrift2">
    <w:name w:val="Vilkår - overskrift 2"/>
    <w:basedOn w:val="Vilkr-overskrift1"/>
    <w:link w:val="Vilkr-overskrift2Tegn"/>
    <w:rsid w:val="00570EAE"/>
    <w:pPr>
      <w:keepNext w:val="0"/>
      <w:numPr>
        <w:ilvl w:val="1"/>
      </w:numPr>
      <w:tabs>
        <w:tab w:val="clear" w:pos="459"/>
      </w:tabs>
      <w:ind w:left="540" w:hanging="540"/>
    </w:pPr>
    <w:rPr>
      <w:b w:val="0"/>
      <w:sz w:val="24"/>
      <w:szCs w:val="24"/>
      <w:lang w:val="x-none" w:eastAsia="x-none"/>
    </w:rPr>
  </w:style>
  <w:style w:type="character" w:customStyle="1" w:styleId="Vilkr-overskrift2Tegn">
    <w:name w:val="Vilkår - overskrift 2 Tegn"/>
    <w:link w:val="Vilkr-overskrift2"/>
    <w:rsid w:val="00570EAE"/>
    <w:rPr>
      <w:sz w:val="24"/>
      <w:szCs w:val="24"/>
      <w:lang w:val="x-none" w:eastAsia="x-none"/>
    </w:rPr>
  </w:style>
  <w:style w:type="paragraph" w:styleId="Almindeligtekst">
    <w:name w:val="Plain Text"/>
    <w:basedOn w:val="Normal"/>
    <w:link w:val="AlmindeligtekstTegn"/>
    <w:uiPriority w:val="99"/>
    <w:rsid w:val="00570EAE"/>
    <w:pPr>
      <w:spacing w:before="100" w:beforeAutospacing="1" w:after="100" w:afterAutospacing="1" w:line="240" w:lineRule="auto"/>
    </w:pPr>
    <w:rPr>
      <w:rFonts w:ascii="Times New Roman" w:hAnsi="Times New Roman"/>
      <w:sz w:val="24"/>
      <w:szCs w:val="24"/>
      <w:lang w:val="x-none" w:eastAsia="x-none"/>
    </w:rPr>
  </w:style>
  <w:style w:type="character" w:customStyle="1" w:styleId="AlmindeligtekstTegn">
    <w:name w:val="Almindelig tekst Tegn"/>
    <w:basedOn w:val="Standardskrifttypeiafsnit"/>
    <w:link w:val="Almindeligtekst"/>
    <w:uiPriority w:val="99"/>
    <w:rsid w:val="00570EAE"/>
    <w:rPr>
      <w:sz w:val="24"/>
      <w:szCs w:val="24"/>
      <w:lang w:val="x-none" w:eastAsia="x-none"/>
    </w:rPr>
  </w:style>
  <w:style w:type="paragraph" w:customStyle="1" w:styleId="nummer">
    <w:name w:val="nummer"/>
    <w:basedOn w:val="Normal"/>
    <w:rsid w:val="00570EAE"/>
    <w:pPr>
      <w:spacing w:line="240" w:lineRule="auto"/>
      <w:ind w:left="200" w:hanging="200"/>
    </w:pPr>
    <w:rPr>
      <w:rFonts w:ascii="Tahoma" w:hAnsi="Tahoma" w:cs="Tahoma"/>
      <w:color w:val="000000"/>
      <w:sz w:val="24"/>
      <w:szCs w:val="24"/>
      <w:lang w:eastAsia="da-DK"/>
    </w:rPr>
  </w:style>
  <w:style w:type="character" w:styleId="Fremhv">
    <w:name w:val="Emphasis"/>
    <w:qFormat/>
    <w:rsid w:val="00570EAE"/>
    <w:rPr>
      <w:i/>
      <w:iCs/>
    </w:rPr>
  </w:style>
  <w:style w:type="paragraph" w:styleId="Kommentartekst">
    <w:name w:val="annotation text"/>
    <w:basedOn w:val="Normal"/>
    <w:link w:val="KommentartekstTegn"/>
    <w:rsid w:val="00570EAE"/>
    <w:rPr>
      <w:lang w:val="x-none"/>
    </w:rPr>
  </w:style>
  <w:style w:type="character" w:customStyle="1" w:styleId="KommentartekstTegn">
    <w:name w:val="Kommentartekst Tegn"/>
    <w:basedOn w:val="Standardskrifttypeiafsnit"/>
    <w:link w:val="Kommentartekst"/>
    <w:rsid w:val="00570EAE"/>
    <w:rPr>
      <w:rFonts w:ascii="Arial" w:hAnsi="Arial"/>
      <w:lang w:val="x-none" w:eastAsia="en-US"/>
    </w:rPr>
  </w:style>
  <w:style w:type="character" w:styleId="Kommentarhenvisning">
    <w:name w:val="annotation reference"/>
    <w:rsid w:val="00570EAE"/>
    <w:rPr>
      <w:rFonts w:cs="Times New Roman"/>
      <w:sz w:val="16"/>
      <w:szCs w:val="16"/>
    </w:rPr>
  </w:style>
  <w:style w:type="paragraph" w:styleId="Kommentaremne">
    <w:name w:val="annotation subject"/>
    <w:basedOn w:val="Kommentartekst"/>
    <w:next w:val="Kommentartekst"/>
    <w:link w:val="KommentaremneTegn"/>
    <w:rsid w:val="00570EAE"/>
    <w:rPr>
      <w:b/>
      <w:bCs/>
    </w:rPr>
  </w:style>
  <w:style w:type="character" w:customStyle="1" w:styleId="KommentaremneTegn">
    <w:name w:val="Kommentaremne Tegn"/>
    <w:basedOn w:val="KommentartekstTegn"/>
    <w:link w:val="Kommentaremne"/>
    <w:rsid w:val="00570EAE"/>
    <w:rPr>
      <w:rFonts w:ascii="Arial" w:hAnsi="Arial"/>
      <w:b/>
      <w:bCs/>
      <w:lang w:val="x-none" w:eastAsia="en-US"/>
    </w:rPr>
  </w:style>
  <w:style w:type="table" w:customStyle="1" w:styleId="Tabel-Gitter1">
    <w:name w:val="Tabel - Gitter1"/>
    <w:basedOn w:val="Tabel-Normal"/>
    <w:next w:val="Tabel-Gitter"/>
    <w:rsid w:val="0057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rsid w:val="0057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el-Normal"/>
    <w:next w:val="Tabel-Gitter"/>
    <w:rsid w:val="0057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4">
    <w:name w:val="Tabel - Gitter4"/>
    <w:basedOn w:val="Tabel-Normal"/>
    <w:next w:val="Tabel-Gitter"/>
    <w:rsid w:val="0057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rsid w:val="00570EAE"/>
    <w:rPr>
      <w:rFonts w:ascii="Arial" w:hAnsi="Arial" w:cs="Arial"/>
      <w:b/>
      <w:bCs/>
      <w:iCs/>
      <w:szCs w:val="28"/>
      <w:lang w:eastAsia="en-US"/>
    </w:rPr>
  </w:style>
  <w:style w:type="paragraph" w:styleId="Brdtekstindrykning2">
    <w:name w:val="Body Text Indent 2"/>
    <w:basedOn w:val="Normal"/>
    <w:link w:val="Brdtekstindrykning2Tegn"/>
    <w:rsid w:val="00570EAE"/>
    <w:pPr>
      <w:spacing w:after="120" w:line="480" w:lineRule="auto"/>
      <w:ind w:left="283"/>
    </w:pPr>
    <w:rPr>
      <w:lang w:val="x-none"/>
    </w:rPr>
  </w:style>
  <w:style w:type="character" w:customStyle="1" w:styleId="Brdtekstindrykning2Tegn">
    <w:name w:val="Brødtekstindrykning 2 Tegn"/>
    <w:basedOn w:val="Standardskrifttypeiafsnit"/>
    <w:link w:val="Brdtekstindrykning2"/>
    <w:rsid w:val="00570EAE"/>
    <w:rPr>
      <w:rFonts w:ascii="Arial" w:hAnsi="Arial"/>
      <w:lang w:val="x-none" w:eastAsia="en-US"/>
    </w:rPr>
  </w:style>
  <w:style w:type="character" w:customStyle="1" w:styleId="SidefodTegn">
    <w:name w:val="Sidefod Tegn"/>
    <w:link w:val="Sidefod"/>
    <w:uiPriority w:val="99"/>
    <w:rsid w:val="00570EAE"/>
    <w:rPr>
      <w:rFonts w:ascii="Arial" w:hAnsi="Arial"/>
      <w:lang w:eastAsia="en-US"/>
    </w:rPr>
  </w:style>
  <w:style w:type="table" w:customStyle="1" w:styleId="Tabel-Gitter5">
    <w:name w:val="Tabel - Gitter5"/>
    <w:basedOn w:val="Tabel-Normal"/>
    <w:next w:val="Tabel-Gitter"/>
    <w:rsid w:val="00570EA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itter"/>
    <w:rsid w:val="0057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lkr-overskrift20">
    <w:name w:val="vilkr-overskrift2"/>
    <w:basedOn w:val="Normal"/>
    <w:rsid w:val="00570EAE"/>
    <w:pPr>
      <w:spacing w:line="240" w:lineRule="auto"/>
    </w:pPr>
    <w:rPr>
      <w:rFonts w:ascii="Times New Roman" w:eastAsia="Calibri" w:hAnsi="Times New Roman"/>
      <w:sz w:val="24"/>
      <w:szCs w:val="24"/>
      <w:lang w:eastAsia="da-DK"/>
    </w:rPr>
  </w:style>
  <w:style w:type="paragraph" w:customStyle="1" w:styleId="liste1">
    <w:name w:val="liste1"/>
    <w:basedOn w:val="Normal"/>
    <w:rsid w:val="00570EAE"/>
    <w:pPr>
      <w:spacing w:line="240" w:lineRule="auto"/>
      <w:ind w:left="150"/>
    </w:pPr>
    <w:rPr>
      <w:rFonts w:ascii="Times New Roman" w:hAnsi="Times New Roman"/>
      <w:sz w:val="24"/>
      <w:szCs w:val="24"/>
      <w:lang w:eastAsia="da-DK"/>
    </w:rPr>
  </w:style>
  <w:style w:type="character" w:customStyle="1" w:styleId="stknr1">
    <w:name w:val="stknr1"/>
    <w:rsid w:val="00570EAE"/>
    <w:rPr>
      <w:i/>
      <w:iCs/>
    </w:rPr>
  </w:style>
  <w:style w:type="character" w:styleId="BesgtLink">
    <w:name w:val="FollowedHyperlink"/>
    <w:basedOn w:val="Standardskrifttypeiafsnit"/>
    <w:rsid w:val="00570E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7273">
      <w:bodyDiv w:val="1"/>
      <w:marLeft w:val="0"/>
      <w:marRight w:val="0"/>
      <w:marTop w:val="0"/>
      <w:marBottom w:val="0"/>
      <w:divBdr>
        <w:top w:val="none" w:sz="0" w:space="0" w:color="auto"/>
        <w:left w:val="none" w:sz="0" w:space="0" w:color="auto"/>
        <w:bottom w:val="none" w:sz="0" w:space="0" w:color="auto"/>
        <w:right w:val="none" w:sz="0" w:space="0" w:color="auto"/>
      </w:divBdr>
      <w:divsChild>
        <w:div w:id="1949239124">
          <w:marLeft w:val="0"/>
          <w:marRight w:val="0"/>
          <w:marTop w:val="0"/>
          <w:marBottom w:val="0"/>
          <w:divBdr>
            <w:top w:val="none" w:sz="0" w:space="0" w:color="auto"/>
            <w:left w:val="none" w:sz="0" w:space="0" w:color="auto"/>
            <w:bottom w:val="none" w:sz="0" w:space="0" w:color="auto"/>
            <w:right w:val="none" w:sz="0" w:space="0" w:color="auto"/>
          </w:divBdr>
          <w:divsChild>
            <w:div w:id="2016834701">
              <w:marLeft w:val="0"/>
              <w:marRight w:val="0"/>
              <w:marTop w:val="0"/>
              <w:marBottom w:val="0"/>
              <w:divBdr>
                <w:top w:val="none" w:sz="0" w:space="0" w:color="auto"/>
                <w:left w:val="none" w:sz="0" w:space="0" w:color="auto"/>
                <w:bottom w:val="none" w:sz="0" w:space="0" w:color="auto"/>
                <w:right w:val="none" w:sz="0" w:space="0" w:color="auto"/>
              </w:divBdr>
              <w:divsChild>
                <w:div w:id="1723366472">
                  <w:marLeft w:val="0"/>
                  <w:marRight w:val="0"/>
                  <w:marTop w:val="0"/>
                  <w:marBottom w:val="0"/>
                  <w:divBdr>
                    <w:top w:val="none" w:sz="0" w:space="0" w:color="auto"/>
                    <w:left w:val="none" w:sz="0" w:space="0" w:color="auto"/>
                    <w:bottom w:val="none" w:sz="0" w:space="0" w:color="auto"/>
                    <w:right w:val="none" w:sz="0" w:space="0" w:color="auto"/>
                  </w:divBdr>
                  <w:divsChild>
                    <w:div w:id="412625235">
                      <w:marLeft w:val="0"/>
                      <w:marRight w:val="0"/>
                      <w:marTop w:val="0"/>
                      <w:marBottom w:val="0"/>
                      <w:divBdr>
                        <w:top w:val="none" w:sz="0" w:space="0" w:color="auto"/>
                        <w:left w:val="none" w:sz="0" w:space="0" w:color="auto"/>
                        <w:bottom w:val="none" w:sz="0" w:space="0" w:color="auto"/>
                        <w:right w:val="none" w:sz="0" w:space="0" w:color="auto"/>
                      </w:divBdr>
                      <w:divsChild>
                        <w:div w:id="1405369525">
                          <w:marLeft w:val="0"/>
                          <w:marRight w:val="0"/>
                          <w:marTop w:val="0"/>
                          <w:marBottom w:val="0"/>
                          <w:divBdr>
                            <w:top w:val="none" w:sz="0" w:space="0" w:color="auto"/>
                            <w:left w:val="none" w:sz="0" w:space="0" w:color="auto"/>
                            <w:bottom w:val="none" w:sz="0" w:space="0" w:color="auto"/>
                            <w:right w:val="none" w:sz="0" w:space="0" w:color="auto"/>
                          </w:divBdr>
                          <w:divsChild>
                            <w:div w:id="1708337631">
                              <w:marLeft w:val="0"/>
                              <w:marRight w:val="0"/>
                              <w:marTop w:val="0"/>
                              <w:marBottom w:val="0"/>
                              <w:divBdr>
                                <w:top w:val="none" w:sz="0" w:space="0" w:color="auto"/>
                                <w:left w:val="none" w:sz="0" w:space="0" w:color="auto"/>
                                <w:bottom w:val="none" w:sz="0" w:space="0" w:color="auto"/>
                                <w:right w:val="none" w:sz="0" w:space="0" w:color="auto"/>
                              </w:divBdr>
                              <w:divsChild>
                                <w:div w:id="5327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lafsson@tji.dk" TargetMode="External"/><Relationship Id="rId18" Type="http://schemas.openxmlformats.org/officeDocument/2006/relationships/hyperlink" Target="http://teknik.lovportaler.dk/showdoc.aspx?schultzlink=bek20151611&amp;activesolution=http%3a%2f%2fwww.kommunekoncept.dk" TargetMode="External"/><Relationship Id="rId26" Type="http://schemas.openxmlformats.org/officeDocument/2006/relationships/hyperlink" Target="http://teknik.lovportaler.dk/showdoc.aspx?schultzlink=bek20151611&amp;activesolution=http%3a%2f%2fwww.kommunekoncept.d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eknik.lovportaler.dk/showdoc.aspx?schultzlink=bek20151611&amp;activesolution=http%3a%2f%2fwww.kommunekoncept.dk" TargetMode="External"/><Relationship Id="rId34" Type="http://schemas.openxmlformats.org/officeDocument/2006/relationships/hyperlink" Target="mailto:trekantomraadet@friluftsraadet.dk" TargetMode="External"/><Relationship Id="rId7" Type="http://schemas.openxmlformats.org/officeDocument/2006/relationships/endnotes" Target="endnotes.xml"/><Relationship Id="rId12" Type="http://schemas.openxmlformats.org/officeDocument/2006/relationships/hyperlink" Target="mailto:hejnsvigvarme@mail.dk" TargetMode="External"/><Relationship Id="rId17" Type="http://schemas.openxmlformats.org/officeDocument/2006/relationships/hyperlink" Target="http://teknik.lovportaler.dk/showdoc.aspx?schultzlink=bek20151611&amp;activesolution=http%3a%2f%2fwww.kommunekoncept.dk" TargetMode="External"/><Relationship Id="rId25" Type="http://schemas.openxmlformats.org/officeDocument/2006/relationships/hyperlink" Target="http://teknik.lovportaler.dk/showdoc.aspx?schultzlink=bek20151611&amp;activesolution=http%3a%2f%2fwww.kommunekoncept.dk" TargetMode="External"/><Relationship Id="rId33" Type="http://schemas.openxmlformats.org/officeDocument/2006/relationships/hyperlink" Target="mailto:dnbillund-sager@dn.d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teknik.lovportaler.dk/showdoc.aspx?schultzlink=bek20151611&amp;activesolution=http%3a%2f%2fwww.kommunekoncept.dk" TargetMode="External"/><Relationship Id="rId29" Type="http://schemas.openxmlformats.org/officeDocument/2006/relationships/hyperlink" Target="http://www.nmkn.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teknik.lovportaler.dk/showdoc.aspx?schultzlink=bek20151611&amp;activesolution=http%3a%2f%2fwww.kommunekoncept.dk" TargetMode="External"/><Relationship Id="rId32" Type="http://schemas.openxmlformats.org/officeDocument/2006/relationships/hyperlink" Target="mailto:syd@sst.dk"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teknik.lovportaler.dk/showdoc.aspx?schultzlink=bek20151611&amp;activesolution=http%3a%2f%2fwww.kommunekoncept.dk" TargetMode="External"/><Relationship Id="rId28" Type="http://schemas.openxmlformats.org/officeDocument/2006/relationships/hyperlink" Target="http://www.virk.dk" TargetMode="External"/><Relationship Id="rId36" Type="http://schemas.openxmlformats.org/officeDocument/2006/relationships/hyperlink" Target="mailto:natur@dof.dk" TargetMode="External"/><Relationship Id="rId10" Type="http://schemas.openxmlformats.org/officeDocument/2006/relationships/header" Target="header2.xml"/><Relationship Id="rId19" Type="http://schemas.openxmlformats.org/officeDocument/2006/relationships/hyperlink" Target="http://teknik.lovportaler.dk/showdoc.aspx?schultzlink=bek20151611&amp;activesolution=http%3a%2f%2fwww.kommunekoncept.dk" TargetMode="External"/><Relationship Id="rId31" Type="http://schemas.openxmlformats.org/officeDocument/2006/relationships/hyperlink" Target="http://www.virk.d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teknik.lovportaler.dk/showdoc.aspx?schultzlink=bek20151611&amp;activesolution=http%3a%2f%2fwww.kommunekoncept.dk" TargetMode="External"/><Relationship Id="rId27" Type="http://schemas.openxmlformats.org/officeDocument/2006/relationships/hyperlink" Target="http://www.borger.dk" TargetMode="External"/><Relationship Id="rId30" Type="http://schemas.openxmlformats.org/officeDocument/2006/relationships/hyperlink" Target="http://www.borger.dk" TargetMode="External"/><Relationship Id="rId35" Type="http://schemas.openxmlformats.org/officeDocument/2006/relationships/hyperlink" Target="mailto:billund@dof.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D1A1C-91AF-4B10-915E-67BDEC9B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7839</Words>
  <Characters>51661</Characters>
  <Application>Microsoft Office Word</Application>
  <DocSecurity>0</DocSecurity>
  <Lines>430</Lines>
  <Paragraphs>118</Paragraphs>
  <ScaleCrop>false</ScaleCrop>
  <HeadingPairs>
    <vt:vector size="2" baseType="variant">
      <vt:variant>
        <vt:lpstr>Titel</vt:lpstr>
      </vt:variant>
      <vt:variant>
        <vt:i4>1</vt:i4>
      </vt:variant>
    </vt:vector>
  </HeadingPairs>
  <TitlesOfParts>
    <vt:vector size="1" baseType="lpstr">
      <vt:lpstr>Brev DK med logo</vt:lpstr>
    </vt:vector>
  </TitlesOfParts>
  <Company>Folketinget</Company>
  <LinksUpToDate>false</LinksUpToDate>
  <CharactersWithSpaces>59382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DK med logo</dc:title>
  <dc:subject/>
  <dc:creator>ubb</dc:creator>
  <cp:keywords/>
  <cp:lastModifiedBy>Gitte Skovlund</cp:lastModifiedBy>
  <cp:revision>2</cp:revision>
  <cp:lastPrinted>2016-07-08T10:11:00Z</cp:lastPrinted>
  <dcterms:created xsi:type="dcterms:W3CDTF">2017-03-28T11:14:00Z</dcterms:created>
  <dcterms:modified xsi:type="dcterms:W3CDTF">2017-03-28T11:14:00Z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{37C6ABCE-0FE8-48BF-8098-40F3127A03D5}</vt:lpwstr>
  </property>
</Properties>
</file>