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2"/>
        <w:gridCol w:w="3714"/>
      </w:tblGrid>
      <w:tr w:rsidR="002A4CB2" w:rsidTr="00CC2388">
        <w:trPr>
          <w:trHeight w:val="2408"/>
        </w:trPr>
        <w:tc>
          <w:tcPr>
            <w:tcW w:w="5892" w:type="dxa"/>
          </w:tcPr>
          <w:p w:rsidR="002A4CB2" w:rsidRPr="00E33312" w:rsidRDefault="002A4CB2" w:rsidP="00FE368A">
            <w:pPr>
              <w:rPr>
                <w:rStyle w:val="Strk"/>
                <w:rFonts w:cs="Garamond"/>
                <w:b w:val="0"/>
                <w:sz w:val="22"/>
              </w:rPr>
            </w:pPr>
            <w:r w:rsidRPr="00FE368A">
              <w:rPr>
                <w:rStyle w:val="Strk"/>
                <w:rFonts w:cs="Garamond"/>
                <w:b w:val="0"/>
                <w:sz w:val="22"/>
              </w:rPr>
              <w:t>Sebastian Stig Vishart</w:t>
            </w:r>
          </w:p>
          <w:p w:rsidR="002A4CB2" w:rsidRPr="00E33312" w:rsidRDefault="002A4CB2" w:rsidP="00FE368A">
            <w:pPr>
              <w:rPr>
                <w:rStyle w:val="Strk"/>
                <w:rFonts w:cs="Garamond"/>
                <w:b w:val="0"/>
                <w:sz w:val="22"/>
              </w:rPr>
            </w:pPr>
            <w:r w:rsidRPr="00E33312">
              <w:rPr>
                <w:rStyle w:val="Strk"/>
                <w:rFonts w:cs="Garamond"/>
                <w:b w:val="0"/>
                <w:sz w:val="22"/>
              </w:rPr>
              <w:t>Brohusvej 16</w:t>
            </w:r>
          </w:p>
          <w:p w:rsidR="002A4CB2" w:rsidRPr="00E33312" w:rsidRDefault="002A4CB2" w:rsidP="00FE368A">
            <w:pPr>
              <w:rPr>
                <w:rStyle w:val="Strk"/>
                <w:rFonts w:cs="Garamond"/>
                <w:b w:val="0"/>
                <w:sz w:val="22"/>
              </w:rPr>
            </w:pPr>
            <w:r w:rsidRPr="00E33312">
              <w:rPr>
                <w:rStyle w:val="Strk"/>
                <w:rFonts w:cs="Garamond"/>
                <w:b w:val="0"/>
                <w:sz w:val="22"/>
              </w:rPr>
              <w:t>Hvornum</w:t>
            </w:r>
          </w:p>
          <w:p w:rsidR="002A4CB2" w:rsidRPr="00E33312" w:rsidRDefault="002A4CB2" w:rsidP="00FE368A">
            <w:pPr>
              <w:rPr>
                <w:rStyle w:val="Strk"/>
                <w:rFonts w:cs="Garamond"/>
                <w:b w:val="0"/>
                <w:sz w:val="22"/>
              </w:rPr>
            </w:pPr>
            <w:r w:rsidRPr="00E33312">
              <w:rPr>
                <w:rStyle w:val="Strk"/>
                <w:rFonts w:cs="Garamond"/>
                <w:b w:val="0"/>
                <w:sz w:val="22"/>
              </w:rPr>
              <w:t>9500 Hobro</w:t>
            </w:r>
          </w:p>
          <w:p w:rsidR="002A4CB2" w:rsidRDefault="002A4CB2" w:rsidP="00177A1F"/>
        </w:tc>
        <w:tc>
          <w:tcPr>
            <w:tcW w:w="3714" w:type="dxa"/>
          </w:tcPr>
          <w:p w:rsidR="002A4CB2" w:rsidRPr="00B41F4B" w:rsidRDefault="002A4CB2" w:rsidP="00B753D5">
            <w:pPr>
              <w:spacing w:after="120"/>
              <w:ind w:left="284"/>
              <w:rPr>
                <w:rFonts w:cs="Arial"/>
                <w:sz w:val="16"/>
                <w:szCs w:val="16"/>
              </w:rPr>
            </w:pPr>
            <w:r w:rsidRPr="00DA4E86">
              <w:rPr>
                <w:rFonts w:cs="Arial"/>
                <w:b/>
                <w:sz w:val="16"/>
                <w:szCs w:val="16"/>
              </w:rPr>
              <w:t>Teknik og Miljø</w:t>
            </w:r>
            <w:r w:rsidRPr="00140D53">
              <w:rPr>
                <w:rFonts w:cs="Arial"/>
                <w:b/>
                <w:sz w:val="16"/>
                <w:szCs w:val="16"/>
              </w:rPr>
              <w:br/>
            </w:r>
            <w:r>
              <w:rPr>
                <w:rFonts w:cs="Arial"/>
                <w:sz w:val="16"/>
                <w:szCs w:val="16"/>
              </w:rPr>
              <w:br/>
              <w:t>Sagsnummer</w:t>
            </w:r>
            <w:r w:rsidRPr="00B41F4B">
              <w:rPr>
                <w:rFonts w:cs="Arial"/>
                <w:sz w:val="16"/>
                <w:szCs w:val="16"/>
              </w:rPr>
              <w:t xml:space="preserve">: </w:t>
            </w:r>
            <w:r w:rsidRPr="00B41F4B">
              <w:rPr>
                <w:rFonts w:cs="Arial"/>
                <w:sz w:val="16"/>
                <w:szCs w:val="16"/>
              </w:rPr>
              <w:br/>
              <w:t>09.17.15-G01-1-23</w:t>
            </w:r>
            <w:r w:rsidRPr="00B41F4B">
              <w:rPr>
                <w:rFonts w:cs="Arial"/>
                <w:sz w:val="16"/>
                <w:szCs w:val="16"/>
              </w:rPr>
              <w:br/>
            </w:r>
            <w:r w:rsidRPr="00B41F4B">
              <w:rPr>
                <w:rFonts w:cs="Arial"/>
                <w:sz w:val="16"/>
                <w:szCs w:val="16"/>
              </w:rPr>
              <w:br/>
              <w:t>Ref.: Jannik Mørk Skovgaard Lauritzen (janl1)</w:t>
            </w:r>
            <w:r w:rsidRPr="00B41F4B">
              <w:rPr>
                <w:rFonts w:cs="Arial"/>
                <w:b/>
                <w:sz w:val="16"/>
                <w:szCs w:val="16"/>
              </w:rPr>
              <w:br/>
            </w:r>
            <w:r w:rsidRPr="00B41F4B">
              <w:rPr>
                <w:rFonts w:cs="Arial"/>
                <w:sz w:val="16"/>
                <w:szCs w:val="16"/>
              </w:rPr>
              <w:t>Telefon: 97113636</w:t>
            </w:r>
            <w:r w:rsidRPr="00B41F4B">
              <w:rPr>
                <w:rFonts w:cs="Arial"/>
                <w:sz w:val="16"/>
                <w:szCs w:val="16"/>
              </w:rPr>
              <w:br/>
            </w:r>
            <w:r>
              <w:rPr>
                <w:rFonts w:cs="Arial"/>
                <w:sz w:val="16"/>
                <w:szCs w:val="16"/>
              </w:rPr>
              <w:t>E-mail</w:t>
            </w:r>
            <w:r w:rsidRPr="00B41F4B">
              <w:rPr>
                <w:rFonts w:cs="Arial"/>
                <w:sz w:val="16"/>
                <w:szCs w:val="16"/>
              </w:rPr>
              <w:t xml:space="preserve">: </w:t>
            </w:r>
            <w:hyperlink r:id="rId8" w:history="1">
              <w:r w:rsidRPr="000F5588">
                <w:rPr>
                  <w:rStyle w:val="Hyperlink"/>
                  <w:rFonts w:cs="Arial"/>
                  <w:sz w:val="16"/>
                  <w:szCs w:val="16"/>
                </w:rPr>
                <w:t>landbrug@mariagerfjord.dk</w:t>
              </w:r>
            </w:hyperlink>
            <w:r w:rsidRPr="00B41F4B">
              <w:rPr>
                <w:rFonts w:cs="Arial"/>
                <w:sz w:val="16"/>
                <w:szCs w:val="16"/>
              </w:rPr>
              <w:br/>
            </w:r>
            <w:r w:rsidRPr="00B41F4B">
              <w:rPr>
                <w:rFonts w:cs="Arial"/>
                <w:sz w:val="16"/>
                <w:szCs w:val="16"/>
              </w:rPr>
              <w:br/>
              <w:t>Dato: 28.8</w:t>
            </w:r>
            <w:r w:rsidRPr="00B41F4B">
              <w:rPr>
                <w:sz w:val="16"/>
                <w:szCs w:val="16"/>
              </w:rPr>
              <w:t>.</w:t>
            </w:r>
            <w:r w:rsidRPr="00B41F4B">
              <w:rPr>
                <w:rFonts w:cs="Arial"/>
                <w:sz w:val="16"/>
                <w:szCs w:val="16"/>
              </w:rPr>
              <w:t>2023</w:t>
            </w:r>
          </w:p>
          <w:p w:rsidR="002A4CB2" w:rsidRDefault="002A4CB2" w:rsidP="00B753D5"/>
        </w:tc>
      </w:tr>
    </w:tbl>
    <w:p w:rsidR="002A4CB2" w:rsidRPr="00C00188" w:rsidRDefault="002A4CB2" w:rsidP="00C00188"/>
    <w:p w:rsidR="00E07F36" w:rsidRDefault="00E07F36" w:rsidP="00E07F36">
      <w:pPr>
        <w:rPr>
          <w:rFonts w:ascii="Garamond" w:hAnsi="Garamond"/>
          <w:b/>
        </w:rPr>
      </w:pPr>
      <w:r>
        <w:rPr>
          <w:b/>
        </w:rPr>
        <w:t>Afgørelse vedr. anmeldelse af mindre dyrehold efter Husdyrgødningsbekendtgørelsens</w:t>
      </w:r>
      <w:r>
        <w:rPr>
          <w:rStyle w:val="Fodnotehenvisning"/>
          <w:b/>
        </w:rPr>
        <w:footnoteReference w:id="1"/>
      </w:r>
      <w:r>
        <w:rPr>
          <w:b/>
          <w:vertAlign w:val="superscript"/>
        </w:rPr>
        <w:t xml:space="preserve"> </w:t>
      </w:r>
      <w:r>
        <w:rPr>
          <w:b/>
        </w:rPr>
        <w:t>§ 25, på ejendommen Brohusvej 16, 9500 Hobro.</w:t>
      </w:r>
    </w:p>
    <w:p w:rsidR="00E07F36" w:rsidRDefault="00E07F36" w:rsidP="00E07F36">
      <w:pPr>
        <w:rPr>
          <w:szCs w:val="26"/>
        </w:rPr>
      </w:pPr>
      <w:r>
        <w:rPr>
          <w:szCs w:val="26"/>
        </w:rPr>
        <w:t>Mariagerfjord Kommune har den 03-04-2023 modtaget din anmeldelse om etablering af et husdyrhold i henhold til Husdyrgødningsbekendtgørelsen på husdyrbruget Brohusvej 16, 9500 Hobro. Ejendommen ejes og drives af gårdejer Sebastian Stig Vishart, CVR: 29559765.</w:t>
      </w:r>
    </w:p>
    <w:p w:rsidR="00E07F36" w:rsidRDefault="00E07F36" w:rsidP="00E07F36">
      <w:pPr>
        <w:rPr>
          <w:szCs w:val="26"/>
        </w:rPr>
      </w:pPr>
      <w:r>
        <w:rPr>
          <w:szCs w:val="26"/>
        </w:rPr>
        <w:t xml:space="preserve">Mariagerfjord Kommune vurderer, at anmeldelsen om etablering af et husdyrbrug opfylder kravene for anmeldelse efter Husdyrgødningsbekendtgørelsens §25, jævnføre fravigelsesregler i Husdyrgodkendelsesbekendtgørelsens §7 stk. 1. </w:t>
      </w:r>
    </w:p>
    <w:p w:rsidR="00E07F36" w:rsidRDefault="00E07F36" w:rsidP="00E07F36">
      <w:pPr>
        <w:rPr>
          <w:szCs w:val="26"/>
        </w:rPr>
      </w:pPr>
      <w:r>
        <w:rPr>
          <w:szCs w:val="26"/>
        </w:rPr>
        <w:t>Det vurderes, at anmeldelsen om etablering af et husdyrbrug kan udføres som anmeldt, uden at naboer påvirkes negativt, eller at det vil medføre en negativ påvirkning på miljøet, eller at de landskabelige værdier tilsidesættes.</w:t>
      </w:r>
    </w:p>
    <w:p w:rsidR="00E07F36" w:rsidRDefault="00E07F36" w:rsidP="00E07F36">
      <w:pPr>
        <w:rPr>
          <w:szCs w:val="26"/>
        </w:rPr>
      </w:pPr>
      <w:r>
        <w:rPr>
          <w:szCs w:val="26"/>
        </w:rPr>
        <w:t>Det er Mariagerfjord Kommunes vurdering, at anmeldelsen om etablering af et husdyrbrug kan udføres som anmeldt, uden at det kræver en tilladelse eller miljøgodkendelse efter Husdyrbrugloven</w:t>
      </w:r>
      <w:r>
        <w:rPr>
          <w:szCs w:val="26"/>
          <w:vertAlign w:val="superscript"/>
        </w:rPr>
        <w:footnoteReference w:id="2"/>
      </w:r>
      <w:r>
        <w:rPr>
          <w:szCs w:val="26"/>
        </w:rPr>
        <w:t>.</w:t>
      </w:r>
    </w:p>
    <w:p w:rsidR="00E07F36" w:rsidRDefault="00E07F36" w:rsidP="00E07F36">
      <w:pPr>
        <w:rPr>
          <w:b/>
          <w:szCs w:val="26"/>
          <w:highlight w:val="yellow"/>
        </w:rPr>
      </w:pPr>
    </w:p>
    <w:p w:rsidR="00E07F36" w:rsidRDefault="00E07F36" w:rsidP="00E07F36">
      <w:pPr>
        <w:autoSpaceDE w:val="0"/>
        <w:autoSpaceDN w:val="0"/>
        <w:adjustRightInd w:val="0"/>
        <w:rPr>
          <w:rFonts w:cs="Garamond-Bold"/>
          <w:b/>
          <w:bCs/>
          <w:szCs w:val="26"/>
        </w:rPr>
      </w:pPr>
      <w:r>
        <w:rPr>
          <w:rFonts w:cs="Garamond-Bold"/>
          <w:b/>
          <w:bCs/>
          <w:szCs w:val="26"/>
        </w:rPr>
        <w:t>Bemærk at denne afgørelse ikke omfatter eventuelle yderligere nødvendige tilladelser. Herunder fx byggetilladelser og lignende.</w:t>
      </w:r>
    </w:p>
    <w:p w:rsidR="00E07F36" w:rsidRDefault="00E07F36" w:rsidP="00E07F36">
      <w:pPr>
        <w:rPr>
          <w:b/>
          <w:szCs w:val="26"/>
        </w:rPr>
      </w:pPr>
    </w:p>
    <w:p w:rsidR="00E07F36" w:rsidRDefault="00E07F36" w:rsidP="00E07F36">
      <w:pPr>
        <w:rPr>
          <w:b/>
          <w:szCs w:val="26"/>
        </w:rPr>
      </w:pPr>
    </w:p>
    <w:p w:rsidR="00E07F36" w:rsidRDefault="00E07F36" w:rsidP="00E07F36">
      <w:pPr>
        <w:rPr>
          <w:b/>
          <w:szCs w:val="26"/>
        </w:rPr>
      </w:pPr>
    </w:p>
    <w:p w:rsidR="00E07F36" w:rsidRDefault="00E07F36" w:rsidP="00E07F36">
      <w:pPr>
        <w:rPr>
          <w:b/>
          <w:szCs w:val="26"/>
        </w:rPr>
      </w:pPr>
    </w:p>
    <w:p w:rsidR="00E07F36" w:rsidRDefault="00E07F36" w:rsidP="00E07F36">
      <w:pPr>
        <w:rPr>
          <w:b/>
          <w:szCs w:val="26"/>
        </w:rPr>
      </w:pPr>
    </w:p>
    <w:p w:rsidR="00E07F36" w:rsidRDefault="00E07F36" w:rsidP="00E07F36">
      <w:pPr>
        <w:rPr>
          <w:b/>
          <w:szCs w:val="26"/>
        </w:rPr>
      </w:pPr>
    </w:p>
    <w:p w:rsidR="00E07F36" w:rsidRDefault="00E07F36" w:rsidP="00E07F36">
      <w:pPr>
        <w:rPr>
          <w:b/>
          <w:szCs w:val="26"/>
        </w:rPr>
      </w:pPr>
      <w:r>
        <w:rPr>
          <w:b/>
          <w:szCs w:val="26"/>
        </w:rPr>
        <w:t>Høring</w:t>
      </w:r>
    </w:p>
    <w:p w:rsidR="00E07F36" w:rsidRDefault="00E07F36" w:rsidP="00E07F36">
      <w:pPr>
        <w:rPr>
          <w:szCs w:val="26"/>
        </w:rPr>
      </w:pPr>
      <w:r>
        <w:rPr>
          <w:szCs w:val="26"/>
        </w:rPr>
        <w:t xml:space="preserve">Udkastet til anmeldelsen har været i 2 ugers høring hos ansøger og naboer fra den 28-08-2023 til den 11-09-2023 hos: </w:t>
      </w:r>
    </w:p>
    <w:p w:rsidR="00E07F36" w:rsidRDefault="00E07F36" w:rsidP="00E07F36">
      <w:pPr>
        <w:pStyle w:val="Listeafsnit"/>
        <w:numPr>
          <w:ilvl w:val="0"/>
          <w:numId w:val="4"/>
        </w:numPr>
        <w:spacing w:after="0" w:line="240" w:lineRule="auto"/>
        <w:rPr>
          <w:szCs w:val="26"/>
        </w:rPr>
      </w:pPr>
      <w:r>
        <w:rPr>
          <w:szCs w:val="26"/>
        </w:rPr>
        <w:t xml:space="preserve">Sebastian Stig Vishart </w:t>
      </w:r>
    </w:p>
    <w:p w:rsidR="00E07F36" w:rsidRDefault="00E07F36" w:rsidP="00E07F36">
      <w:pPr>
        <w:pStyle w:val="Listeafsnit"/>
        <w:numPr>
          <w:ilvl w:val="0"/>
          <w:numId w:val="4"/>
        </w:numPr>
        <w:spacing w:after="0" w:line="240" w:lineRule="auto"/>
        <w:rPr>
          <w:szCs w:val="26"/>
        </w:rPr>
      </w:pPr>
      <w:r>
        <w:rPr>
          <w:szCs w:val="26"/>
        </w:rPr>
        <w:t xml:space="preserve">Tina Sørensen, Konsulent Agri Nord, </w:t>
      </w:r>
      <w:hyperlink r:id="rId9" w:history="1">
        <w:r>
          <w:rPr>
            <w:rStyle w:val="Hyperlink"/>
            <w:rFonts w:ascii="Verdana" w:hAnsi="Verdana" w:cs="Verdana"/>
            <w:sz w:val="20"/>
            <w:szCs w:val="20"/>
          </w:rPr>
          <w:t>tfs@agrinord.dk</w:t>
        </w:r>
      </w:hyperlink>
      <w:r>
        <w:rPr>
          <w:rFonts w:ascii="Verdana" w:hAnsi="Verdana" w:cs="Verdana"/>
          <w:sz w:val="20"/>
          <w:szCs w:val="20"/>
        </w:rPr>
        <w:t xml:space="preserve"> </w:t>
      </w:r>
    </w:p>
    <w:p w:rsidR="00E07F36" w:rsidRDefault="00E07F36" w:rsidP="00E07F36">
      <w:pPr>
        <w:pStyle w:val="Listeafsnit"/>
        <w:numPr>
          <w:ilvl w:val="0"/>
          <w:numId w:val="4"/>
        </w:numPr>
        <w:spacing w:after="0" w:line="240" w:lineRule="auto"/>
        <w:rPr>
          <w:szCs w:val="26"/>
        </w:rPr>
      </w:pPr>
      <w:r>
        <w:rPr>
          <w:szCs w:val="26"/>
        </w:rPr>
        <w:t>Naboer m.m.</w:t>
      </w:r>
    </w:p>
    <w:p w:rsidR="00E07F36" w:rsidRDefault="00E07F36" w:rsidP="00E07F36">
      <w:pPr>
        <w:rPr>
          <w:szCs w:val="26"/>
        </w:rPr>
      </w:pPr>
    </w:p>
    <w:p w:rsidR="00E07F36" w:rsidRDefault="00E07F36" w:rsidP="00E07F36">
      <w:pPr>
        <w:rPr>
          <w:szCs w:val="26"/>
          <w:lang w:eastAsia="da-DK"/>
        </w:rPr>
      </w:pPr>
      <w:r>
        <w:rPr>
          <w:szCs w:val="26"/>
        </w:rPr>
        <w:t xml:space="preserve">Der </w:t>
      </w:r>
      <w:r w:rsidRPr="006E0437">
        <w:rPr>
          <w:szCs w:val="26"/>
        </w:rPr>
        <w:t>er ikke</w:t>
      </w:r>
      <w:r>
        <w:rPr>
          <w:szCs w:val="26"/>
        </w:rPr>
        <w:t xml:space="preserve"> indkommet bemærkninger til det anmeldte.</w:t>
      </w:r>
    </w:p>
    <w:p w:rsidR="00E07F36" w:rsidRDefault="00E07F36" w:rsidP="00E07F36">
      <w:pPr>
        <w:rPr>
          <w:b/>
          <w:szCs w:val="26"/>
        </w:rPr>
      </w:pPr>
      <w:r>
        <w:rPr>
          <w:b/>
          <w:szCs w:val="26"/>
        </w:rPr>
        <w:t>Klagevejledning</w:t>
      </w:r>
    </w:p>
    <w:p w:rsidR="00E07F36" w:rsidRDefault="00E07F36" w:rsidP="00E07F36">
      <w:pPr>
        <w:rPr>
          <w:szCs w:val="26"/>
        </w:rPr>
      </w:pPr>
      <w:r>
        <w:rPr>
          <w:szCs w:val="26"/>
        </w:rPr>
        <w:t>Hvis du ønsker at klage over denne afgørelse, kan du klage til Miljø- og Fødevareklagenævnet. </w:t>
      </w:r>
      <w:r>
        <w:rPr>
          <w:szCs w:val="26"/>
        </w:rPr>
        <w:br/>
        <w:t xml:space="preserve">Klagen skal indgives inden den </w:t>
      </w:r>
      <w:r w:rsidR="000A3D6A">
        <w:rPr>
          <w:szCs w:val="26"/>
        </w:rPr>
        <w:t>09-10-2023, kl 23:59</w:t>
      </w:r>
    </w:p>
    <w:p w:rsidR="00E07F36" w:rsidRDefault="00E07F36" w:rsidP="00E07F36">
      <w:pPr>
        <w:rPr>
          <w:szCs w:val="26"/>
        </w:rPr>
      </w:pPr>
      <w:r>
        <w:rPr>
          <w:szCs w:val="26"/>
        </w:rPr>
        <w:t>Du klager via klageportalen, som du finder via</w:t>
      </w:r>
      <w:r>
        <w:rPr>
          <w:color w:val="343536"/>
          <w:szCs w:val="26"/>
        </w:rPr>
        <w:t xml:space="preserve"> </w:t>
      </w:r>
      <w:hyperlink r:id="rId10" w:history="1">
        <w:r>
          <w:rPr>
            <w:rStyle w:val="Hyperlink"/>
            <w:szCs w:val="26"/>
          </w:rPr>
          <w:t>naevneneshus.dk</w:t>
        </w:r>
      </w:hyperlink>
      <w:r>
        <w:rPr>
          <w:rStyle w:val="Hyperlink"/>
          <w:szCs w:val="26"/>
        </w:rPr>
        <w:t>,</w:t>
      </w:r>
      <w:r>
        <w:rPr>
          <w:color w:val="343536"/>
          <w:szCs w:val="26"/>
        </w:rPr>
        <w:t xml:space="preserve"> </w:t>
      </w:r>
      <w:hyperlink r:id="rId11" w:tgtFrame="_blank" w:history="1">
        <w:r>
          <w:rPr>
            <w:rStyle w:val="Hyperlink"/>
            <w:szCs w:val="26"/>
          </w:rPr>
          <w:t>borger.dk</w:t>
        </w:r>
      </w:hyperlink>
      <w:r>
        <w:rPr>
          <w:color w:val="343536"/>
          <w:szCs w:val="26"/>
        </w:rPr>
        <w:t xml:space="preserve"> </w:t>
      </w:r>
      <w:r>
        <w:rPr>
          <w:szCs w:val="26"/>
        </w:rPr>
        <w:t xml:space="preserve">eller </w:t>
      </w:r>
      <w:hyperlink r:id="rId12" w:tgtFrame="_blank" w:history="1">
        <w:r>
          <w:rPr>
            <w:rStyle w:val="Hyperlink"/>
            <w:szCs w:val="26"/>
          </w:rPr>
          <w:t>virk.dk</w:t>
        </w:r>
      </w:hyperlink>
      <w:r>
        <w:rPr>
          <w:color w:val="343536"/>
          <w:szCs w:val="26"/>
        </w:rPr>
        <w:t xml:space="preserve">. </w:t>
      </w:r>
      <w:r>
        <w:rPr>
          <w:szCs w:val="26"/>
        </w:rPr>
        <w:t>Du logger på klageportalen med Nem-ID. En klage er indgivet, når den er tilgængelig for Mariagerfjord Kommune via klageportalen.</w:t>
      </w:r>
    </w:p>
    <w:p w:rsidR="00E07F36" w:rsidRDefault="00E07F36" w:rsidP="00E07F36">
      <w:pPr>
        <w:rPr>
          <w:szCs w:val="26"/>
        </w:rPr>
      </w:pPr>
      <w:r>
        <w:rPr>
          <w:szCs w:val="26"/>
        </w:rPr>
        <w:t>Når du klager, skal du betale et gebyr på 900 kr. for borgere og 1.800 kr. for virksomheder, organisationer og offentlige myndigheder.</w:t>
      </w:r>
    </w:p>
    <w:p w:rsidR="00E07F36" w:rsidRDefault="00E07F36" w:rsidP="00E07F36">
      <w:pPr>
        <w:rPr>
          <w:szCs w:val="26"/>
        </w:rPr>
      </w:pPr>
      <w:r>
        <w:rPr>
          <w:szCs w:val="26"/>
        </w:rPr>
        <w:t>I klageportalen sendes din klage automatisk først til Mariagerfjord Kommune. Hvis Mariagerfjord Kommune fastholder afgørelsen, sender Mariagerfjord Kommune klagen videre til behandling i nævnet via klageportalen. Du får besked om videresendelsen.</w:t>
      </w:r>
    </w:p>
    <w:p w:rsidR="00E07F36" w:rsidRDefault="00E07F36" w:rsidP="00E07F36">
      <w:pPr>
        <w:rPr>
          <w:rFonts w:cs="Garamond"/>
          <w:szCs w:val="26"/>
        </w:rPr>
      </w:pPr>
      <w:r>
        <w:rPr>
          <w:szCs w:val="26"/>
        </w:rPr>
        <w:lastRenderedPageBreak/>
        <w:t>Miljø- og Fødevareklagenævnet afviser din klage, hvis du sender den uden om klageportalen, medmindre du er blevet fritaget for brug af klageportalen. Hvis du ønsker at blive fritaget for at bruge klageportalen, skal du sende en begrundet anmodning til Mariagerfjord Kommune. Mariagerfjord Kommune videresender din anmodning til nævnet, som herefter beslutter om, du kan fritages.</w:t>
      </w:r>
    </w:p>
    <w:p w:rsidR="00E07F36" w:rsidRDefault="00E07F36" w:rsidP="00E07F36">
      <w:pPr>
        <w:rPr>
          <w:rFonts w:cs="Garamond"/>
          <w:color w:val="000000"/>
          <w:szCs w:val="26"/>
        </w:rPr>
      </w:pPr>
      <w:r>
        <w:rPr>
          <w:rFonts w:cs="Garamond"/>
          <w:color w:val="000000"/>
          <w:szCs w:val="26"/>
        </w:rPr>
        <w:t xml:space="preserve">Vejledning om klagereglerne kan findes på </w:t>
      </w:r>
      <w:r>
        <w:rPr>
          <w:rFonts w:cs="Verdana"/>
          <w:szCs w:val="26"/>
        </w:rPr>
        <w:t>Miljø- og Fødevareklagenævnet</w:t>
      </w:r>
      <w:r>
        <w:rPr>
          <w:rFonts w:cs="Garamond"/>
          <w:color w:val="000000"/>
          <w:szCs w:val="26"/>
        </w:rPr>
        <w:t xml:space="preserve">s hjemmeside </w:t>
      </w:r>
      <w:hyperlink r:id="rId13" w:history="1">
        <w:r>
          <w:rPr>
            <w:rStyle w:val="Hyperlink"/>
            <w:szCs w:val="26"/>
          </w:rPr>
          <w:t>naevneneshus.dk</w:t>
        </w:r>
      </w:hyperlink>
      <w:r>
        <w:rPr>
          <w:rFonts w:cs="Garamond"/>
          <w:color w:val="000000"/>
          <w:szCs w:val="26"/>
        </w:rPr>
        <w:t>.</w:t>
      </w:r>
    </w:p>
    <w:p w:rsidR="00E07F36" w:rsidRDefault="00E07F36" w:rsidP="00E07F36">
      <w:pPr>
        <w:rPr>
          <w:color w:val="000000"/>
          <w:szCs w:val="26"/>
        </w:rPr>
      </w:pPr>
      <w:r>
        <w:rPr>
          <w:color w:val="000000"/>
          <w:szCs w:val="26"/>
        </w:rPr>
        <w:t xml:space="preserve">Ansøgeren vil få besked, hvis andre klager over afgørelsen. </w:t>
      </w:r>
    </w:p>
    <w:p w:rsidR="00E07F36" w:rsidRDefault="00E07F36" w:rsidP="00E07F36">
      <w:pPr>
        <w:rPr>
          <w:szCs w:val="26"/>
        </w:rPr>
      </w:pPr>
      <w:r>
        <w:rPr>
          <w:szCs w:val="26"/>
        </w:rPr>
        <w:t>Mariagerfjord Kommunes afgørelse kan også indbringes for domstolene. Det skal ske inden 6 måneder fra offentliggørelsen</w:t>
      </w:r>
      <w:r>
        <w:rPr>
          <w:color w:val="333333"/>
          <w:szCs w:val="26"/>
        </w:rPr>
        <w:t xml:space="preserve"> </w:t>
      </w:r>
      <w:r>
        <w:rPr>
          <w:szCs w:val="26"/>
        </w:rPr>
        <w:t>eller - hvis den påklages - inden 6 mdr. efter, at der foreligger endelig afgørelse.</w:t>
      </w:r>
    </w:p>
    <w:p w:rsidR="00E07F36" w:rsidRDefault="00E07F36" w:rsidP="00E07F36">
      <w:pPr>
        <w:rPr>
          <w:color w:val="000000"/>
          <w:szCs w:val="26"/>
        </w:rPr>
      </w:pPr>
    </w:p>
    <w:p w:rsidR="00E07F36" w:rsidRDefault="00E07F36" w:rsidP="00E07F36">
      <w:pPr>
        <w:tabs>
          <w:tab w:val="left" w:pos="2116"/>
        </w:tabs>
        <w:rPr>
          <w:b/>
          <w:szCs w:val="26"/>
        </w:rPr>
      </w:pPr>
      <w:r>
        <w:rPr>
          <w:b/>
          <w:szCs w:val="26"/>
        </w:rPr>
        <w:tab/>
      </w:r>
    </w:p>
    <w:p w:rsidR="00E07F36" w:rsidRDefault="00E07F36" w:rsidP="00E07F36">
      <w:pPr>
        <w:rPr>
          <w:b/>
          <w:szCs w:val="26"/>
          <w:u w:val="single"/>
        </w:rPr>
      </w:pPr>
      <w:bookmarkStart w:id="0" w:name="_GoBack"/>
      <w:bookmarkEnd w:id="0"/>
      <w:r>
        <w:rPr>
          <w:b/>
          <w:szCs w:val="26"/>
        </w:rPr>
        <w:br w:type="page"/>
      </w:r>
      <w:r>
        <w:rPr>
          <w:b/>
          <w:szCs w:val="26"/>
          <w:u w:val="single"/>
        </w:rPr>
        <w:lastRenderedPageBreak/>
        <w:t>Beskrivelse af anmeldelsen:</w:t>
      </w:r>
    </w:p>
    <w:p w:rsidR="00E07F36" w:rsidRDefault="00E07F36" w:rsidP="00E07F36">
      <w:pPr>
        <w:rPr>
          <w:szCs w:val="26"/>
        </w:rPr>
      </w:pPr>
      <w:r>
        <w:rPr>
          <w:szCs w:val="26"/>
        </w:rPr>
        <w:t>Det ansøgte produktionsareal på 141,23 m</w:t>
      </w:r>
      <w:r>
        <w:rPr>
          <w:szCs w:val="26"/>
          <w:vertAlign w:val="superscript"/>
        </w:rPr>
        <w:t>2</w:t>
      </w:r>
      <w:r>
        <w:rPr>
          <w:szCs w:val="26"/>
        </w:rPr>
        <w:t xml:space="preserve"> etableres i en eksisterende bygninger. </w:t>
      </w:r>
    </w:p>
    <w:p w:rsidR="00E07F36" w:rsidRDefault="00E07F36" w:rsidP="00E07F36">
      <w:pPr>
        <w:rPr>
          <w:rFonts w:cs="Helvetica"/>
          <w:szCs w:val="26"/>
        </w:rPr>
      </w:pPr>
      <w:r>
        <w:rPr>
          <w:rFonts w:cs="Helvetica"/>
          <w:szCs w:val="26"/>
        </w:rPr>
        <w:t xml:space="preserve">Dybstrøelsen komposterer i stalden og lægges efterfølgende i markstak. De eksisterende produktionsarealer har altid været drevet efter Landbrugets Byggeblad vedr. anvendelse af stempelslag, denne drift type forsættes.  </w:t>
      </w:r>
    </w:p>
    <w:p w:rsidR="00E07F36" w:rsidRDefault="00E07F36" w:rsidP="00E07F36">
      <w:pPr>
        <w:rPr>
          <w:rFonts w:cs="Times New Roman"/>
          <w:szCs w:val="26"/>
        </w:rPr>
      </w:pPr>
      <w:r>
        <w:rPr>
          <w:rFonts w:cs="Times New Roman"/>
          <w:szCs w:val="26"/>
        </w:rPr>
        <w:t xml:space="preserve">Stempelslaget samt driften af staldende lever altid op til kravene </w:t>
      </w:r>
      <w:r>
        <w:t xml:space="preserve">jf. §44 i Husdyrgødningsbekendtgørelsen. </w:t>
      </w:r>
    </w:p>
    <w:p w:rsidR="00E07F36" w:rsidRDefault="00E07F36" w:rsidP="00E07F36">
      <w:pPr>
        <w:rPr>
          <w:szCs w:val="26"/>
        </w:rPr>
      </w:pPr>
      <w:r>
        <w:rPr>
          <w:szCs w:val="26"/>
        </w:rPr>
        <w:t>Af bilag 1 fremgår situationsplan for ejendommen.</w:t>
      </w:r>
    </w:p>
    <w:p w:rsidR="00E07F36" w:rsidRDefault="00E07F36" w:rsidP="00E07F36">
      <w:pPr>
        <w:rPr>
          <w:b/>
          <w:szCs w:val="26"/>
        </w:rPr>
      </w:pPr>
      <w:r>
        <w:rPr>
          <w:b/>
          <w:szCs w:val="26"/>
        </w:rPr>
        <w:t>Mariagerfjord kommunes vurdering</w:t>
      </w:r>
    </w:p>
    <w:p w:rsidR="00E07F36" w:rsidRDefault="00E07F36" w:rsidP="00E07F36">
      <w:pPr>
        <w:rPr>
          <w:szCs w:val="26"/>
        </w:rPr>
      </w:pPr>
      <w:r>
        <w:rPr>
          <w:szCs w:val="26"/>
        </w:rPr>
        <w:t>Mariagerfjord Kommune vurderer, at den anmeldte etablering af produktionsarealet opfylder kravene for anmeldelse efter Husdyrgødningsbekendtgørelsens §25, jævnføre fravigelsesreglerne i Husdyrgodkendelsesbekendtgørelsens §7 stk. 1 og det vurderes, at det anmeldte produktionsareal kan etableres som anmeldt, uden at det kræver tilladelse eller miljøgodkendelse efter Husdyrgodkendelsesloven.</w:t>
      </w:r>
    </w:p>
    <w:p w:rsidR="00E07F36" w:rsidRDefault="00E07F36" w:rsidP="00E07F36">
      <w:pPr>
        <w:rPr>
          <w:szCs w:val="26"/>
        </w:rPr>
      </w:pPr>
      <w:r>
        <w:rPr>
          <w:szCs w:val="26"/>
        </w:rPr>
        <w:t>Projektets væsentligste forudsætning er følgende:</w:t>
      </w:r>
    </w:p>
    <w:p w:rsidR="00E07F36" w:rsidRDefault="00E07F36" w:rsidP="00E07F36">
      <w:pPr>
        <w:numPr>
          <w:ilvl w:val="0"/>
          <w:numId w:val="5"/>
        </w:numPr>
        <w:spacing w:after="0" w:line="240" w:lineRule="auto"/>
        <w:rPr>
          <w:szCs w:val="26"/>
        </w:rPr>
      </w:pPr>
      <w:r>
        <w:rPr>
          <w:szCs w:val="26"/>
        </w:rPr>
        <w:t>Det er vurderet, at det anmeldte produktionsareal med dybstrøelse ikke overskrider 175 m</w:t>
      </w:r>
      <w:r>
        <w:rPr>
          <w:szCs w:val="26"/>
          <w:vertAlign w:val="superscript"/>
        </w:rPr>
        <w:t xml:space="preserve">2 </w:t>
      </w:r>
      <w:r>
        <w:rPr>
          <w:szCs w:val="26"/>
        </w:rPr>
        <w:t>jf. § 7, stk. 1 i Husdyrgodkendelsesbekendtgørelsen.</w:t>
      </w:r>
    </w:p>
    <w:p w:rsidR="00E07F36" w:rsidRDefault="00E07F36" w:rsidP="00E07F36">
      <w:pPr>
        <w:rPr>
          <w:rFonts w:ascii="Calibri" w:eastAsia="Calibri" w:hAnsi="Calibri"/>
          <w:szCs w:val="26"/>
        </w:rPr>
      </w:pPr>
    </w:p>
    <w:p w:rsidR="00E07F36" w:rsidRDefault="00E07F36" w:rsidP="00E07F36">
      <w:pPr>
        <w:numPr>
          <w:ilvl w:val="0"/>
          <w:numId w:val="5"/>
        </w:numPr>
        <w:spacing w:after="0" w:line="240" w:lineRule="auto"/>
        <w:contextualSpacing/>
        <w:rPr>
          <w:rFonts w:ascii="Garamond" w:eastAsia="Calibri" w:hAnsi="Garamond"/>
          <w:sz w:val="26"/>
          <w:szCs w:val="26"/>
          <w:lang w:eastAsia="da-DK"/>
        </w:rPr>
      </w:pPr>
      <w:r>
        <w:rPr>
          <w:rFonts w:eastAsia="Calibri"/>
          <w:szCs w:val="26"/>
        </w:rPr>
        <w:t>Produktionsarealet er placeret mindst:</w:t>
      </w:r>
    </w:p>
    <w:p w:rsidR="00E07F36" w:rsidRDefault="00E07F36" w:rsidP="00E07F36">
      <w:pPr>
        <w:numPr>
          <w:ilvl w:val="1"/>
          <w:numId w:val="6"/>
        </w:numPr>
        <w:spacing w:after="0" w:line="240" w:lineRule="auto"/>
        <w:contextualSpacing/>
        <w:rPr>
          <w:rFonts w:eastAsia="Calibri"/>
          <w:szCs w:val="26"/>
        </w:rPr>
      </w:pPr>
      <w:r>
        <w:rPr>
          <w:rFonts w:eastAsia="Calibri"/>
          <w:szCs w:val="26"/>
        </w:rPr>
        <w:t>50 m fra</w:t>
      </w:r>
    </w:p>
    <w:p w:rsidR="00E07F36" w:rsidRDefault="00E07F36" w:rsidP="00E07F36">
      <w:pPr>
        <w:numPr>
          <w:ilvl w:val="2"/>
          <w:numId w:val="6"/>
        </w:numPr>
        <w:spacing w:after="0" w:line="240" w:lineRule="auto"/>
        <w:contextualSpacing/>
        <w:rPr>
          <w:rFonts w:eastAsia="Calibri"/>
          <w:szCs w:val="26"/>
        </w:rPr>
      </w:pPr>
      <w:r>
        <w:rPr>
          <w:rFonts w:eastAsia="Calibri"/>
          <w:szCs w:val="26"/>
        </w:rPr>
        <w:t>Eksisterende eller ifølge kommuneplanens rammedel fremtidig byzone eller sommerhusområde, og</w:t>
      </w:r>
    </w:p>
    <w:p w:rsidR="00E07F36" w:rsidRDefault="00E07F36" w:rsidP="00E07F36">
      <w:pPr>
        <w:numPr>
          <w:ilvl w:val="2"/>
          <w:numId w:val="6"/>
        </w:numPr>
        <w:spacing w:after="0" w:line="240" w:lineRule="auto"/>
        <w:contextualSpacing/>
        <w:rPr>
          <w:rFonts w:eastAsia="Calibri"/>
          <w:szCs w:val="26"/>
        </w:rPr>
      </w:pPr>
      <w:r>
        <w:rPr>
          <w:rFonts w:eastAsia="Calibri"/>
          <w:szCs w:val="26"/>
        </w:rPr>
        <w:t>Lokalplanlagte områder i landzonen udlagt til blandet bolig og erhverv eller offentlige formål til beboelse, institutioner, rekreative formål og lignende.</w:t>
      </w:r>
    </w:p>
    <w:p w:rsidR="00E07F36" w:rsidRDefault="00E07F36" w:rsidP="00E07F36">
      <w:pPr>
        <w:numPr>
          <w:ilvl w:val="1"/>
          <w:numId w:val="6"/>
        </w:numPr>
        <w:spacing w:after="0" w:line="240" w:lineRule="auto"/>
        <w:contextualSpacing/>
        <w:rPr>
          <w:rFonts w:eastAsia="Calibri"/>
          <w:szCs w:val="26"/>
        </w:rPr>
      </w:pPr>
      <w:r>
        <w:rPr>
          <w:rFonts w:eastAsia="Calibri"/>
          <w:szCs w:val="26"/>
        </w:rPr>
        <w:t>50 m fra nærmeste nabobeboelse.</w:t>
      </w:r>
    </w:p>
    <w:p w:rsidR="00E07F36" w:rsidRDefault="00E07F36" w:rsidP="00E07F36">
      <w:pPr>
        <w:rPr>
          <w:szCs w:val="26"/>
        </w:rPr>
      </w:pPr>
    </w:p>
    <w:p w:rsidR="00E07F36" w:rsidRDefault="00E07F36" w:rsidP="00E07F36">
      <w:pPr>
        <w:numPr>
          <w:ilvl w:val="0"/>
          <w:numId w:val="7"/>
        </w:numPr>
        <w:spacing w:after="0" w:line="240" w:lineRule="auto"/>
        <w:contextualSpacing/>
        <w:rPr>
          <w:rFonts w:eastAsia="Calibri"/>
          <w:szCs w:val="26"/>
        </w:rPr>
      </w:pPr>
      <w:r>
        <w:rPr>
          <w:rFonts w:eastAsia="Calibri"/>
          <w:szCs w:val="26"/>
        </w:rPr>
        <w:t>Det anmeldte overholder afstandskravene i § 6-8 i lov om husdyrbrug og anvendelse af gødning m.v.</w:t>
      </w:r>
    </w:p>
    <w:p w:rsidR="00E07F36" w:rsidRDefault="00E07F36" w:rsidP="00E07F36">
      <w:pPr>
        <w:spacing w:after="0" w:line="240" w:lineRule="auto"/>
        <w:ind w:left="720"/>
        <w:contextualSpacing/>
        <w:rPr>
          <w:rFonts w:eastAsia="Calibri"/>
          <w:i/>
          <w:szCs w:val="26"/>
        </w:rPr>
      </w:pPr>
      <w:r>
        <w:rPr>
          <w:rFonts w:eastAsia="Calibri"/>
          <w:i/>
          <w:szCs w:val="26"/>
        </w:rPr>
        <w:t xml:space="preserve">Afstandskravene i §6 og 7 er overholdt. Afstandskravene i §8 delvist overholdt. </w:t>
      </w:r>
    </w:p>
    <w:p w:rsidR="00E07F36" w:rsidRDefault="00E07F36" w:rsidP="00E07F36">
      <w:pPr>
        <w:spacing w:after="0" w:line="240" w:lineRule="auto"/>
        <w:ind w:left="720"/>
        <w:contextualSpacing/>
        <w:rPr>
          <w:rFonts w:eastAsia="Calibri"/>
          <w:i/>
          <w:szCs w:val="26"/>
        </w:rPr>
      </w:pPr>
    </w:p>
    <w:p w:rsidR="00E07F36" w:rsidRDefault="00E07F36" w:rsidP="00E07F36">
      <w:pPr>
        <w:spacing w:after="0" w:line="240" w:lineRule="auto"/>
        <w:ind w:left="720"/>
        <w:contextualSpacing/>
        <w:rPr>
          <w:rFonts w:eastAsia="Calibri"/>
          <w:i/>
          <w:szCs w:val="26"/>
        </w:rPr>
      </w:pPr>
      <w:r>
        <w:rPr>
          <w:rFonts w:eastAsia="Calibri"/>
          <w:i/>
          <w:szCs w:val="26"/>
        </w:rPr>
        <w:t>Afstandskravet på 15 meter til beboelse på samme ejendom er ikke overholdt, men da produktionsarealet er i eksisterende staldbygning vurderer Mariagerfjord Kommune at der kan dispenseres fra afstandskravet til beboelse på samme ejendom.</w:t>
      </w:r>
    </w:p>
    <w:p w:rsidR="00E07F36" w:rsidRDefault="00E07F36" w:rsidP="00E07F36">
      <w:pPr>
        <w:spacing w:after="0" w:line="240" w:lineRule="auto"/>
        <w:ind w:left="720"/>
        <w:contextualSpacing/>
        <w:rPr>
          <w:rFonts w:eastAsia="Calibri"/>
          <w:i/>
          <w:szCs w:val="26"/>
        </w:rPr>
      </w:pPr>
    </w:p>
    <w:p w:rsidR="00E07F36" w:rsidRDefault="00E07F36" w:rsidP="00E07F36">
      <w:pPr>
        <w:spacing w:after="0" w:line="240" w:lineRule="auto"/>
        <w:ind w:left="720"/>
        <w:contextualSpacing/>
        <w:rPr>
          <w:rFonts w:eastAsia="Calibri"/>
          <w:i/>
          <w:szCs w:val="26"/>
        </w:rPr>
      </w:pPr>
      <w:r>
        <w:rPr>
          <w:rFonts w:eastAsia="Calibri"/>
          <w:i/>
          <w:szCs w:val="26"/>
        </w:rPr>
        <w:t xml:space="preserve">Afstandskravet på 25 meter til ikke almen vandindvendingsanlæg på samme ejendom er ikke overholdt, i forhold til produktionsarealet i den nordlige stald. Da Staldanlægget er i eksisterende stalde vurdere Mariagerfjord Kommune ikke at der er risiko for forøget forurening, det vurderes derfor at der kan meddeles dispensation for afstandskravet på 25 meter. </w:t>
      </w:r>
    </w:p>
    <w:p w:rsidR="00E07F36" w:rsidRDefault="00E07F36" w:rsidP="00E07F36">
      <w:pPr>
        <w:spacing w:after="0" w:line="240" w:lineRule="auto"/>
        <w:ind w:left="720"/>
        <w:contextualSpacing/>
        <w:rPr>
          <w:rFonts w:eastAsia="Calibri"/>
          <w:i/>
          <w:szCs w:val="26"/>
        </w:rPr>
      </w:pPr>
    </w:p>
    <w:p w:rsidR="00E07F36" w:rsidRDefault="00E07F36" w:rsidP="00E07F36">
      <w:pPr>
        <w:spacing w:after="0" w:line="240" w:lineRule="auto"/>
        <w:ind w:left="720"/>
        <w:contextualSpacing/>
        <w:rPr>
          <w:rFonts w:eastAsia="Calibri"/>
          <w:i/>
          <w:szCs w:val="26"/>
        </w:rPr>
      </w:pPr>
      <w:r>
        <w:rPr>
          <w:rFonts w:eastAsia="Calibri"/>
          <w:i/>
          <w:szCs w:val="26"/>
        </w:rPr>
        <w:t xml:space="preserve">Afstandskravet på 30 meter til naboske er ikke overholdt for det nordlige produktionsareal, der er ca. 20 meter til naboskel. Da nabomatriklen (Hvornum By, Hvornum, 22t) er en ubeboet matrikel og at produktionsarealet er i eksisterende bygninger vurdere Mariagerfjord Kommune at der kan meddeles dispensation for afstandskravet på 30 meter.      </w:t>
      </w:r>
    </w:p>
    <w:p w:rsidR="00E07F36" w:rsidRDefault="00E07F36" w:rsidP="00E07F36">
      <w:pPr>
        <w:ind w:left="1077"/>
        <w:contextualSpacing/>
        <w:rPr>
          <w:rFonts w:eastAsia="Calibri"/>
          <w:i/>
          <w:szCs w:val="26"/>
        </w:rPr>
      </w:pPr>
    </w:p>
    <w:p w:rsidR="00E07F36" w:rsidRDefault="00E07F36" w:rsidP="00E07F36">
      <w:pPr>
        <w:ind w:left="1077"/>
        <w:contextualSpacing/>
        <w:rPr>
          <w:rFonts w:eastAsia="Calibri"/>
          <w:szCs w:val="26"/>
          <w:lang w:eastAsia="da-DK"/>
        </w:rPr>
      </w:pPr>
    </w:p>
    <w:p w:rsidR="00E07F36" w:rsidRDefault="00E07F36" w:rsidP="00E07F36">
      <w:pPr>
        <w:numPr>
          <w:ilvl w:val="0"/>
          <w:numId w:val="8"/>
        </w:numPr>
        <w:spacing w:after="0" w:line="240" w:lineRule="auto"/>
        <w:rPr>
          <w:rFonts w:eastAsia="Times New Roman"/>
          <w:szCs w:val="26"/>
        </w:rPr>
      </w:pPr>
      <w:r>
        <w:rPr>
          <w:szCs w:val="26"/>
        </w:rPr>
        <w:t xml:space="preserve">Ejendommen er beliggende uden for sårbare eller beskyttede områder (Natura2000-områder, økologiske forbindelser, særlige naturområder, større uforstyrrede landskaber, geologiske områder, skovrejsningsområde, kystnærhedszone, områder udpeget til fritidsformål, lavbundsarealer, fredede områder, beskyttede naturtyper og beskyttede diger), og uden for bygge- og beskyttelseslinjer (sø-beskyttelseslinje, å-beskyttelseslinje, skovbyggelinje, strandbeskyttelseslinje, kirkebyggelinje, fortidsmindebeskyttelseslinje). </w:t>
      </w:r>
    </w:p>
    <w:p w:rsidR="00E07F36" w:rsidRDefault="00E07F36" w:rsidP="00E07F36">
      <w:pPr>
        <w:spacing w:after="0" w:line="240" w:lineRule="auto"/>
        <w:ind w:left="720"/>
        <w:rPr>
          <w:szCs w:val="26"/>
        </w:rPr>
      </w:pPr>
    </w:p>
    <w:p w:rsidR="00E07F36" w:rsidRDefault="00E07F36" w:rsidP="00E07F36">
      <w:pPr>
        <w:spacing w:after="0" w:line="240" w:lineRule="auto"/>
        <w:ind w:left="720"/>
        <w:rPr>
          <w:rFonts w:eastAsia="Times New Roman"/>
          <w:i/>
          <w:szCs w:val="26"/>
        </w:rPr>
      </w:pPr>
      <w:r>
        <w:rPr>
          <w:i/>
          <w:szCs w:val="26"/>
        </w:rPr>
        <w:t xml:space="preserve">Mariagerfjord Kommune vurderer at produktionsarealerne er placeret uden for ovenfornævnte områder. </w:t>
      </w:r>
    </w:p>
    <w:p w:rsidR="00E07F36" w:rsidRDefault="00E07F36" w:rsidP="00E07F36">
      <w:pPr>
        <w:rPr>
          <w:szCs w:val="26"/>
        </w:rPr>
      </w:pPr>
    </w:p>
    <w:p w:rsidR="00E07F36" w:rsidRDefault="00E07F36" w:rsidP="00E07F36">
      <w:pPr>
        <w:rPr>
          <w:b/>
          <w:szCs w:val="26"/>
        </w:rPr>
      </w:pPr>
      <w:r>
        <w:rPr>
          <w:b/>
          <w:szCs w:val="26"/>
        </w:rPr>
        <w:t>Samlet vurdering</w:t>
      </w:r>
    </w:p>
    <w:p w:rsidR="00E07F36" w:rsidRDefault="00E07F36" w:rsidP="00E07F36">
      <w:pPr>
        <w:rPr>
          <w:szCs w:val="26"/>
        </w:rPr>
      </w:pPr>
      <w:r>
        <w:rPr>
          <w:szCs w:val="26"/>
        </w:rPr>
        <w:t xml:space="preserve">Mariagerfjord Kommune vurderer, at den anmeldte etablering af et produktionsareal til husdyrbrug opfylder kravene for anmeldelse efter §25 i Husdyrgødningsbekendtgørelsen efter fravigelsesreglerne i 7, stk. 1 i Husdyrgodkendelsesbekendtgørelsen. </w:t>
      </w:r>
    </w:p>
    <w:p w:rsidR="00E07F36" w:rsidRDefault="00E07F36" w:rsidP="00E07F36">
      <w:pPr>
        <w:rPr>
          <w:szCs w:val="26"/>
        </w:rPr>
      </w:pPr>
      <w:r>
        <w:rPr>
          <w:szCs w:val="26"/>
        </w:rPr>
        <w:t>Det vurderes, at produktionsarealet og husdyrbruget ikke påvirker naboer negativt, eller at det medfører en negativ påvirkning på miljøet.</w:t>
      </w:r>
    </w:p>
    <w:p w:rsidR="00E07F36" w:rsidRDefault="00E07F36" w:rsidP="00E07F36">
      <w:pPr>
        <w:rPr>
          <w:szCs w:val="26"/>
        </w:rPr>
      </w:pPr>
      <w:r>
        <w:rPr>
          <w:szCs w:val="26"/>
        </w:rPr>
        <w:lastRenderedPageBreak/>
        <w:t xml:space="preserve">Det er derfor Mariagerfjord Kommunes vurdering, at det anmeldte produktionsareal til husdyrbrug kan etableres som anmeldt, uden at det kræver en tilladelse eller miljøgodkendelse efter Husdyrgodkendelsesloven. </w:t>
      </w:r>
    </w:p>
    <w:p w:rsidR="00E07F36" w:rsidRDefault="00E07F36" w:rsidP="00E07F36">
      <w:pPr>
        <w:rPr>
          <w:szCs w:val="26"/>
        </w:rPr>
      </w:pPr>
      <w:r>
        <w:rPr>
          <w:b/>
          <w:szCs w:val="26"/>
        </w:rPr>
        <w:t>Udnyttelse</w:t>
      </w:r>
    </w:p>
    <w:p w:rsidR="00E07F36" w:rsidRDefault="00E07F36" w:rsidP="00E07F36">
      <w:pPr>
        <w:rPr>
          <w:szCs w:val="26"/>
        </w:rPr>
      </w:pPr>
      <w:r>
        <w:rPr>
          <w:szCs w:val="26"/>
        </w:rPr>
        <w:t xml:space="preserve">Denne afgørelse betragtes som påbegyndt udnyttet på produktionsarealet, når afgørelsen er meddelt. </w:t>
      </w:r>
    </w:p>
    <w:p w:rsidR="00E07F36" w:rsidRDefault="00E07F36" w:rsidP="00E07F36">
      <w:pPr>
        <w:rPr>
          <w:b/>
          <w:szCs w:val="26"/>
        </w:rPr>
      </w:pPr>
      <w:r>
        <w:rPr>
          <w:b/>
          <w:szCs w:val="26"/>
        </w:rPr>
        <w:t>Kontinuitet</w:t>
      </w:r>
    </w:p>
    <w:p w:rsidR="00E07F36" w:rsidRDefault="00E07F36" w:rsidP="00E07F36">
      <w:pPr>
        <w:rPr>
          <w:szCs w:val="26"/>
        </w:rPr>
      </w:pPr>
      <w:r>
        <w:rPr>
          <w:szCs w:val="26"/>
        </w:rPr>
        <w:t xml:space="preserve">Hvis afgørelsen har været udnyttet ifølge ovenstående, men herefter ikke har været driftsmæssigt udnyttet, helt eller delvist, i tre på hinanden følgende år, så bortfalder den del af produktionsarealet, der ikke har været udnyttet de seneste tre år. Udnyttelse anses for at foreligge, når mindst 25 pct. af produktionsarealet har været driftsmæssigt udnyttet. Ved driftsmæssig udnyttelse forstås, at der på det pågældende areal produceres mindst 50 pct. af det mulige inden for rammerne af dyrevelfærdskrav eller andre relevante krav. </w:t>
      </w:r>
    </w:p>
    <w:p w:rsidR="00E07F36" w:rsidRDefault="00E07F36" w:rsidP="00E07F36">
      <w:pPr>
        <w:rPr>
          <w:b/>
          <w:szCs w:val="26"/>
        </w:rPr>
      </w:pPr>
    </w:p>
    <w:p w:rsidR="00E07F36" w:rsidRDefault="00E07F36" w:rsidP="00E07F36">
      <w:pPr>
        <w:rPr>
          <w:b/>
          <w:szCs w:val="26"/>
        </w:rPr>
      </w:pPr>
    </w:p>
    <w:p w:rsidR="00E07F36" w:rsidRDefault="00E07F36" w:rsidP="00E07F36">
      <w:pPr>
        <w:rPr>
          <w:szCs w:val="26"/>
        </w:rPr>
      </w:pPr>
      <w:r>
        <w:rPr>
          <w:b/>
          <w:szCs w:val="26"/>
        </w:rPr>
        <w:t>Offentliggørelse</w:t>
      </w:r>
    </w:p>
    <w:p w:rsidR="00E07F36" w:rsidRDefault="00E07F36" w:rsidP="00E07F36">
      <w:pPr>
        <w:rPr>
          <w:szCs w:val="26"/>
        </w:rPr>
      </w:pPr>
      <w:r>
        <w:rPr>
          <w:szCs w:val="26"/>
        </w:rPr>
        <w:t xml:space="preserve">Den endelige afgørelse annonceres på Mariagerfjord Kommunes hjemmeside og Digital MiljøAdministration den </w:t>
      </w:r>
      <w:r w:rsidR="000A3D6A">
        <w:rPr>
          <w:szCs w:val="26"/>
        </w:rPr>
        <w:t>fredag den 15 september 2023.</w:t>
      </w:r>
    </w:p>
    <w:p w:rsidR="00E07F36" w:rsidRDefault="00E07F36" w:rsidP="00E07F36">
      <w:pPr>
        <w:rPr>
          <w:rFonts w:cs="Arial"/>
        </w:rPr>
      </w:pPr>
      <w:r>
        <w:rPr>
          <w:rFonts w:cs="Arial"/>
        </w:rPr>
        <w:t>Venlig hilsen</w:t>
      </w:r>
    </w:p>
    <w:p w:rsidR="00E07F36" w:rsidRDefault="00E07F36" w:rsidP="00E07F36">
      <w:pPr>
        <w:rPr>
          <w:rFonts w:cs="Arial"/>
        </w:rPr>
      </w:pPr>
      <w:r>
        <w:rPr>
          <w:rFonts w:cs="Arial"/>
        </w:rPr>
        <w:t>Jannik Mørk Skovgaard Lauritzen</w:t>
      </w:r>
      <w:r>
        <w:rPr>
          <w:rFonts w:cs="Arial"/>
        </w:rPr>
        <w:br/>
        <w:t>Biolog og miljømedarbejder</w:t>
      </w:r>
    </w:p>
    <w:p w:rsidR="00ED14AE" w:rsidRPr="00D56B36" w:rsidRDefault="00ED14AE" w:rsidP="00E07F36">
      <w:pPr>
        <w:pStyle w:val="Overskrift1"/>
      </w:pPr>
    </w:p>
    <w:sectPr w:rsidR="00ED14AE" w:rsidRPr="00D56B36" w:rsidSect="009D5830">
      <w:headerReference w:type="default" r:id="rId14"/>
      <w:footerReference w:type="default" r:id="rId15"/>
      <w:pgSz w:w="11906" w:h="16838"/>
      <w:pgMar w:top="2268" w:right="1548" w:bottom="1548" w:left="154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A85" w:rsidRDefault="000C6A85" w:rsidP="005B7705">
      <w:pPr>
        <w:spacing w:after="0" w:line="240" w:lineRule="auto"/>
      </w:pPr>
      <w:r>
        <w:separator/>
      </w:r>
    </w:p>
  </w:endnote>
  <w:endnote w:type="continuationSeparator" w:id="0">
    <w:p w:rsidR="000C6A85" w:rsidRDefault="000C6A85" w:rsidP="005B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827839"/>
      <w:docPartObj>
        <w:docPartGallery w:val="Page Numbers (Bottom of Page)"/>
        <w:docPartUnique/>
      </w:docPartObj>
    </w:sdtPr>
    <w:sdtEndPr/>
    <w:sdtContent>
      <w:p w:rsidR="00E30339" w:rsidRDefault="00E30339">
        <w:pPr>
          <w:pStyle w:val="Sidefod"/>
          <w:jc w:val="center"/>
        </w:pPr>
        <w:r>
          <w:fldChar w:fldCharType="begin"/>
        </w:r>
        <w:r>
          <w:instrText>PAGE   \* MERGEFORMAT</w:instrText>
        </w:r>
        <w:r>
          <w:fldChar w:fldCharType="separate"/>
        </w:r>
        <w:r w:rsidR="001A56B5">
          <w:rPr>
            <w:noProof/>
          </w:rPr>
          <w:t>1</w:t>
        </w:r>
        <w:r>
          <w:fldChar w:fldCharType="end"/>
        </w:r>
      </w:p>
    </w:sdtContent>
  </w:sdt>
  <w:p w:rsidR="00E30339" w:rsidRDefault="00E3033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A85" w:rsidRDefault="000C6A85" w:rsidP="005B7705">
      <w:pPr>
        <w:spacing w:after="0" w:line="240" w:lineRule="auto"/>
      </w:pPr>
      <w:r>
        <w:separator/>
      </w:r>
    </w:p>
  </w:footnote>
  <w:footnote w:type="continuationSeparator" w:id="0">
    <w:p w:rsidR="000C6A85" w:rsidRDefault="000C6A85" w:rsidP="005B7705">
      <w:pPr>
        <w:spacing w:after="0" w:line="240" w:lineRule="auto"/>
      </w:pPr>
      <w:r>
        <w:continuationSeparator/>
      </w:r>
    </w:p>
  </w:footnote>
  <w:footnote w:id="1">
    <w:p w:rsidR="00E07F36" w:rsidRDefault="00E07F36" w:rsidP="00E07F36">
      <w:pPr>
        <w:pStyle w:val="Fodnotetekst"/>
        <w:rPr>
          <w:rFonts w:asciiTheme="minorHAnsi" w:hAnsiTheme="minorHAnsi" w:cstheme="minorHAnsi"/>
        </w:rPr>
      </w:pPr>
      <w:r>
        <w:rPr>
          <w:rStyle w:val="Fodnotehenvisning"/>
          <w:rFonts w:asciiTheme="minorHAnsi" w:hAnsiTheme="minorHAnsi" w:cstheme="minorHAnsi"/>
        </w:rPr>
        <w:footnoteRef/>
      </w:r>
      <w:r>
        <w:rPr>
          <w:rFonts w:asciiTheme="minorHAnsi" w:hAnsiTheme="minorHAnsi" w:cstheme="minorHAnsi"/>
        </w:rPr>
        <w:t xml:space="preserve"> Bekendtgørelse af 2021-11-29 nr. 2243 om miljøregulering af dyrehold og om opbevaring af gødning.</w:t>
      </w:r>
    </w:p>
  </w:footnote>
  <w:footnote w:id="2">
    <w:p w:rsidR="00E07F36" w:rsidRDefault="00E07F36" w:rsidP="00E07F36">
      <w:pPr>
        <w:pStyle w:val="Fodnotetekst"/>
        <w:rPr>
          <w:rFonts w:ascii="Garamond" w:hAnsi="Garamond"/>
        </w:rPr>
      </w:pPr>
      <w:r>
        <w:rPr>
          <w:rStyle w:val="Fodnotehenvisning"/>
          <w:rFonts w:asciiTheme="minorHAnsi" w:hAnsiTheme="minorHAnsi" w:cstheme="minorHAnsi"/>
        </w:rPr>
        <w:footnoteRef/>
      </w:r>
      <w:r>
        <w:rPr>
          <w:rFonts w:asciiTheme="minorHAnsi" w:hAnsiTheme="minorHAnsi" w:cstheme="minorHAnsi"/>
        </w:rPr>
        <w:t xml:space="preserve"> Bekendtgørelse nr. 520 af den 1. maj 2019 af lov om husdyrbrug og anvendelse af gødning m.v.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05" w:rsidRDefault="002250D4" w:rsidP="00B23F6A">
    <w:pPr>
      <w:pStyle w:val="Sidehoved"/>
      <w:tabs>
        <w:tab w:val="clear" w:pos="4819"/>
        <w:tab w:val="clear" w:pos="9638"/>
        <w:tab w:val="left" w:pos="6509"/>
      </w:tabs>
    </w:pPr>
    <w:r>
      <w:rPr>
        <w:noProof/>
        <w:lang w:eastAsia="da-DK"/>
      </w:rPr>
      <w:drawing>
        <wp:anchor distT="0" distB="0" distL="114300" distR="114300" simplePos="0" relativeHeight="251663360" behindDoc="0" locked="0" layoutInCell="1" allowOverlap="1" wp14:anchorId="2FA9B372" wp14:editId="1C55E625">
          <wp:simplePos x="0" y="0"/>
          <wp:positionH relativeFrom="column">
            <wp:posOffset>3731260</wp:posOffset>
          </wp:positionH>
          <wp:positionV relativeFrom="paragraph">
            <wp:posOffset>-88265</wp:posOffset>
          </wp:positionV>
          <wp:extent cx="1878965" cy="622300"/>
          <wp:effectExtent l="0" t="0" r="6985" b="6350"/>
          <wp:wrapNone/>
          <wp:docPr id="7" name="Billede 7" descr="C:\Users\kjami\Desktop\Designlinje\Logoer\Låste Logoer (Sabrina)\jpg-logoer\Mariagerfjord-primær-kommunelogo-stående-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ami\Desktop\Designlinje\Logoer\Låste Logoer (Sabrina)\jpg-logoer\Mariagerfjord-primær-kommunelogo-stående-A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896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F6A">
      <w:tab/>
    </w:r>
  </w:p>
  <w:p w:rsidR="006D274C" w:rsidRDefault="009A1D68" w:rsidP="009A1D68">
    <w:pPr>
      <w:pStyle w:val="Sidehoved"/>
      <w:tabs>
        <w:tab w:val="clear" w:pos="4819"/>
        <w:tab w:val="clear" w:pos="9638"/>
        <w:tab w:val="center" w:pos="442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E34"/>
    <w:multiLevelType w:val="hybridMultilevel"/>
    <w:tmpl w:val="7582643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 w15:restartNumberingAfterBreak="0">
    <w:nsid w:val="125D2D39"/>
    <w:multiLevelType w:val="hybridMultilevel"/>
    <w:tmpl w:val="6C7A08E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BED13A5"/>
    <w:multiLevelType w:val="hybridMultilevel"/>
    <w:tmpl w:val="BBCCF1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023229"/>
    <w:multiLevelType w:val="hybridMultilevel"/>
    <w:tmpl w:val="3856CD56"/>
    <w:lvl w:ilvl="0" w:tplc="04060005">
      <w:start w:val="1"/>
      <w:numFmt w:val="bullet"/>
      <w:lvlText w:val=""/>
      <w:lvlJc w:val="left"/>
      <w:pPr>
        <w:ind w:left="1077" w:hanging="360"/>
      </w:pPr>
      <w:rPr>
        <w:rFonts w:ascii="Wingdings" w:hAnsi="Wingdings" w:hint="default"/>
      </w:rPr>
    </w:lvl>
    <w:lvl w:ilvl="1" w:tplc="04060003">
      <w:start w:val="1"/>
      <w:numFmt w:val="bullet"/>
      <w:lvlText w:val="o"/>
      <w:lvlJc w:val="left"/>
      <w:pPr>
        <w:ind w:left="1797" w:hanging="360"/>
      </w:pPr>
      <w:rPr>
        <w:rFonts w:ascii="Courier New" w:hAnsi="Courier New" w:cs="Courier New" w:hint="default"/>
      </w:rPr>
    </w:lvl>
    <w:lvl w:ilvl="2" w:tplc="04060005">
      <w:start w:val="1"/>
      <w:numFmt w:val="bullet"/>
      <w:lvlText w:val=""/>
      <w:lvlJc w:val="left"/>
      <w:pPr>
        <w:ind w:left="2517" w:hanging="360"/>
      </w:pPr>
      <w:rPr>
        <w:rFonts w:ascii="Wingdings" w:hAnsi="Wingdings" w:hint="default"/>
      </w:rPr>
    </w:lvl>
    <w:lvl w:ilvl="3" w:tplc="04060001">
      <w:start w:val="1"/>
      <w:numFmt w:val="bullet"/>
      <w:lvlText w:val=""/>
      <w:lvlJc w:val="left"/>
      <w:pPr>
        <w:ind w:left="3237" w:hanging="360"/>
      </w:pPr>
      <w:rPr>
        <w:rFonts w:ascii="Symbol" w:hAnsi="Symbol" w:hint="default"/>
      </w:rPr>
    </w:lvl>
    <w:lvl w:ilvl="4" w:tplc="04060003">
      <w:start w:val="1"/>
      <w:numFmt w:val="bullet"/>
      <w:lvlText w:val="o"/>
      <w:lvlJc w:val="left"/>
      <w:pPr>
        <w:ind w:left="3957" w:hanging="360"/>
      </w:pPr>
      <w:rPr>
        <w:rFonts w:ascii="Courier New" w:hAnsi="Courier New" w:cs="Courier New" w:hint="default"/>
      </w:rPr>
    </w:lvl>
    <w:lvl w:ilvl="5" w:tplc="04060005">
      <w:start w:val="1"/>
      <w:numFmt w:val="bullet"/>
      <w:lvlText w:val=""/>
      <w:lvlJc w:val="left"/>
      <w:pPr>
        <w:ind w:left="4677" w:hanging="360"/>
      </w:pPr>
      <w:rPr>
        <w:rFonts w:ascii="Wingdings" w:hAnsi="Wingdings" w:hint="default"/>
      </w:rPr>
    </w:lvl>
    <w:lvl w:ilvl="6" w:tplc="04060001">
      <w:start w:val="1"/>
      <w:numFmt w:val="bullet"/>
      <w:lvlText w:val=""/>
      <w:lvlJc w:val="left"/>
      <w:pPr>
        <w:ind w:left="5397" w:hanging="360"/>
      </w:pPr>
      <w:rPr>
        <w:rFonts w:ascii="Symbol" w:hAnsi="Symbol" w:hint="default"/>
      </w:rPr>
    </w:lvl>
    <w:lvl w:ilvl="7" w:tplc="04060003">
      <w:start w:val="1"/>
      <w:numFmt w:val="bullet"/>
      <w:lvlText w:val="o"/>
      <w:lvlJc w:val="left"/>
      <w:pPr>
        <w:ind w:left="6117" w:hanging="360"/>
      </w:pPr>
      <w:rPr>
        <w:rFonts w:ascii="Courier New" w:hAnsi="Courier New" w:cs="Courier New" w:hint="default"/>
      </w:rPr>
    </w:lvl>
    <w:lvl w:ilvl="8" w:tplc="04060005">
      <w:start w:val="1"/>
      <w:numFmt w:val="bullet"/>
      <w:lvlText w:val=""/>
      <w:lvlJc w:val="left"/>
      <w:pPr>
        <w:ind w:left="6837" w:hanging="360"/>
      </w:pPr>
      <w:rPr>
        <w:rFonts w:ascii="Wingdings" w:hAnsi="Wingdings" w:hint="default"/>
      </w:rPr>
    </w:lvl>
  </w:abstractNum>
  <w:abstractNum w:abstractNumId="4" w15:restartNumberingAfterBreak="0">
    <w:nsid w:val="39E6682B"/>
    <w:multiLevelType w:val="hybridMultilevel"/>
    <w:tmpl w:val="1E98F9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59B82374"/>
    <w:multiLevelType w:val="hybridMultilevel"/>
    <w:tmpl w:val="8F94B1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5CDC358B"/>
    <w:multiLevelType w:val="hybridMultilevel"/>
    <w:tmpl w:val="F81A8CB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05">
      <w:start w:val="1"/>
      <w:numFmt w:val="bullet"/>
      <w:lvlText w:val=""/>
      <w:lvlJc w:val="left"/>
      <w:pPr>
        <w:ind w:left="2160" w:hanging="180"/>
      </w:pPr>
      <w:rPr>
        <w:rFonts w:ascii="Wingdings" w:hAnsi="Wingdings" w:hint="default"/>
      </w:r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7A113ED1"/>
    <w:multiLevelType w:val="hybridMultilevel"/>
    <w:tmpl w:val="3006AF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4"/>
  </w:num>
  <w:num w:numId="6">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304"/>
  <w:autoHyphenation/>
  <w:hyphenationZone w:val="425"/>
  <w:drawingGridHorizontalSpacing w:val="981"/>
  <w:drawingGridVerticalSpacing w:val="981"/>
  <w:doNotUseMarginsForDrawingGridOrigin/>
  <w:drawingGridHorizontalOrigin w:val="567"/>
  <w:drawingGridVerticalOrigin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B2"/>
    <w:rsid w:val="00022109"/>
    <w:rsid w:val="00054B36"/>
    <w:rsid w:val="00062D18"/>
    <w:rsid w:val="000A0A22"/>
    <w:rsid w:val="000A3D6A"/>
    <w:rsid w:val="000C6A85"/>
    <w:rsid w:val="000F1DC2"/>
    <w:rsid w:val="00192A89"/>
    <w:rsid w:val="001A56B5"/>
    <w:rsid w:val="002250D4"/>
    <w:rsid w:val="00233E52"/>
    <w:rsid w:val="0024250C"/>
    <w:rsid w:val="002A4CB2"/>
    <w:rsid w:val="00416A7D"/>
    <w:rsid w:val="00421381"/>
    <w:rsid w:val="00457C76"/>
    <w:rsid w:val="004906F9"/>
    <w:rsid w:val="00490C4F"/>
    <w:rsid w:val="00511E1A"/>
    <w:rsid w:val="00527270"/>
    <w:rsid w:val="00530EE0"/>
    <w:rsid w:val="00537274"/>
    <w:rsid w:val="005B7705"/>
    <w:rsid w:val="00655479"/>
    <w:rsid w:val="00674EEF"/>
    <w:rsid w:val="006D274C"/>
    <w:rsid w:val="006D53AC"/>
    <w:rsid w:val="006E0437"/>
    <w:rsid w:val="00735C82"/>
    <w:rsid w:val="007660DC"/>
    <w:rsid w:val="007F483F"/>
    <w:rsid w:val="007F7AE8"/>
    <w:rsid w:val="00890DB9"/>
    <w:rsid w:val="00895CC0"/>
    <w:rsid w:val="009610BC"/>
    <w:rsid w:val="009748C9"/>
    <w:rsid w:val="00987830"/>
    <w:rsid w:val="00987F92"/>
    <w:rsid w:val="009A1D68"/>
    <w:rsid w:val="009B4081"/>
    <w:rsid w:val="009D5830"/>
    <w:rsid w:val="00A03230"/>
    <w:rsid w:val="00A75FD6"/>
    <w:rsid w:val="00AA7292"/>
    <w:rsid w:val="00AC4A6C"/>
    <w:rsid w:val="00AF5BAD"/>
    <w:rsid w:val="00B0533D"/>
    <w:rsid w:val="00B23F6A"/>
    <w:rsid w:val="00B86675"/>
    <w:rsid w:val="00B9159A"/>
    <w:rsid w:val="00C352EF"/>
    <w:rsid w:val="00D13BF7"/>
    <w:rsid w:val="00D44946"/>
    <w:rsid w:val="00D56B36"/>
    <w:rsid w:val="00E07F36"/>
    <w:rsid w:val="00E30339"/>
    <w:rsid w:val="00E72344"/>
    <w:rsid w:val="00EC301F"/>
    <w:rsid w:val="00EC6A73"/>
    <w:rsid w:val="00ED14AE"/>
    <w:rsid w:val="00F07397"/>
    <w:rsid w:val="00F80F84"/>
    <w:rsid w:val="00FB60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B1B7FB-31DD-4BE5-A1D9-C22F67DF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36"/>
    <w:rPr>
      <w:rFonts w:ascii="Arial" w:hAnsi="Arial"/>
    </w:rPr>
  </w:style>
  <w:style w:type="paragraph" w:styleId="Overskrift1">
    <w:name w:val="heading 1"/>
    <w:basedOn w:val="Normal"/>
    <w:next w:val="Normal"/>
    <w:link w:val="Overskrift1Tegn"/>
    <w:uiPriority w:val="9"/>
    <w:qFormat/>
    <w:rsid w:val="00AA7292"/>
    <w:pPr>
      <w:keepNext/>
      <w:keepLines/>
      <w:spacing w:after="120"/>
      <w:outlineLvl w:val="0"/>
    </w:pPr>
    <w:rPr>
      <w:rFonts w:eastAsiaTheme="majorEastAsia" w:cstheme="majorBidi"/>
      <w:b/>
      <w:color w:val="000000" w:themeColor="text1"/>
      <w:sz w:val="26"/>
      <w:szCs w:val="32"/>
    </w:rPr>
  </w:style>
  <w:style w:type="paragraph" w:styleId="Overskrift2">
    <w:name w:val="heading 2"/>
    <w:basedOn w:val="Normal"/>
    <w:next w:val="Normal"/>
    <w:link w:val="Overskrift2Tegn"/>
    <w:uiPriority w:val="9"/>
    <w:unhideWhenUsed/>
    <w:qFormat/>
    <w:rsid w:val="00AA7292"/>
    <w:pPr>
      <w:keepNext/>
      <w:keepLines/>
      <w:spacing w:before="2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unhideWhenUsed/>
    <w:rsid w:val="007F4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B770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7705"/>
    <w:rPr>
      <w:rFonts w:ascii="Tahoma" w:hAnsi="Tahoma" w:cs="Tahoma"/>
      <w:sz w:val="16"/>
      <w:szCs w:val="16"/>
    </w:rPr>
  </w:style>
  <w:style w:type="paragraph" w:styleId="Sidehoved">
    <w:name w:val="header"/>
    <w:basedOn w:val="Normal"/>
    <w:link w:val="SidehovedTegn"/>
    <w:uiPriority w:val="99"/>
    <w:unhideWhenUsed/>
    <w:rsid w:val="005B770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B7705"/>
  </w:style>
  <w:style w:type="paragraph" w:styleId="Sidefod">
    <w:name w:val="footer"/>
    <w:basedOn w:val="Normal"/>
    <w:link w:val="SidefodTegn"/>
    <w:uiPriority w:val="99"/>
    <w:unhideWhenUsed/>
    <w:rsid w:val="005B770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B7705"/>
  </w:style>
  <w:style w:type="character" w:customStyle="1" w:styleId="Overskrift3Tegn">
    <w:name w:val="Overskrift 3 Tegn"/>
    <w:basedOn w:val="Standardskrifttypeiafsnit"/>
    <w:link w:val="Overskrift3"/>
    <w:uiPriority w:val="9"/>
    <w:rsid w:val="007F483F"/>
    <w:rPr>
      <w:rFonts w:asciiTheme="majorHAnsi" w:eastAsiaTheme="majorEastAsia" w:hAnsiTheme="majorHAnsi" w:cstheme="majorBidi"/>
      <w:b/>
      <w:bCs/>
      <w:color w:val="4F81BD" w:themeColor="accent1"/>
    </w:rPr>
  </w:style>
  <w:style w:type="character" w:styleId="Hyperlink">
    <w:name w:val="Hyperlink"/>
    <w:basedOn w:val="Standardskrifttypeiafsnit"/>
    <w:uiPriority w:val="99"/>
    <w:unhideWhenUsed/>
    <w:rsid w:val="007F483F"/>
    <w:rPr>
      <w:color w:val="0000FF" w:themeColor="hyperlink"/>
      <w:u w:val="single"/>
    </w:rPr>
  </w:style>
  <w:style w:type="paragraph" w:styleId="Ingenafstand">
    <w:name w:val="No Spacing"/>
    <w:uiPriority w:val="1"/>
    <w:rsid w:val="004906F9"/>
    <w:pPr>
      <w:spacing w:after="0" w:line="240" w:lineRule="auto"/>
    </w:pPr>
  </w:style>
  <w:style w:type="character" w:customStyle="1" w:styleId="Overskrift1Tegn">
    <w:name w:val="Overskrift 1 Tegn"/>
    <w:basedOn w:val="Standardskrifttypeiafsnit"/>
    <w:link w:val="Overskrift1"/>
    <w:uiPriority w:val="9"/>
    <w:rsid w:val="00AA7292"/>
    <w:rPr>
      <w:rFonts w:ascii="Arial" w:eastAsiaTheme="majorEastAsia" w:hAnsi="Arial" w:cstheme="majorBidi"/>
      <w:b/>
      <w:color w:val="000000" w:themeColor="text1"/>
      <w:sz w:val="26"/>
      <w:szCs w:val="32"/>
    </w:rPr>
  </w:style>
  <w:style w:type="character" w:customStyle="1" w:styleId="Overskrift2Tegn">
    <w:name w:val="Overskrift 2 Tegn"/>
    <w:basedOn w:val="Standardskrifttypeiafsnit"/>
    <w:link w:val="Overskrift2"/>
    <w:uiPriority w:val="9"/>
    <w:rsid w:val="00AA7292"/>
    <w:rPr>
      <w:rFonts w:ascii="Arial" w:eastAsiaTheme="majorEastAsia" w:hAnsi="Arial" w:cstheme="majorBidi"/>
      <w:b/>
      <w:color w:val="000000" w:themeColor="text1"/>
      <w:szCs w:val="26"/>
    </w:rPr>
  </w:style>
  <w:style w:type="paragraph" w:styleId="Listeafsnit">
    <w:name w:val="List Paragraph"/>
    <w:basedOn w:val="Normal"/>
    <w:uiPriority w:val="34"/>
    <w:qFormat/>
    <w:rsid w:val="00655479"/>
    <w:pPr>
      <w:ind w:left="720"/>
      <w:contextualSpacing/>
    </w:pPr>
  </w:style>
  <w:style w:type="character" w:styleId="Kommentarhenvisning">
    <w:name w:val="annotation reference"/>
    <w:basedOn w:val="Standardskrifttypeiafsnit"/>
    <w:uiPriority w:val="99"/>
    <w:semiHidden/>
    <w:unhideWhenUsed/>
    <w:rsid w:val="00192A89"/>
    <w:rPr>
      <w:sz w:val="16"/>
      <w:szCs w:val="16"/>
    </w:rPr>
  </w:style>
  <w:style w:type="paragraph" w:styleId="Kommentartekst">
    <w:name w:val="annotation text"/>
    <w:basedOn w:val="Normal"/>
    <w:link w:val="KommentartekstTegn"/>
    <w:uiPriority w:val="99"/>
    <w:semiHidden/>
    <w:unhideWhenUsed/>
    <w:rsid w:val="00192A8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92A89"/>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92A89"/>
    <w:rPr>
      <w:b/>
      <w:bCs/>
    </w:rPr>
  </w:style>
  <w:style w:type="character" w:customStyle="1" w:styleId="KommentaremneTegn">
    <w:name w:val="Kommentaremne Tegn"/>
    <w:basedOn w:val="KommentartekstTegn"/>
    <w:link w:val="Kommentaremne"/>
    <w:uiPriority w:val="99"/>
    <w:semiHidden/>
    <w:rsid w:val="00192A89"/>
    <w:rPr>
      <w:rFonts w:ascii="Arial" w:hAnsi="Arial"/>
      <w:b/>
      <w:bCs/>
      <w:sz w:val="20"/>
      <w:szCs w:val="20"/>
    </w:rPr>
  </w:style>
  <w:style w:type="table" w:styleId="Tabel-Gitter">
    <w:name w:val="Table Grid"/>
    <w:basedOn w:val="Tabel-Normal"/>
    <w:uiPriority w:val="39"/>
    <w:rsid w:val="002A4CB2"/>
    <w:pPr>
      <w:spacing w:after="0" w:line="240" w:lineRule="auto"/>
    </w:pPr>
    <w:rPr>
      <w:rFonts w:ascii="Arial" w:eastAsia="Times New Roman"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rsid w:val="002A4CB2"/>
    <w:rPr>
      <w:rFonts w:cs="Times New Roman"/>
      <w:b/>
      <w:bCs/>
    </w:rPr>
  </w:style>
  <w:style w:type="paragraph" w:styleId="Fodnotetekst">
    <w:name w:val="footnote text"/>
    <w:basedOn w:val="Normal"/>
    <w:link w:val="FodnotetekstTegn"/>
    <w:uiPriority w:val="99"/>
    <w:semiHidden/>
    <w:unhideWhenUsed/>
    <w:rsid w:val="00E07F36"/>
    <w:pPr>
      <w:spacing w:after="0" w:line="240" w:lineRule="auto"/>
    </w:pPr>
    <w:rPr>
      <w:rFonts w:ascii="Calibri" w:eastAsia="Calibri" w:hAnsi="Calibri" w:cs="Times New Roman"/>
      <w:sz w:val="20"/>
      <w:szCs w:val="20"/>
    </w:rPr>
  </w:style>
  <w:style w:type="character" w:customStyle="1" w:styleId="FodnotetekstTegn">
    <w:name w:val="Fodnotetekst Tegn"/>
    <w:basedOn w:val="Standardskrifttypeiafsnit"/>
    <w:link w:val="Fodnotetekst"/>
    <w:uiPriority w:val="99"/>
    <w:semiHidden/>
    <w:rsid w:val="00E07F36"/>
    <w:rPr>
      <w:rFonts w:ascii="Calibri" w:eastAsia="Calibri" w:hAnsi="Calibri" w:cs="Times New Roman"/>
      <w:sz w:val="20"/>
      <w:szCs w:val="20"/>
    </w:rPr>
  </w:style>
  <w:style w:type="character" w:styleId="Fodnotehenvisning">
    <w:name w:val="footnote reference"/>
    <w:uiPriority w:val="99"/>
    <w:semiHidden/>
    <w:unhideWhenUsed/>
    <w:rsid w:val="00E07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4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brug@mariagerfjord.dk" TargetMode="External"/><Relationship Id="rId13" Type="http://schemas.openxmlformats.org/officeDocument/2006/relationships/hyperlink" Target="https://naevneneshus.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evneneshus.dk/" TargetMode="External"/><Relationship Id="rId4" Type="http://schemas.openxmlformats.org/officeDocument/2006/relationships/settings" Target="settings.xml"/><Relationship Id="rId9" Type="http://schemas.openxmlformats.org/officeDocument/2006/relationships/hyperlink" Target="mailto:tfs@agrinord.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F560-55C2-4921-8AED-80B2E57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6981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Jannik Mørk Skovgaard Lauritzen</dc:creator>
  <cp:lastModifiedBy>Jannik Mørk Skovgaard Lauritzen</cp:lastModifiedBy>
  <cp:revision>2</cp:revision>
  <cp:lastPrinted>2016-11-02T11:08:00Z</cp:lastPrinted>
  <dcterms:created xsi:type="dcterms:W3CDTF">2023-09-13T08:27:00Z</dcterms:created>
  <dcterms:modified xsi:type="dcterms:W3CDTF">2023-09-13T08:27:00Z</dcterms:modified>
</cp:coreProperties>
</file>