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13A0" w14:textId="77777777" w:rsidR="000B38DC" w:rsidRPr="00E44549" w:rsidRDefault="006D0B8E" w:rsidP="009B6AE3">
      <w:pPr>
        <w:spacing w:after="0" w:line="276" w:lineRule="auto"/>
        <w:rPr>
          <w:rFonts w:ascii="Verdana" w:hAnsi="Verdana" w:cs="Times New Roman"/>
          <w:b/>
        </w:rPr>
      </w:pPr>
      <w:r w:rsidRPr="00E44549">
        <w:rPr>
          <w:rFonts w:ascii="Verdana" w:hAnsi="Verdana" w:cs="Times New Roman"/>
          <w:b/>
        </w:rPr>
        <w:t>Miljøtilsynsrapport</w:t>
      </w:r>
    </w:p>
    <w:p w14:paraId="1A30D3B1" w14:textId="7CA1E26A" w:rsidR="006D0B8E" w:rsidRPr="00E44549" w:rsidRDefault="009B6AE3" w:rsidP="00767D27">
      <w:pPr>
        <w:spacing w:after="360" w:line="276" w:lineRule="auto"/>
        <w:rPr>
          <w:rFonts w:ascii="Verdana" w:hAnsi="Verdana" w:cs="Times New Roman"/>
          <w:sz w:val="18"/>
          <w:szCs w:val="18"/>
        </w:rPr>
      </w:pPr>
      <w:r w:rsidRPr="00E44549">
        <w:rPr>
          <w:rFonts w:ascii="Verdana" w:hAnsi="Verdana" w:cs="Times New Roman"/>
          <w:sz w:val="18"/>
          <w:szCs w:val="18"/>
        </w:rPr>
        <w:t>Sagsnr.</w:t>
      </w:r>
      <w:r w:rsidR="00B11A68" w:rsidRPr="00E44549">
        <w:rPr>
          <w:rFonts w:ascii="Verdana" w:hAnsi="Verdana" w:cs="Times New Roman"/>
          <w:sz w:val="18"/>
          <w:szCs w:val="18"/>
        </w:rPr>
        <w:t>:</w:t>
      </w:r>
      <w:r w:rsidR="009B0415">
        <w:rPr>
          <w:rFonts w:ascii="Verdana" w:hAnsi="Verdana" w:cs="Times New Roman"/>
          <w:sz w:val="18"/>
          <w:szCs w:val="18"/>
        </w:rPr>
        <w:tab/>
      </w:r>
      <w:r w:rsidR="00BB2688">
        <w:rPr>
          <w:rFonts w:ascii="Verdana" w:hAnsi="Verdana" w:cs="Times New Roman"/>
          <w:sz w:val="18"/>
          <w:szCs w:val="18"/>
        </w:rPr>
        <w:tab/>
      </w:r>
    </w:p>
    <w:tbl>
      <w:tblPr>
        <w:tblStyle w:val="Tabel-Gitter"/>
        <w:tblW w:w="0" w:type="auto"/>
        <w:tblLook w:val="04A0" w:firstRow="1" w:lastRow="0" w:firstColumn="1" w:lastColumn="0" w:noHBand="0" w:noVBand="1"/>
      </w:tblPr>
      <w:tblGrid>
        <w:gridCol w:w="3397"/>
        <w:gridCol w:w="5387"/>
      </w:tblGrid>
      <w:tr w:rsidR="006D0B8E" w:rsidRPr="00E44549" w14:paraId="59263D56" w14:textId="77777777" w:rsidTr="00532BBB">
        <w:tc>
          <w:tcPr>
            <w:tcW w:w="3397" w:type="dxa"/>
            <w:shd w:val="clear" w:color="auto" w:fill="D9D9D9" w:themeFill="background1" w:themeFillShade="D9"/>
          </w:tcPr>
          <w:p w14:paraId="692F8585" w14:textId="77777777" w:rsidR="00532BBB" w:rsidRPr="00E44549" w:rsidRDefault="00532BBB" w:rsidP="00E513B4">
            <w:pPr>
              <w:spacing w:line="276" w:lineRule="auto"/>
              <w:rPr>
                <w:rFonts w:ascii="Verdana" w:hAnsi="Verdana" w:cs="Times New Roman"/>
                <w:sz w:val="18"/>
                <w:szCs w:val="18"/>
              </w:rPr>
            </w:pPr>
            <w:r w:rsidRPr="00E44549">
              <w:rPr>
                <w:rFonts w:ascii="Verdana" w:hAnsi="Verdana" w:cs="Times New Roman"/>
                <w:sz w:val="18"/>
                <w:szCs w:val="18"/>
              </w:rPr>
              <w:t>Virksomhedens navn</w:t>
            </w:r>
          </w:p>
          <w:p w14:paraId="3CE95409" w14:textId="77777777" w:rsidR="00E44549" w:rsidRPr="00E44549" w:rsidRDefault="00E44549" w:rsidP="00E513B4">
            <w:pPr>
              <w:spacing w:line="276" w:lineRule="auto"/>
              <w:rPr>
                <w:rFonts w:ascii="Verdana" w:hAnsi="Verdana" w:cs="Times New Roman"/>
                <w:sz w:val="18"/>
                <w:szCs w:val="18"/>
              </w:rPr>
            </w:pPr>
          </w:p>
          <w:p w14:paraId="5E35FCB9" w14:textId="5F222B70" w:rsidR="00E44549" w:rsidRPr="00E44549" w:rsidRDefault="00E44549" w:rsidP="00E513B4">
            <w:pPr>
              <w:spacing w:line="276" w:lineRule="auto"/>
              <w:rPr>
                <w:rFonts w:ascii="Verdana" w:hAnsi="Verdana" w:cs="Times New Roman"/>
                <w:sz w:val="18"/>
                <w:szCs w:val="18"/>
              </w:rPr>
            </w:pPr>
          </w:p>
        </w:tc>
        <w:tc>
          <w:tcPr>
            <w:tcW w:w="5387" w:type="dxa"/>
          </w:tcPr>
          <w:p w14:paraId="27EE0BC5" w14:textId="77777777" w:rsidR="002736D8" w:rsidRDefault="002736D8" w:rsidP="002736D8">
            <w:pPr>
              <w:rPr>
                <w:rFonts w:ascii="Calibri" w:hAnsi="Calibri" w:cs="Calibri"/>
                <w:color w:val="000000"/>
              </w:rPr>
            </w:pPr>
            <w:r>
              <w:rPr>
                <w:rFonts w:ascii="Calibri" w:hAnsi="Calibri" w:cs="Calibri"/>
                <w:color w:val="000000"/>
              </w:rPr>
              <w:t xml:space="preserve">Luise </w:t>
            </w:r>
            <w:proofErr w:type="spellStart"/>
            <w:r>
              <w:rPr>
                <w:rFonts w:ascii="Calibri" w:hAnsi="Calibri" w:cs="Calibri"/>
                <w:color w:val="000000"/>
              </w:rPr>
              <w:t>Hanssing</w:t>
            </w:r>
            <w:proofErr w:type="spellEnd"/>
          </w:p>
          <w:p w14:paraId="582D33BA" w14:textId="286FC785" w:rsidR="006D0B8E" w:rsidRPr="00E44549" w:rsidRDefault="006D0B8E" w:rsidP="00CA355F">
            <w:pPr>
              <w:rPr>
                <w:rFonts w:ascii="Verdana" w:hAnsi="Verdana" w:cs="Times New Roman"/>
                <w:sz w:val="18"/>
                <w:szCs w:val="18"/>
                <w:lang w:val="en-US"/>
              </w:rPr>
            </w:pPr>
          </w:p>
        </w:tc>
      </w:tr>
      <w:tr w:rsidR="006D0B8E" w:rsidRPr="003841E6" w14:paraId="5656A54A" w14:textId="77777777" w:rsidTr="00532BBB">
        <w:tc>
          <w:tcPr>
            <w:tcW w:w="3397" w:type="dxa"/>
            <w:shd w:val="clear" w:color="auto" w:fill="D9D9D9" w:themeFill="background1" w:themeFillShade="D9"/>
          </w:tcPr>
          <w:p w14:paraId="2B0BF31F" w14:textId="77777777" w:rsidR="00532BBB" w:rsidRPr="00E44549" w:rsidRDefault="00532BBB" w:rsidP="00767D27">
            <w:pPr>
              <w:spacing w:line="276" w:lineRule="auto"/>
              <w:rPr>
                <w:rFonts w:ascii="Verdana" w:hAnsi="Verdana" w:cs="Times New Roman"/>
                <w:sz w:val="18"/>
                <w:szCs w:val="18"/>
              </w:rPr>
            </w:pPr>
            <w:r w:rsidRPr="00E44549">
              <w:rPr>
                <w:rFonts w:ascii="Verdana" w:hAnsi="Verdana" w:cs="Times New Roman"/>
                <w:sz w:val="18"/>
                <w:szCs w:val="18"/>
              </w:rPr>
              <w:t>Virksomhedens adresse</w:t>
            </w:r>
          </w:p>
        </w:tc>
        <w:tc>
          <w:tcPr>
            <w:tcW w:w="5387" w:type="dxa"/>
          </w:tcPr>
          <w:p w14:paraId="1DC0A300" w14:textId="77777777" w:rsidR="002736D8" w:rsidRDefault="002736D8" w:rsidP="002736D8">
            <w:pPr>
              <w:rPr>
                <w:rFonts w:ascii="Calibri" w:hAnsi="Calibri" w:cs="Calibri"/>
                <w:color w:val="000000"/>
              </w:rPr>
            </w:pPr>
            <w:proofErr w:type="gramStart"/>
            <w:r>
              <w:rPr>
                <w:rFonts w:ascii="Calibri" w:hAnsi="Calibri" w:cs="Calibri"/>
                <w:color w:val="000000"/>
              </w:rPr>
              <w:t>Farumvej  137</w:t>
            </w:r>
            <w:proofErr w:type="gramEnd"/>
            <w:r>
              <w:rPr>
                <w:rFonts w:ascii="Calibri" w:hAnsi="Calibri" w:cs="Calibri"/>
                <w:color w:val="000000"/>
              </w:rPr>
              <w:t>A  3520 Farum</w:t>
            </w:r>
          </w:p>
          <w:p w14:paraId="7190AD56" w14:textId="04B6C3BF" w:rsidR="00E2109C" w:rsidRPr="003E740C" w:rsidRDefault="00E2109C" w:rsidP="00CA355F">
            <w:pPr>
              <w:rPr>
                <w:rFonts w:ascii="Calibri" w:hAnsi="Calibri" w:cs="Calibri"/>
                <w:color w:val="000000"/>
              </w:rPr>
            </w:pPr>
          </w:p>
        </w:tc>
      </w:tr>
      <w:tr w:rsidR="006D0B8E" w:rsidRPr="00E44549" w14:paraId="547DFEF4" w14:textId="77777777" w:rsidTr="00532BBB">
        <w:tc>
          <w:tcPr>
            <w:tcW w:w="3397" w:type="dxa"/>
            <w:shd w:val="clear" w:color="auto" w:fill="D9D9D9" w:themeFill="background1" w:themeFillShade="D9"/>
          </w:tcPr>
          <w:p w14:paraId="4B02D5DD" w14:textId="77777777" w:rsidR="00532BBB" w:rsidRPr="00E44549" w:rsidRDefault="00532BBB" w:rsidP="00E513B4">
            <w:pPr>
              <w:spacing w:line="276" w:lineRule="auto"/>
              <w:rPr>
                <w:rFonts w:ascii="Verdana" w:hAnsi="Verdana" w:cs="Times New Roman"/>
                <w:sz w:val="18"/>
                <w:szCs w:val="18"/>
              </w:rPr>
            </w:pPr>
            <w:r w:rsidRPr="00E44549">
              <w:rPr>
                <w:rFonts w:ascii="Verdana" w:hAnsi="Verdana" w:cs="Times New Roman"/>
                <w:sz w:val="18"/>
                <w:szCs w:val="18"/>
              </w:rPr>
              <w:t xml:space="preserve">Virksomhedens </w:t>
            </w:r>
            <w:proofErr w:type="gramStart"/>
            <w:r w:rsidRPr="00E44549">
              <w:rPr>
                <w:rFonts w:ascii="Verdana" w:hAnsi="Verdana" w:cs="Times New Roman"/>
                <w:sz w:val="18"/>
                <w:szCs w:val="18"/>
              </w:rPr>
              <w:t>CVR nummer</w:t>
            </w:r>
            <w:proofErr w:type="gramEnd"/>
          </w:p>
          <w:p w14:paraId="04008496" w14:textId="425E8E48" w:rsidR="00E44549" w:rsidRPr="00E44549" w:rsidRDefault="003841E6" w:rsidP="00E513B4">
            <w:pPr>
              <w:spacing w:line="276" w:lineRule="auto"/>
              <w:rPr>
                <w:rFonts w:ascii="Verdana" w:hAnsi="Verdana" w:cs="Times New Roman"/>
                <w:sz w:val="18"/>
                <w:szCs w:val="18"/>
              </w:rPr>
            </w:pPr>
            <w:r>
              <w:rPr>
                <w:rFonts w:ascii="Verdana" w:hAnsi="Verdana" w:cs="Times New Roman"/>
                <w:sz w:val="18"/>
                <w:szCs w:val="18"/>
              </w:rPr>
              <w:t>P-nummer</w:t>
            </w:r>
          </w:p>
          <w:p w14:paraId="550FFB32" w14:textId="6E8F33F1" w:rsidR="00E44549" w:rsidRPr="00E44549" w:rsidRDefault="00E44549" w:rsidP="00E513B4">
            <w:pPr>
              <w:spacing w:line="276" w:lineRule="auto"/>
              <w:rPr>
                <w:rFonts w:ascii="Verdana" w:hAnsi="Verdana" w:cs="Times New Roman"/>
                <w:sz w:val="18"/>
                <w:szCs w:val="18"/>
              </w:rPr>
            </w:pPr>
          </w:p>
        </w:tc>
        <w:tc>
          <w:tcPr>
            <w:tcW w:w="5387" w:type="dxa"/>
          </w:tcPr>
          <w:p w14:paraId="2A362B7F" w14:textId="77777777" w:rsidR="002736D8" w:rsidRDefault="002736D8" w:rsidP="002736D8">
            <w:pPr>
              <w:rPr>
                <w:rFonts w:ascii="Calibri" w:hAnsi="Calibri" w:cs="Calibri"/>
                <w:color w:val="000000"/>
              </w:rPr>
            </w:pPr>
            <w:r>
              <w:rPr>
                <w:rFonts w:ascii="Calibri" w:hAnsi="Calibri" w:cs="Calibri"/>
                <w:color w:val="000000"/>
              </w:rPr>
              <w:t>31823366</w:t>
            </w:r>
          </w:p>
          <w:p w14:paraId="61249BE8" w14:textId="24C3D00C" w:rsidR="003841E6" w:rsidRPr="00E44549" w:rsidRDefault="003841E6" w:rsidP="00CA355F">
            <w:pPr>
              <w:rPr>
                <w:rFonts w:ascii="Verdana" w:hAnsi="Verdana" w:cs="Times New Roman"/>
                <w:sz w:val="18"/>
                <w:szCs w:val="18"/>
                <w:lang w:val="en-US"/>
              </w:rPr>
            </w:pPr>
          </w:p>
        </w:tc>
      </w:tr>
      <w:tr w:rsidR="006D0B8E" w:rsidRPr="00E44549" w14:paraId="5362A577" w14:textId="77777777" w:rsidTr="00532BBB">
        <w:tc>
          <w:tcPr>
            <w:tcW w:w="3397" w:type="dxa"/>
            <w:shd w:val="clear" w:color="auto" w:fill="D9D9D9" w:themeFill="background1" w:themeFillShade="D9"/>
          </w:tcPr>
          <w:p w14:paraId="2E979A64" w14:textId="77777777" w:rsidR="00532BBB" w:rsidRPr="00E44549" w:rsidRDefault="00753781" w:rsidP="00753781">
            <w:pPr>
              <w:spacing w:line="276" w:lineRule="auto"/>
              <w:rPr>
                <w:rFonts w:ascii="Verdana" w:hAnsi="Verdana" w:cs="Times New Roman"/>
                <w:sz w:val="18"/>
                <w:szCs w:val="18"/>
              </w:rPr>
            </w:pPr>
            <w:r w:rsidRPr="00E44549">
              <w:rPr>
                <w:rFonts w:ascii="Verdana" w:hAnsi="Verdana" w:cs="Times New Roman"/>
                <w:sz w:val="18"/>
                <w:szCs w:val="18"/>
              </w:rPr>
              <w:t>V</w:t>
            </w:r>
            <w:r w:rsidR="00532BBB" w:rsidRPr="00E44549">
              <w:rPr>
                <w:rFonts w:ascii="Verdana" w:hAnsi="Verdana" w:cs="Times New Roman"/>
                <w:sz w:val="18"/>
                <w:szCs w:val="18"/>
              </w:rPr>
              <w:t>irksomhed</w:t>
            </w:r>
            <w:r w:rsidRPr="00E44549">
              <w:rPr>
                <w:rFonts w:ascii="Verdana" w:hAnsi="Verdana" w:cs="Times New Roman"/>
                <w:sz w:val="18"/>
                <w:szCs w:val="18"/>
              </w:rPr>
              <w:t>stype</w:t>
            </w:r>
          </w:p>
          <w:p w14:paraId="64B093FF" w14:textId="77777777" w:rsidR="00E44549" w:rsidRPr="00E44549" w:rsidRDefault="00E44549" w:rsidP="00753781">
            <w:pPr>
              <w:spacing w:line="276" w:lineRule="auto"/>
              <w:rPr>
                <w:rFonts w:ascii="Verdana" w:hAnsi="Verdana" w:cs="Times New Roman"/>
                <w:sz w:val="18"/>
                <w:szCs w:val="18"/>
              </w:rPr>
            </w:pPr>
          </w:p>
          <w:p w14:paraId="00AAB128" w14:textId="7C9B1639" w:rsidR="00E44549" w:rsidRPr="00E44549" w:rsidRDefault="00E44549" w:rsidP="00753781">
            <w:pPr>
              <w:spacing w:line="276" w:lineRule="auto"/>
              <w:rPr>
                <w:rFonts w:ascii="Verdana" w:hAnsi="Verdana" w:cs="Times New Roman"/>
                <w:sz w:val="18"/>
                <w:szCs w:val="18"/>
              </w:rPr>
            </w:pPr>
          </w:p>
        </w:tc>
        <w:tc>
          <w:tcPr>
            <w:tcW w:w="5387" w:type="dxa"/>
          </w:tcPr>
          <w:p w14:paraId="16F0DA0E" w14:textId="77777777" w:rsidR="002736D8" w:rsidRDefault="002736D8" w:rsidP="002736D8">
            <w:pPr>
              <w:rPr>
                <w:rFonts w:ascii="Calibri" w:hAnsi="Calibri" w:cs="Calibri"/>
                <w:color w:val="000000"/>
              </w:rPr>
            </w:pPr>
            <w:r>
              <w:rPr>
                <w:rFonts w:ascii="Calibri" w:hAnsi="Calibri" w:cs="Calibri"/>
                <w:color w:val="000000"/>
              </w:rPr>
              <w:t>HG § 1 stk. 1</w:t>
            </w:r>
          </w:p>
          <w:p w14:paraId="2F5B0F31" w14:textId="6285F886" w:rsidR="00E513B4" w:rsidRPr="00E44549" w:rsidRDefault="00E513B4" w:rsidP="00CA355F">
            <w:pPr>
              <w:rPr>
                <w:rFonts w:ascii="Verdana" w:hAnsi="Verdana" w:cs="Times New Roman"/>
                <w:sz w:val="18"/>
                <w:szCs w:val="18"/>
              </w:rPr>
            </w:pPr>
          </w:p>
        </w:tc>
      </w:tr>
      <w:tr w:rsidR="00E2109C" w:rsidRPr="003841E6" w14:paraId="2E67F330" w14:textId="77777777" w:rsidTr="00532BBB">
        <w:tc>
          <w:tcPr>
            <w:tcW w:w="3397" w:type="dxa"/>
            <w:shd w:val="clear" w:color="auto" w:fill="D9D9D9" w:themeFill="background1" w:themeFillShade="D9"/>
          </w:tcPr>
          <w:p w14:paraId="2D132881" w14:textId="5903A0DB" w:rsidR="00703472" w:rsidRPr="00E44549" w:rsidRDefault="00703472" w:rsidP="00E513B4">
            <w:pPr>
              <w:spacing w:line="276" w:lineRule="auto"/>
              <w:rPr>
                <w:rFonts w:ascii="Verdana" w:hAnsi="Verdana" w:cs="Times New Roman"/>
                <w:sz w:val="18"/>
                <w:szCs w:val="18"/>
                <w:lang w:val="en-US"/>
              </w:rPr>
            </w:pPr>
            <w:r w:rsidRPr="00E44549">
              <w:rPr>
                <w:rFonts w:ascii="Verdana" w:hAnsi="Verdana" w:cs="Times New Roman"/>
                <w:sz w:val="18"/>
                <w:szCs w:val="18"/>
                <w:lang w:val="en-US"/>
              </w:rPr>
              <w:t xml:space="preserve">Dato for </w:t>
            </w:r>
            <w:proofErr w:type="spellStart"/>
            <w:r w:rsidRPr="00E44549">
              <w:rPr>
                <w:rFonts w:ascii="Verdana" w:hAnsi="Verdana" w:cs="Times New Roman"/>
                <w:sz w:val="18"/>
                <w:szCs w:val="18"/>
                <w:lang w:val="en-US"/>
              </w:rPr>
              <w:t>tilsyn</w:t>
            </w:r>
            <w:r w:rsidR="0041388C">
              <w:rPr>
                <w:rFonts w:ascii="Verdana" w:hAnsi="Verdana" w:cs="Times New Roman"/>
                <w:sz w:val="18"/>
                <w:szCs w:val="18"/>
                <w:lang w:val="en-US"/>
              </w:rPr>
              <w:t>et</w:t>
            </w:r>
            <w:proofErr w:type="spellEnd"/>
          </w:p>
          <w:p w14:paraId="2DC010C4" w14:textId="77777777" w:rsidR="00E44549" w:rsidRPr="00E44549" w:rsidRDefault="00E44549" w:rsidP="00E513B4">
            <w:pPr>
              <w:spacing w:line="276" w:lineRule="auto"/>
              <w:rPr>
                <w:rFonts w:ascii="Verdana" w:hAnsi="Verdana" w:cs="Times New Roman"/>
                <w:sz w:val="18"/>
                <w:szCs w:val="18"/>
                <w:lang w:val="en-US"/>
              </w:rPr>
            </w:pPr>
          </w:p>
          <w:p w14:paraId="0A72A355" w14:textId="5273563C" w:rsidR="00E44549" w:rsidRPr="00E44549" w:rsidRDefault="00E44549" w:rsidP="00E513B4">
            <w:pPr>
              <w:spacing w:line="276" w:lineRule="auto"/>
              <w:rPr>
                <w:rFonts w:ascii="Verdana" w:hAnsi="Verdana" w:cs="Times New Roman"/>
                <w:sz w:val="18"/>
                <w:szCs w:val="18"/>
                <w:lang w:val="en-US"/>
              </w:rPr>
            </w:pPr>
          </w:p>
        </w:tc>
        <w:tc>
          <w:tcPr>
            <w:tcW w:w="5387" w:type="dxa"/>
          </w:tcPr>
          <w:p w14:paraId="69A47B20" w14:textId="77777777" w:rsidR="002736D8" w:rsidRDefault="002736D8" w:rsidP="002736D8">
            <w:pPr>
              <w:rPr>
                <w:rFonts w:ascii="Calibri" w:hAnsi="Calibri" w:cs="Calibri"/>
                <w:color w:val="000000"/>
              </w:rPr>
            </w:pPr>
            <w:r>
              <w:rPr>
                <w:rFonts w:ascii="Calibri" w:hAnsi="Calibri" w:cs="Calibri"/>
                <w:color w:val="000000"/>
              </w:rPr>
              <w:t>27-11-2019</w:t>
            </w:r>
          </w:p>
          <w:p w14:paraId="6AF0AE9F" w14:textId="489C0552" w:rsidR="00E513B4" w:rsidRPr="00E44549" w:rsidRDefault="00E513B4" w:rsidP="00CA355F">
            <w:pPr>
              <w:rPr>
                <w:rFonts w:ascii="Verdana" w:hAnsi="Verdana" w:cs="Times New Roman"/>
                <w:sz w:val="18"/>
                <w:szCs w:val="18"/>
                <w:lang w:val="en-US"/>
              </w:rPr>
            </w:pPr>
          </w:p>
        </w:tc>
      </w:tr>
      <w:tr w:rsidR="006D0B8E" w:rsidRPr="00E44549" w14:paraId="543A91AC" w14:textId="77777777" w:rsidTr="00532BBB">
        <w:tc>
          <w:tcPr>
            <w:tcW w:w="3397" w:type="dxa"/>
            <w:shd w:val="clear" w:color="auto" w:fill="D9D9D9" w:themeFill="background1" w:themeFillShade="D9"/>
          </w:tcPr>
          <w:p w14:paraId="655AFDF6" w14:textId="77777777" w:rsidR="00532BBB" w:rsidRPr="00E44549" w:rsidRDefault="00F83D08" w:rsidP="00E513B4">
            <w:pPr>
              <w:spacing w:line="276" w:lineRule="auto"/>
              <w:rPr>
                <w:rFonts w:ascii="Verdana" w:hAnsi="Verdana" w:cs="Times New Roman"/>
                <w:sz w:val="18"/>
                <w:szCs w:val="18"/>
              </w:rPr>
            </w:pPr>
            <w:r w:rsidRPr="00E44549">
              <w:rPr>
                <w:rFonts w:ascii="Verdana" w:hAnsi="Verdana" w:cs="Times New Roman"/>
                <w:sz w:val="18"/>
                <w:szCs w:val="18"/>
              </w:rPr>
              <w:t>T</w:t>
            </w:r>
            <w:r w:rsidR="00E513B4" w:rsidRPr="00E44549">
              <w:rPr>
                <w:rFonts w:ascii="Verdana" w:hAnsi="Verdana" w:cs="Times New Roman"/>
                <w:sz w:val="18"/>
                <w:szCs w:val="18"/>
              </w:rPr>
              <w:t>ilsyn</w:t>
            </w:r>
            <w:r w:rsidRPr="00E44549">
              <w:rPr>
                <w:rFonts w:ascii="Verdana" w:hAnsi="Verdana" w:cs="Times New Roman"/>
                <w:sz w:val="18"/>
                <w:szCs w:val="18"/>
              </w:rPr>
              <w:t>s</w:t>
            </w:r>
            <w:r w:rsidR="00E513B4" w:rsidRPr="00E44549">
              <w:rPr>
                <w:rFonts w:ascii="Verdana" w:hAnsi="Verdana" w:cs="Times New Roman"/>
                <w:sz w:val="18"/>
                <w:szCs w:val="18"/>
              </w:rPr>
              <w:t>t</w:t>
            </w:r>
            <w:r w:rsidRPr="00E44549">
              <w:rPr>
                <w:rFonts w:ascii="Verdana" w:hAnsi="Verdana" w:cs="Times New Roman"/>
                <w:sz w:val="18"/>
                <w:szCs w:val="18"/>
              </w:rPr>
              <w:t>ype</w:t>
            </w:r>
          </w:p>
          <w:p w14:paraId="16998ADE" w14:textId="77777777" w:rsidR="00E44549" w:rsidRPr="00E44549" w:rsidRDefault="00E44549" w:rsidP="00E513B4">
            <w:pPr>
              <w:spacing w:line="276" w:lineRule="auto"/>
              <w:rPr>
                <w:rFonts w:ascii="Verdana" w:hAnsi="Verdana" w:cs="Times New Roman"/>
                <w:sz w:val="18"/>
                <w:szCs w:val="18"/>
              </w:rPr>
            </w:pPr>
          </w:p>
          <w:p w14:paraId="64E941CA" w14:textId="7DE6B422" w:rsidR="00E44549" w:rsidRPr="00E44549" w:rsidRDefault="00E44549" w:rsidP="00E513B4">
            <w:pPr>
              <w:spacing w:line="276" w:lineRule="auto"/>
              <w:rPr>
                <w:rFonts w:ascii="Verdana" w:hAnsi="Verdana" w:cs="Times New Roman"/>
                <w:sz w:val="18"/>
                <w:szCs w:val="18"/>
              </w:rPr>
            </w:pPr>
          </w:p>
        </w:tc>
        <w:tc>
          <w:tcPr>
            <w:tcW w:w="5387" w:type="dxa"/>
          </w:tcPr>
          <w:p w14:paraId="638DDBEA" w14:textId="71710CC1" w:rsidR="00E513B4" w:rsidRPr="00E44549" w:rsidRDefault="001A7E77" w:rsidP="00767D27">
            <w:pPr>
              <w:spacing w:after="240" w:line="276" w:lineRule="auto"/>
              <w:rPr>
                <w:rFonts w:ascii="Verdana" w:hAnsi="Verdana" w:cs="Times New Roman"/>
                <w:sz w:val="18"/>
                <w:szCs w:val="18"/>
              </w:rPr>
            </w:pPr>
            <w:r>
              <w:rPr>
                <w:rFonts w:ascii="Verdana" w:hAnsi="Verdana" w:cs="Times New Roman"/>
                <w:sz w:val="18"/>
                <w:szCs w:val="18"/>
              </w:rPr>
              <w:t>Basistilsyn</w:t>
            </w:r>
          </w:p>
        </w:tc>
      </w:tr>
      <w:tr w:rsidR="00532BBB" w:rsidRPr="00E44549" w14:paraId="021FAAD1" w14:textId="77777777" w:rsidTr="00532BBB">
        <w:tc>
          <w:tcPr>
            <w:tcW w:w="3397" w:type="dxa"/>
            <w:shd w:val="clear" w:color="auto" w:fill="D9D9D9" w:themeFill="background1" w:themeFillShade="D9"/>
          </w:tcPr>
          <w:p w14:paraId="5FCCEF39" w14:textId="77777777" w:rsidR="00532BBB" w:rsidRPr="00E44549" w:rsidRDefault="00532BBB" w:rsidP="00753781">
            <w:pPr>
              <w:spacing w:line="276" w:lineRule="auto"/>
              <w:rPr>
                <w:rFonts w:ascii="Verdana" w:hAnsi="Verdana" w:cs="Times New Roman"/>
                <w:sz w:val="18"/>
                <w:szCs w:val="18"/>
              </w:rPr>
            </w:pPr>
            <w:r w:rsidRPr="00E44549">
              <w:rPr>
                <w:rFonts w:ascii="Verdana" w:hAnsi="Verdana" w:cs="Times New Roman"/>
                <w:sz w:val="18"/>
                <w:szCs w:val="18"/>
              </w:rPr>
              <w:t>Hvad er der ført tilsyn med?</w:t>
            </w:r>
          </w:p>
          <w:p w14:paraId="76197082" w14:textId="77777777" w:rsidR="00E44549" w:rsidRPr="00E44549" w:rsidRDefault="00E44549" w:rsidP="00753781">
            <w:pPr>
              <w:spacing w:line="276" w:lineRule="auto"/>
              <w:rPr>
                <w:rFonts w:ascii="Verdana" w:hAnsi="Verdana" w:cs="Times New Roman"/>
                <w:sz w:val="18"/>
                <w:szCs w:val="18"/>
              </w:rPr>
            </w:pPr>
          </w:p>
          <w:p w14:paraId="394EF0C1" w14:textId="540244E2" w:rsidR="00E44549" w:rsidRPr="00E44549" w:rsidRDefault="00E44549" w:rsidP="00753781">
            <w:pPr>
              <w:spacing w:line="276" w:lineRule="auto"/>
              <w:rPr>
                <w:rFonts w:ascii="Verdana" w:hAnsi="Verdana" w:cs="Times New Roman"/>
                <w:sz w:val="18"/>
                <w:szCs w:val="18"/>
              </w:rPr>
            </w:pPr>
          </w:p>
        </w:tc>
        <w:tc>
          <w:tcPr>
            <w:tcW w:w="5387" w:type="dxa"/>
          </w:tcPr>
          <w:p w14:paraId="2476F19C" w14:textId="72103542" w:rsidR="003164E1" w:rsidRPr="003841E6" w:rsidRDefault="00B0750C" w:rsidP="00753781">
            <w:pPr>
              <w:spacing w:after="240" w:line="276" w:lineRule="auto"/>
              <w:rPr>
                <w:rFonts w:ascii="Verdana" w:hAnsi="Verdana" w:cs="Times New Roman"/>
                <w:sz w:val="18"/>
                <w:szCs w:val="18"/>
              </w:rPr>
            </w:pPr>
            <w:r w:rsidRPr="008271A7">
              <w:rPr>
                <w:rFonts w:ascii="Verdana" w:hAnsi="Verdana" w:cs="Times New Roman"/>
                <w:sz w:val="18"/>
                <w:szCs w:val="18"/>
              </w:rPr>
              <w:t>Landbrug</w:t>
            </w:r>
            <w:r w:rsidR="003E740C">
              <w:rPr>
                <w:rFonts w:ascii="Verdana" w:hAnsi="Verdana" w:cs="Times New Roman"/>
                <w:sz w:val="18"/>
                <w:szCs w:val="18"/>
              </w:rPr>
              <w:t>e</w:t>
            </w:r>
            <w:r w:rsidRPr="008271A7">
              <w:rPr>
                <w:rFonts w:ascii="Verdana" w:hAnsi="Verdana" w:cs="Times New Roman"/>
                <w:sz w:val="18"/>
                <w:szCs w:val="18"/>
              </w:rPr>
              <w:t>t</w:t>
            </w:r>
            <w:r w:rsidR="00A71A4B">
              <w:rPr>
                <w:rFonts w:ascii="Verdana" w:hAnsi="Verdana" w:cs="Times New Roman"/>
                <w:sz w:val="18"/>
                <w:szCs w:val="18"/>
              </w:rPr>
              <w:t>s</w:t>
            </w:r>
            <w:r w:rsidRPr="008271A7">
              <w:rPr>
                <w:rFonts w:ascii="Verdana" w:hAnsi="Verdana" w:cs="Times New Roman"/>
                <w:sz w:val="18"/>
                <w:szCs w:val="18"/>
              </w:rPr>
              <w:t xml:space="preserve"> samlede miljøforhold</w:t>
            </w:r>
            <w:r>
              <w:rPr>
                <w:rFonts w:ascii="Verdana" w:hAnsi="Verdana" w:cs="Times New Roman"/>
                <w:sz w:val="18"/>
                <w:szCs w:val="18"/>
              </w:rPr>
              <w:t xml:space="preserve"> </w:t>
            </w:r>
          </w:p>
        </w:tc>
      </w:tr>
      <w:tr w:rsidR="00532BBB" w:rsidRPr="00E44549" w14:paraId="5A779280" w14:textId="77777777" w:rsidTr="00532BBB">
        <w:tc>
          <w:tcPr>
            <w:tcW w:w="3397" w:type="dxa"/>
            <w:shd w:val="clear" w:color="auto" w:fill="D9D9D9" w:themeFill="background1" w:themeFillShade="D9"/>
          </w:tcPr>
          <w:p w14:paraId="13E8CFCC" w14:textId="08298747" w:rsidR="00E44549" w:rsidRPr="00E44549" w:rsidRDefault="00532BBB" w:rsidP="00E44549">
            <w:pPr>
              <w:spacing w:after="240" w:line="276" w:lineRule="auto"/>
              <w:rPr>
                <w:rFonts w:ascii="Verdana" w:hAnsi="Verdana" w:cs="Times New Roman"/>
                <w:sz w:val="18"/>
                <w:szCs w:val="18"/>
              </w:rPr>
            </w:pPr>
            <w:r w:rsidRPr="00E44549">
              <w:rPr>
                <w:rFonts w:ascii="Verdana" w:hAnsi="Verdana" w:cs="Times New Roman"/>
                <w:sz w:val="18"/>
                <w:szCs w:val="18"/>
              </w:rPr>
              <w:t>Er der konstateret jordforurening?</w:t>
            </w:r>
          </w:p>
        </w:tc>
        <w:tc>
          <w:tcPr>
            <w:tcW w:w="5387" w:type="dxa"/>
          </w:tcPr>
          <w:p w14:paraId="65787D9B" w14:textId="78C4E179" w:rsidR="00862681" w:rsidRPr="008271A7" w:rsidRDefault="00B0750C" w:rsidP="00767D27">
            <w:pPr>
              <w:spacing w:after="240" w:line="276" w:lineRule="auto"/>
              <w:rPr>
                <w:rFonts w:ascii="Verdana" w:hAnsi="Verdana" w:cs="Times New Roman"/>
                <w:sz w:val="18"/>
                <w:szCs w:val="18"/>
                <w:lang w:val="en-US"/>
              </w:rPr>
            </w:pPr>
            <w:proofErr w:type="spellStart"/>
            <w:r w:rsidRPr="008271A7">
              <w:rPr>
                <w:rFonts w:ascii="Verdana" w:hAnsi="Verdana" w:cs="Times New Roman"/>
                <w:sz w:val="18"/>
                <w:szCs w:val="18"/>
                <w:lang w:val="en-US"/>
              </w:rPr>
              <w:t>Nej</w:t>
            </w:r>
            <w:proofErr w:type="spellEnd"/>
          </w:p>
        </w:tc>
      </w:tr>
      <w:tr w:rsidR="00E44549" w:rsidRPr="00E44549" w14:paraId="09BD97DC" w14:textId="77777777" w:rsidTr="00532BBB">
        <w:tc>
          <w:tcPr>
            <w:tcW w:w="3397" w:type="dxa"/>
            <w:shd w:val="clear" w:color="auto" w:fill="D9D9D9" w:themeFill="background1" w:themeFillShade="D9"/>
          </w:tcPr>
          <w:p w14:paraId="5C8ACAEE" w14:textId="453D5545" w:rsidR="00E44549" w:rsidRPr="00E44549" w:rsidRDefault="00E44549" w:rsidP="00E44549">
            <w:pPr>
              <w:spacing w:after="240" w:line="276" w:lineRule="auto"/>
              <w:rPr>
                <w:rFonts w:ascii="Verdana" w:hAnsi="Verdana" w:cs="Times New Roman"/>
                <w:sz w:val="18"/>
                <w:szCs w:val="18"/>
              </w:rPr>
            </w:pPr>
            <w:r w:rsidRPr="00E44549">
              <w:rPr>
                <w:rFonts w:ascii="Verdana" w:hAnsi="Verdana" w:cs="Times New Roman"/>
                <w:sz w:val="18"/>
                <w:szCs w:val="18"/>
              </w:rPr>
              <w:t>Er der meddelt påbud, forbud eller indskærpelser til virksomheden?</w:t>
            </w:r>
          </w:p>
        </w:tc>
        <w:tc>
          <w:tcPr>
            <w:tcW w:w="5387" w:type="dxa"/>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E44549" w:rsidRPr="00E44549" w14:paraId="6292AD7C" w14:textId="77777777" w:rsidTr="00E44549">
              <w:tc>
                <w:tcPr>
                  <w:tcW w:w="5156" w:type="dxa"/>
                </w:tcPr>
                <w:p w14:paraId="42F7CC31" w14:textId="77777777" w:rsidR="002C51AE" w:rsidRDefault="002C51AE" w:rsidP="002C51AE">
                  <w:r>
                    <w:rPr>
                      <w:rFonts w:ascii="Verdana" w:hAnsi="Verdana" w:cs="Times New Roman"/>
                      <w:sz w:val="18"/>
                      <w:szCs w:val="18"/>
                    </w:rPr>
                    <w:t xml:space="preserve">Ja </w:t>
                  </w:r>
                  <w:r>
                    <w:t xml:space="preserve">Egedal Kommune indskærper i henhold </w:t>
                  </w:r>
                  <w:r w:rsidRPr="00F168D2">
                    <w:t xml:space="preserve">til § 16 i </w:t>
                  </w:r>
                  <w:r w:rsidRPr="00F168D2">
                    <w:rPr>
                      <w:i/>
                    </w:rPr>
                    <w:t>” Bekendtgørelse om miljøregulering af dyrehold og om opbevaring og anvendelse af gødning</w:t>
                  </w:r>
                  <w:r w:rsidRPr="00F168D2">
                    <w:t>” at</w:t>
                  </w:r>
                </w:p>
                <w:p w14:paraId="37613BA8" w14:textId="77777777" w:rsidR="002C51AE" w:rsidRDefault="002C51AE" w:rsidP="002C51AE"/>
                <w:p w14:paraId="283A7D4A" w14:textId="77777777" w:rsidR="002C51AE" w:rsidRPr="00F168D2" w:rsidRDefault="002C51AE" w:rsidP="002C51AE">
                  <w:pPr>
                    <w:pStyle w:val="Listeafsnit"/>
                    <w:numPr>
                      <w:ilvl w:val="0"/>
                      <w:numId w:val="2"/>
                    </w:numPr>
                    <w:rPr>
                      <w:i/>
                    </w:rPr>
                  </w:pPr>
                  <w:r>
                    <w:t>”</w:t>
                  </w:r>
                  <w:r w:rsidRPr="00F168D2">
                    <w:rPr>
                      <w:i/>
                    </w:rPr>
                    <w:t>Møddinger, jf. § 13, stk. 1, nr. 1, skal være indrettet således, at forurening af grundvand og overfladevand ikke finder sted, og således at overfladevand fra omliggende arealer og tage ikke kan løbe ind på møddingarealet. Møddinger skal desuden være indrettet med afløb fra laveste punkt til opsamling af møddingsaft, der føres gennem tætte, lukkede ledninger til en beholder, der opfylder bestemmelserne i kapitel 8, samt fast bund og sidebegrænsning, jf. stk. 2 og 3. Afløb skal have tilstrækkelig kapacitet til at bortlede møddingsaften.</w:t>
                  </w:r>
                </w:p>
                <w:p w14:paraId="66E550E1" w14:textId="77777777" w:rsidR="002C51AE" w:rsidRPr="00F168D2" w:rsidRDefault="002C51AE" w:rsidP="002C51AE">
                  <w:pPr>
                    <w:pStyle w:val="Listeafsnit"/>
                    <w:rPr>
                      <w:i/>
                    </w:rPr>
                  </w:pPr>
                </w:p>
                <w:p w14:paraId="065CAF25" w14:textId="77777777" w:rsidR="002C51AE" w:rsidRPr="00F168D2" w:rsidRDefault="002C51AE" w:rsidP="002C51AE">
                  <w:pPr>
                    <w:pStyle w:val="Listeafsnit"/>
                    <w:rPr>
                      <w:i/>
                    </w:rPr>
                  </w:pPr>
                  <w:r w:rsidRPr="00F168D2">
                    <w:rPr>
                      <w:i/>
                    </w:rPr>
                    <w:t xml:space="preserve">stk. 2. Hver af møddingens sider skal have en sidebegrænsning bestående af en mindst 1 m </w:t>
                  </w:r>
                  <w:r w:rsidRPr="00F168D2">
                    <w:rPr>
                      <w:i/>
                    </w:rPr>
                    <w:lastRenderedPageBreak/>
                    <w:t>høj mur eller en mindst 2 m bred randbelægning.</w:t>
                  </w:r>
                </w:p>
                <w:p w14:paraId="2CB7C508" w14:textId="77777777" w:rsidR="002C51AE" w:rsidRPr="00F168D2" w:rsidRDefault="002C51AE" w:rsidP="002C51AE">
                  <w:pPr>
                    <w:pStyle w:val="Listeafsnit"/>
                    <w:rPr>
                      <w:i/>
                    </w:rPr>
                  </w:pPr>
                </w:p>
                <w:p w14:paraId="210E8C4A" w14:textId="77777777" w:rsidR="002C51AE" w:rsidRPr="00F168D2" w:rsidRDefault="002C51AE" w:rsidP="002C51AE">
                  <w:pPr>
                    <w:pStyle w:val="Listeafsnit"/>
                    <w:numPr>
                      <w:ilvl w:val="0"/>
                      <w:numId w:val="2"/>
                    </w:numPr>
                    <w:rPr>
                      <w:i/>
                    </w:rPr>
                  </w:pPr>
                  <w:r w:rsidRPr="00F168D2">
                    <w:rPr>
                      <w:i/>
                    </w:rPr>
                    <w:t>Stk. 3. En randbelægning skal som minimum have 3 pct. fald mod afløb. Møddingens bund skal som minimum have 1 pct. fald mod afløb.</w:t>
                  </w:r>
                </w:p>
                <w:p w14:paraId="4628B831" w14:textId="77777777" w:rsidR="002C51AE" w:rsidRPr="00F168D2" w:rsidRDefault="002C51AE" w:rsidP="002C51AE">
                  <w:pPr>
                    <w:pStyle w:val="Listeafsnit"/>
                    <w:rPr>
                      <w:i/>
                    </w:rPr>
                  </w:pPr>
                </w:p>
                <w:p w14:paraId="232F0A51" w14:textId="77777777" w:rsidR="002C51AE" w:rsidRDefault="002C51AE" w:rsidP="002C51AE">
                  <w:pPr>
                    <w:pStyle w:val="Listeafsnit"/>
                    <w:numPr>
                      <w:ilvl w:val="0"/>
                      <w:numId w:val="2"/>
                    </w:numPr>
                    <w:rPr>
                      <w:i/>
                    </w:rPr>
                  </w:pPr>
                  <w:r w:rsidRPr="00F168D2">
                    <w:rPr>
                      <w:i/>
                    </w:rPr>
                    <w:t>Stk. 4. Møddingbund og sidebegrænsning skal være udført af bestandige materialer, som er uigennemtrængelige for fugt, og således, at de kan modstå påvirkningerne fra køretøjer og redskaber ved fyldning og tømning og den oplagrede gødning.”</w:t>
                  </w:r>
                </w:p>
                <w:p w14:paraId="5EAB8916" w14:textId="77777777" w:rsidR="002C51AE" w:rsidRPr="00F168D2" w:rsidRDefault="002C51AE" w:rsidP="002C51AE">
                  <w:pPr>
                    <w:pStyle w:val="Listeafsnit"/>
                    <w:rPr>
                      <w:i/>
                    </w:rPr>
                  </w:pPr>
                </w:p>
                <w:p w14:paraId="75B6EBA7" w14:textId="77777777" w:rsidR="002C51AE" w:rsidRDefault="002C51AE" w:rsidP="002C51AE">
                  <w:r w:rsidRPr="00F168D2">
                    <w:t xml:space="preserve">Du kan </w:t>
                  </w:r>
                  <w:r>
                    <w:t xml:space="preserve">nemmest </w:t>
                  </w:r>
                  <w:r w:rsidRPr="00F168D2">
                    <w:t xml:space="preserve">efterkomme </w:t>
                  </w:r>
                  <w:r>
                    <w:t>ovenstående indskærpelse</w:t>
                  </w:r>
                  <w:r w:rsidRPr="00F168D2">
                    <w:t xml:space="preserve"> ved at </w:t>
                  </w:r>
                  <w:r>
                    <w:t xml:space="preserve">anvende </w:t>
                  </w:r>
                  <w:r w:rsidRPr="004E5616">
                    <w:t xml:space="preserve">en container til opbevaring af gødningen i henhold til §13 i </w:t>
                  </w:r>
                  <w:r w:rsidRPr="004E5616">
                    <w:rPr>
                      <w:i/>
                    </w:rPr>
                    <w:t>” Bekendtgørelse om miljøregulering af dyrehold og om opbevaring og anvendelse af gødning”</w:t>
                  </w:r>
                  <w:r w:rsidRPr="004E5616">
                    <w:t xml:space="preserve"> </w:t>
                  </w:r>
                </w:p>
                <w:p w14:paraId="057B5DA2" w14:textId="77777777" w:rsidR="002C51AE" w:rsidRDefault="002C51AE" w:rsidP="002C51AE"/>
                <w:p w14:paraId="68C3BBFB" w14:textId="77777777" w:rsidR="002C51AE" w:rsidRPr="004E5616" w:rsidRDefault="002C51AE" w:rsidP="002C51AE">
                  <w:r w:rsidRPr="004E5616">
                    <w:t xml:space="preserve">Indskærpelsen skal være efterkommet </w:t>
                  </w:r>
                  <w:r w:rsidRPr="004E5616">
                    <w:rPr>
                      <w:b/>
                    </w:rPr>
                    <w:t xml:space="preserve">senest den 1. marts 2020 </w:t>
                  </w:r>
                  <w:r>
                    <w:t xml:space="preserve">og du </w:t>
                  </w:r>
                  <w:r w:rsidRPr="004E5616">
                    <w:t>k</w:t>
                  </w:r>
                  <w:r>
                    <w:t>a</w:t>
                  </w:r>
                  <w:r w:rsidRPr="004E5616">
                    <w:t>n som dokum</w:t>
                  </w:r>
                  <w:r>
                    <w:t>en</w:t>
                  </w:r>
                  <w:r w:rsidRPr="004E5616">
                    <w:t>ta</w:t>
                  </w:r>
                  <w:r>
                    <w:t>tion for ind</w:t>
                  </w:r>
                  <w:r w:rsidRPr="004E5616">
                    <w:t>s</w:t>
                  </w:r>
                  <w:r>
                    <w:t>k</w:t>
                  </w:r>
                  <w:r w:rsidRPr="004E5616">
                    <w:t>æ</w:t>
                  </w:r>
                  <w:r>
                    <w:t>rpelse fre</w:t>
                  </w:r>
                  <w:r w:rsidRPr="004E5616">
                    <w:t>m</w:t>
                  </w:r>
                  <w:r>
                    <w:t>sende billed</w:t>
                  </w:r>
                  <w:r w:rsidRPr="004E5616">
                    <w:t>d</w:t>
                  </w:r>
                  <w:r>
                    <w:t xml:space="preserve">okumentation </w:t>
                  </w:r>
                  <w:r w:rsidRPr="004E5616">
                    <w:t xml:space="preserve">af </w:t>
                  </w:r>
                  <w:r>
                    <w:t>den opstillede container</w:t>
                  </w:r>
                  <w:r w:rsidRPr="004E5616">
                    <w:t xml:space="preserve">. </w:t>
                  </w:r>
                  <w:r>
                    <w:t>Bemæ</w:t>
                  </w:r>
                  <w:r w:rsidRPr="004E5616">
                    <w:t>r</w:t>
                  </w:r>
                  <w:r>
                    <w:t>k at contai</w:t>
                  </w:r>
                  <w:r w:rsidRPr="004E5616">
                    <w:t>ner</w:t>
                  </w:r>
                  <w:r>
                    <w:t>e</w:t>
                  </w:r>
                  <w:r w:rsidRPr="004E5616">
                    <w:t>n ikke må opstilles på arealer omfatt</w:t>
                  </w:r>
                  <w:r>
                    <w:t>et af naturbeskyttelses</w:t>
                  </w:r>
                  <w:r w:rsidRPr="004E5616">
                    <w:t>loven</w:t>
                  </w:r>
                  <w:r>
                    <w:t>s</w:t>
                  </w:r>
                  <w:r w:rsidRPr="004E5616">
                    <w:t xml:space="preserve"> §3. </w:t>
                  </w:r>
                </w:p>
                <w:p w14:paraId="380F8BDD" w14:textId="77777777" w:rsidR="002C51AE" w:rsidRDefault="002C51AE" w:rsidP="002C51AE"/>
                <w:p w14:paraId="4775648B" w14:textId="77777777" w:rsidR="002C51AE" w:rsidRPr="004F5A06" w:rsidRDefault="002C51AE" w:rsidP="002C51AE">
                  <w:r>
                    <w:t xml:space="preserve">På længere sigt kan du overholde lovkravene ved </w:t>
                  </w:r>
                  <w:r w:rsidRPr="00F168D2">
                    <w:t>indrette møddingspladsen som beskrevet oven</w:t>
                  </w:r>
                  <w:r>
                    <w:t xml:space="preserve">for (§16), såfremt denne løsning </w:t>
                  </w:r>
                  <w:proofErr w:type="gramStart"/>
                  <w:r>
                    <w:t>ønske</w:t>
                  </w:r>
                  <w:proofErr w:type="gramEnd"/>
                  <w:r>
                    <w:t>. Du skal da være opmærksom på at etablering af en møddingsplads vil kærve en landzonetilladelse og evt. en byggetilladelse</w:t>
                  </w:r>
                </w:p>
                <w:p w14:paraId="7D9EF85E" w14:textId="77777777" w:rsidR="002C51AE" w:rsidRDefault="002C51AE" w:rsidP="002C51AE">
                  <w:pPr>
                    <w:rPr>
                      <w:i/>
                    </w:rPr>
                  </w:pPr>
                </w:p>
                <w:p w14:paraId="56AB201D" w14:textId="77777777" w:rsidR="002C51AE" w:rsidRDefault="002C51AE" w:rsidP="002C51AE">
                  <w:pPr>
                    <w:rPr>
                      <w:color w:val="000000"/>
                      <w:szCs w:val="20"/>
                    </w:rPr>
                  </w:pPr>
                  <w:r w:rsidRPr="004E5616">
                    <w:rPr>
                      <w:b/>
                      <w:color w:val="000000"/>
                      <w:szCs w:val="20"/>
                    </w:rPr>
                    <w:t>2)</w:t>
                  </w:r>
                  <w:r>
                    <w:rPr>
                      <w:color w:val="000000"/>
                      <w:szCs w:val="20"/>
                    </w:rPr>
                    <w:t xml:space="preserve">Opbevaringskapaciteten på møddingspladsen er mindre end 6 måneder og der kunne ikke fremvise skriftlig opbevaringsaftale om opbevaring på anden ejendom.  </w:t>
                  </w:r>
                </w:p>
                <w:p w14:paraId="7DFBDD03" w14:textId="77777777" w:rsidR="002C51AE" w:rsidRDefault="002C51AE" w:rsidP="002C51AE">
                  <w:pPr>
                    <w:rPr>
                      <w:color w:val="000000"/>
                      <w:szCs w:val="20"/>
                    </w:rPr>
                  </w:pPr>
                </w:p>
                <w:p w14:paraId="425AAC2F" w14:textId="77777777" w:rsidR="002C51AE" w:rsidRPr="00757BCC" w:rsidRDefault="002C51AE" w:rsidP="002C51AE">
                  <w:pPr>
                    <w:rPr>
                      <w:color w:val="000000"/>
                      <w:szCs w:val="20"/>
                    </w:rPr>
                  </w:pPr>
                  <w:r w:rsidRPr="00757BCC">
                    <w:rPr>
                      <w:color w:val="000000"/>
                      <w:szCs w:val="20"/>
                    </w:rPr>
                    <w:t>Egedal Kommune indskærper i henhold til §</w:t>
                  </w:r>
                  <w:r>
                    <w:rPr>
                      <w:color w:val="000000"/>
                      <w:szCs w:val="20"/>
                    </w:rPr>
                    <w:t xml:space="preserve"> 11</w:t>
                  </w:r>
                  <w:r w:rsidRPr="00757BCC">
                    <w:rPr>
                      <w:color w:val="000000"/>
                      <w:szCs w:val="20"/>
                    </w:rPr>
                    <w:t xml:space="preserve"> i </w:t>
                  </w:r>
                  <w:r w:rsidRPr="00757BCC">
                    <w:rPr>
                      <w:i/>
                      <w:iCs/>
                      <w:color w:val="000000"/>
                      <w:szCs w:val="20"/>
                    </w:rPr>
                    <w:t>”</w:t>
                  </w:r>
                  <w:r w:rsidRPr="002369AB">
                    <w:t xml:space="preserve"> </w:t>
                  </w:r>
                  <w:r w:rsidRPr="002369AB">
                    <w:rPr>
                      <w:i/>
                      <w:iCs/>
                      <w:color w:val="000000"/>
                      <w:szCs w:val="20"/>
                    </w:rPr>
                    <w:t>Bekendtgørelse om miljøregulering af dyrehold og om opbevaring og anvendelse af gødning</w:t>
                  </w:r>
                  <w:r w:rsidRPr="00757BCC">
                    <w:rPr>
                      <w:i/>
                      <w:iCs/>
                      <w:color w:val="000000"/>
                      <w:szCs w:val="20"/>
                    </w:rPr>
                    <w:t>”</w:t>
                  </w:r>
                  <w:r w:rsidRPr="00757BCC">
                    <w:rPr>
                      <w:color w:val="000000"/>
                      <w:szCs w:val="20"/>
                    </w:rPr>
                    <w:t xml:space="preserve"> at:</w:t>
                  </w:r>
                </w:p>
                <w:p w14:paraId="2B8C56B9" w14:textId="77777777" w:rsidR="002C51AE" w:rsidRPr="00757BCC" w:rsidRDefault="002C51AE" w:rsidP="002C51AE">
                  <w:pPr>
                    <w:rPr>
                      <w:color w:val="000000"/>
                      <w:szCs w:val="20"/>
                    </w:rPr>
                  </w:pPr>
                </w:p>
                <w:p w14:paraId="41E7D445" w14:textId="77777777" w:rsidR="002C51AE" w:rsidRDefault="002C51AE" w:rsidP="002C51AE">
                  <w:pPr>
                    <w:pStyle w:val="Listeafsnit"/>
                    <w:numPr>
                      <w:ilvl w:val="0"/>
                      <w:numId w:val="1"/>
                    </w:numPr>
                    <w:spacing w:line="240" w:lineRule="auto"/>
                    <w:contextualSpacing w:val="0"/>
                    <w:rPr>
                      <w:i/>
                      <w:iCs/>
                      <w:color w:val="000000"/>
                      <w:szCs w:val="20"/>
                    </w:rPr>
                  </w:pPr>
                  <w:r w:rsidRPr="00757BCC">
                    <w:rPr>
                      <w:color w:val="000000"/>
                      <w:szCs w:val="20"/>
                    </w:rPr>
                    <w:t>”</w:t>
                  </w:r>
                  <w:r w:rsidRPr="002369AB">
                    <w:rPr>
                      <w:i/>
                      <w:iCs/>
                      <w:color w:val="000000"/>
                      <w:szCs w:val="20"/>
                    </w:rPr>
                    <w:t xml:space="preserve">Bedrifter, der oplagrer husdyrgødning, afgasset vegetabilsk biomasse, ensilagesaft eller </w:t>
                  </w:r>
                  <w:r w:rsidRPr="002369AB">
                    <w:rPr>
                      <w:i/>
                      <w:iCs/>
                      <w:color w:val="000000"/>
                      <w:szCs w:val="20"/>
                    </w:rPr>
                    <w:lastRenderedPageBreak/>
                    <w:t>restvand skal have en tilstrækkelig opbevaringskapacitet til, at udbringningen kan ske i overensstemmelse med reglerne i kapitel 10 og 11 og til, at udnyttelsen af næringsstofferne i gødningen opfylder kravene i den til enhver tid gældende bekendtgørelse om jordbrugets anvendelse af gødning. På ejendomme med dyrehold skal opbevaringsanlæg til husdyrgødning dog mindst have en kapacitet sva</w:t>
                  </w:r>
                  <w:r>
                    <w:rPr>
                      <w:i/>
                      <w:iCs/>
                      <w:color w:val="000000"/>
                      <w:szCs w:val="20"/>
                    </w:rPr>
                    <w:t>rende til 6 måneders tilførsel”</w:t>
                  </w:r>
                </w:p>
                <w:p w14:paraId="60100B69" w14:textId="75C72578" w:rsidR="0068777A" w:rsidRPr="00E44549" w:rsidRDefault="0068777A" w:rsidP="00E44549">
                  <w:pPr>
                    <w:spacing w:line="276" w:lineRule="auto"/>
                    <w:rPr>
                      <w:rFonts w:ascii="Verdana" w:hAnsi="Verdana" w:cs="Times New Roman"/>
                      <w:sz w:val="18"/>
                      <w:szCs w:val="18"/>
                    </w:rPr>
                  </w:pPr>
                </w:p>
              </w:tc>
            </w:tr>
            <w:tr w:rsidR="00E44549" w:rsidRPr="00E44549" w14:paraId="62DED4FA" w14:textId="77777777" w:rsidTr="00E44549">
              <w:tc>
                <w:tcPr>
                  <w:tcW w:w="5156" w:type="dxa"/>
                </w:tcPr>
                <w:p w14:paraId="30164EEE" w14:textId="77777777" w:rsidR="00E44549" w:rsidRPr="00E44549" w:rsidRDefault="00E44549" w:rsidP="00E44549">
                  <w:pPr>
                    <w:spacing w:line="276" w:lineRule="auto"/>
                    <w:rPr>
                      <w:rFonts w:ascii="Verdana" w:hAnsi="Verdana" w:cs="Times New Roman"/>
                      <w:sz w:val="18"/>
                      <w:szCs w:val="18"/>
                    </w:rPr>
                  </w:pPr>
                </w:p>
              </w:tc>
            </w:tr>
            <w:tr w:rsidR="00E44549" w:rsidRPr="00E44549" w14:paraId="48E46E18" w14:textId="77777777" w:rsidTr="00E44549">
              <w:tc>
                <w:tcPr>
                  <w:tcW w:w="5156" w:type="dxa"/>
                </w:tcPr>
                <w:p w14:paraId="199D76D4" w14:textId="77777777" w:rsidR="00E44549" w:rsidRPr="00E44549" w:rsidRDefault="00E44549" w:rsidP="00E44549">
                  <w:pPr>
                    <w:spacing w:line="276" w:lineRule="auto"/>
                    <w:rPr>
                      <w:rFonts w:ascii="Verdana" w:hAnsi="Verdana" w:cs="Times New Roman"/>
                      <w:sz w:val="18"/>
                      <w:szCs w:val="18"/>
                    </w:rPr>
                  </w:pPr>
                </w:p>
              </w:tc>
            </w:tr>
            <w:tr w:rsidR="00E44549" w:rsidRPr="00E44549" w14:paraId="539DC75D" w14:textId="77777777" w:rsidTr="00E44549">
              <w:tc>
                <w:tcPr>
                  <w:tcW w:w="5156" w:type="dxa"/>
                </w:tcPr>
                <w:p w14:paraId="7E6068B4" w14:textId="77777777" w:rsidR="00E44549" w:rsidRPr="00E44549" w:rsidRDefault="00E44549" w:rsidP="00E44549">
                  <w:pPr>
                    <w:spacing w:line="276" w:lineRule="auto"/>
                    <w:rPr>
                      <w:rFonts w:ascii="Verdana" w:hAnsi="Verdana" w:cs="Times New Roman"/>
                      <w:sz w:val="18"/>
                      <w:szCs w:val="18"/>
                    </w:rPr>
                  </w:pPr>
                </w:p>
              </w:tc>
            </w:tr>
          </w:tbl>
          <w:p w14:paraId="53980325" w14:textId="77777777" w:rsidR="00E44549" w:rsidRPr="003841E6" w:rsidRDefault="00E44549" w:rsidP="00E44549">
            <w:pPr>
              <w:spacing w:after="240" w:line="276" w:lineRule="auto"/>
              <w:rPr>
                <w:rFonts w:ascii="Verdana" w:hAnsi="Verdana" w:cs="Times New Roman"/>
                <w:sz w:val="18"/>
                <w:szCs w:val="18"/>
              </w:rPr>
            </w:pPr>
          </w:p>
        </w:tc>
      </w:tr>
      <w:tr w:rsidR="00E44549" w:rsidRPr="00E44549" w14:paraId="0E8FA722" w14:textId="77777777" w:rsidTr="00E44549">
        <w:tc>
          <w:tcPr>
            <w:tcW w:w="3397" w:type="dxa"/>
            <w:shd w:val="clear" w:color="auto" w:fill="D9D9D9" w:themeFill="background1" w:themeFillShade="D9"/>
          </w:tcPr>
          <w:p w14:paraId="383C279F" w14:textId="47AEB4AD" w:rsidR="00E44549" w:rsidRPr="00E44549" w:rsidRDefault="00E44549" w:rsidP="00E44549">
            <w:pPr>
              <w:spacing w:after="240" w:line="276" w:lineRule="auto"/>
              <w:rPr>
                <w:rFonts w:ascii="Verdana" w:hAnsi="Verdana" w:cs="Times New Roman"/>
                <w:sz w:val="18"/>
                <w:szCs w:val="18"/>
              </w:rPr>
            </w:pPr>
            <w:r w:rsidRPr="00E44549">
              <w:rPr>
                <w:rFonts w:ascii="Verdana" w:hAnsi="Verdana" w:cs="Times New Roman"/>
                <w:sz w:val="18"/>
                <w:szCs w:val="18"/>
              </w:rPr>
              <w:lastRenderedPageBreak/>
              <w:t>Konklusion på virksomhedens seneste indberetning om egenkontrol, herunder om indberetningen har givet anledning til håndhævelser i form af påbud, forbud eller indskærpelser</w:t>
            </w:r>
          </w:p>
        </w:tc>
        <w:tc>
          <w:tcPr>
            <w:tcW w:w="5387" w:type="dxa"/>
          </w:tcPr>
          <w:p w14:paraId="76C8C08C" w14:textId="2C0FE820" w:rsidR="00E44549" w:rsidRPr="003841E6" w:rsidRDefault="00B0750C" w:rsidP="00E44549">
            <w:pPr>
              <w:spacing w:after="240" w:line="276" w:lineRule="auto"/>
              <w:rPr>
                <w:rFonts w:ascii="Verdana" w:hAnsi="Verdana" w:cs="Times New Roman"/>
                <w:sz w:val="18"/>
                <w:szCs w:val="18"/>
              </w:rPr>
            </w:pPr>
            <w:r w:rsidRPr="008271A7">
              <w:rPr>
                <w:rFonts w:ascii="Verdana" w:hAnsi="Verdana" w:cs="Times New Roman"/>
                <w:sz w:val="18"/>
                <w:szCs w:val="18"/>
              </w:rPr>
              <w:t>Ingen bemærkninger</w:t>
            </w:r>
            <w:r>
              <w:rPr>
                <w:rFonts w:ascii="Verdana" w:hAnsi="Verdana" w:cs="Times New Roman"/>
                <w:sz w:val="18"/>
                <w:szCs w:val="18"/>
              </w:rPr>
              <w:t xml:space="preserve"> </w:t>
            </w:r>
          </w:p>
        </w:tc>
      </w:tr>
    </w:tbl>
    <w:p w14:paraId="0C150F55" w14:textId="1A742D7E" w:rsidR="00D51167" w:rsidRPr="002B1A6E" w:rsidRDefault="00D51167">
      <w:pPr>
        <w:rPr>
          <w:rFonts w:ascii="Times New Roman" w:hAnsi="Times New Roman" w:cs="Times New Roman"/>
          <w:sz w:val="24"/>
          <w:szCs w:val="24"/>
        </w:rPr>
      </w:pPr>
    </w:p>
    <w:sectPr w:rsidR="00D51167" w:rsidRPr="002B1A6E" w:rsidSect="0057791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26A8" w14:textId="77777777" w:rsidR="00E44549" w:rsidRDefault="00E44549" w:rsidP="006D0B8E">
      <w:pPr>
        <w:spacing w:after="0" w:line="240" w:lineRule="auto"/>
      </w:pPr>
      <w:r>
        <w:separator/>
      </w:r>
    </w:p>
  </w:endnote>
  <w:endnote w:type="continuationSeparator" w:id="0">
    <w:p w14:paraId="00D12659" w14:textId="77777777" w:rsidR="00E44549" w:rsidRDefault="00E44549" w:rsidP="006D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4634" w14:textId="77777777" w:rsidR="00E44549" w:rsidRDefault="00E44549" w:rsidP="006D0B8E">
      <w:pPr>
        <w:spacing w:after="0" w:line="240" w:lineRule="auto"/>
      </w:pPr>
      <w:r>
        <w:separator/>
      </w:r>
    </w:p>
  </w:footnote>
  <w:footnote w:type="continuationSeparator" w:id="0">
    <w:p w14:paraId="010DA6FC" w14:textId="77777777" w:rsidR="00E44549" w:rsidRDefault="00E44549" w:rsidP="006D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783"/>
    </w:tblGrid>
    <w:tr w:rsidR="00E44549" w:rsidRPr="00AF5C28" w14:paraId="6B25683F" w14:textId="77777777" w:rsidTr="00162F22">
      <w:trPr>
        <w:trHeight w:val="737"/>
      </w:trPr>
      <w:tc>
        <w:tcPr>
          <w:tcW w:w="3964" w:type="dxa"/>
          <w:tcBorders>
            <w:top w:val="nil"/>
            <w:left w:val="nil"/>
            <w:bottom w:val="nil"/>
            <w:right w:val="nil"/>
          </w:tcBorders>
          <w:vAlign w:val="bottom"/>
        </w:tcPr>
        <w:p w14:paraId="030A554A" w14:textId="77777777" w:rsidR="00E44549" w:rsidRPr="006D15C7" w:rsidRDefault="00E44549" w:rsidP="00443265">
          <w:pPr>
            <w:pStyle w:val="Sidehoved"/>
            <w:tabs>
              <w:tab w:val="clear" w:pos="9638"/>
            </w:tabs>
            <w:spacing w:after="20"/>
            <w:ind w:left="1304"/>
            <w:jc w:val="right"/>
            <w:rPr>
              <w:rFonts w:ascii="Tahoma" w:hAnsi="Tahoma" w:cs="Tahoma"/>
              <w:b/>
              <w:noProof/>
              <w:color w:val="17365D"/>
              <w:sz w:val="18"/>
              <w:szCs w:val="18"/>
              <w:lang w:eastAsia="da-DK"/>
            </w:rPr>
          </w:pPr>
        </w:p>
      </w:tc>
      <w:tc>
        <w:tcPr>
          <w:tcW w:w="5783" w:type="dxa"/>
          <w:tcBorders>
            <w:top w:val="nil"/>
            <w:left w:val="nil"/>
            <w:bottom w:val="nil"/>
            <w:right w:val="nil"/>
          </w:tcBorders>
          <w:vAlign w:val="bottom"/>
        </w:tcPr>
        <w:p w14:paraId="3E76B5B3" w14:textId="542AE07E" w:rsidR="00E44549" w:rsidRPr="00AF5C28" w:rsidRDefault="00E44549" w:rsidP="00443265">
          <w:pPr>
            <w:pStyle w:val="Sidefod"/>
            <w:tabs>
              <w:tab w:val="clear" w:pos="4819"/>
            </w:tabs>
            <w:jc w:val="right"/>
            <w:rPr>
              <w:rFonts w:cs="Tahoma"/>
              <w:noProof/>
              <w:color w:val="17365D"/>
              <w:spacing w:val="10"/>
              <w:sz w:val="18"/>
              <w:szCs w:val="18"/>
              <w:lang w:val="en-US"/>
            </w:rPr>
          </w:pPr>
          <w:r>
            <w:rPr>
              <w:noProof/>
              <w:lang w:eastAsia="da-DK"/>
            </w:rPr>
            <w:drawing>
              <wp:anchor distT="0" distB="0" distL="114300" distR="114300" simplePos="0" relativeHeight="251659264" behindDoc="0" locked="0" layoutInCell="1" allowOverlap="1" wp14:anchorId="0BF32C8D" wp14:editId="39A46402">
                <wp:simplePos x="0" y="0"/>
                <wp:positionH relativeFrom="column">
                  <wp:posOffset>1638300</wp:posOffset>
                </wp:positionH>
                <wp:positionV relativeFrom="paragraph">
                  <wp:posOffset>-319405</wp:posOffset>
                </wp:positionV>
                <wp:extent cx="2514600" cy="1348105"/>
                <wp:effectExtent l="0" t="0" r="0" b="4445"/>
                <wp:wrapSquare wrapText="bothSides"/>
                <wp:docPr id="5" name="Billede 5" descr="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r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348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1D3007" w14:textId="77777777" w:rsidR="00E44549" w:rsidRDefault="00E44549" w:rsidP="006D0B8E">
    <w:pPr>
      <w:pStyle w:val="Sidehoved"/>
    </w:pPr>
  </w:p>
  <w:p w14:paraId="1BC828D4" w14:textId="77777777" w:rsidR="00E44549" w:rsidRDefault="00E445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AE5"/>
    <w:multiLevelType w:val="hybridMultilevel"/>
    <w:tmpl w:val="3BE4EC30"/>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1CE0D8F"/>
    <w:multiLevelType w:val="hybridMultilevel"/>
    <w:tmpl w:val="8228DFA6"/>
    <w:lvl w:ilvl="0" w:tplc="6E1497EA">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2553832">
    <w:abstractNumId w:val="1"/>
  </w:num>
  <w:num w:numId="2" w16cid:durableId="99236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ctiveWritingStyle w:appName="MSWord" w:lang="en-US" w:vendorID="64" w:dllVersion="6" w:nlCheck="1" w:checkStyle="1"/>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wwTDyTs16jrnRsk4RW46o37l7OeM2FQuq8IjZyGKpLQ9yJbTIRMhfWrzPuBgq0PY"/>
  </w:docVars>
  <w:rsids>
    <w:rsidRoot w:val="006D0B8E"/>
    <w:rsid w:val="00006F01"/>
    <w:rsid w:val="00075EFA"/>
    <w:rsid w:val="000A70A5"/>
    <w:rsid w:val="000B38DC"/>
    <w:rsid w:val="00101941"/>
    <w:rsid w:val="00125697"/>
    <w:rsid w:val="00151525"/>
    <w:rsid w:val="00161776"/>
    <w:rsid w:val="00162F22"/>
    <w:rsid w:val="00190984"/>
    <w:rsid w:val="0019740F"/>
    <w:rsid w:val="001A5C97"/>
    <w:rsid w:val="001A7E77"/>
    <w:rsid w:val="001B75B6"/>
    <w:rsid w:val="001F0500"/>
    <w:rsid w:val="001F3E0E"/>
    <w:rsid w:val="002175F0"/>
    <w:rsid w:val="0024650D"/>
    <w:rsid w:val="00262619"/>
    <w:rsid w:val="002736D8"/>
    <w:rsid w:val="0028658C"/>
    <w:rsid w:val="002960F4"/>
    <w:rsid w:val="002A1289"/>
    <w:rsid w:val="002B1A6E"/>
    <w:rsid w:val="002C51AE"/>
    <w:rsid w:val="002D6097"/>
    <w:rsid w:val="003164E1"/>
    <w:rsid w:val="003841E6"/>
    <w:rsid w:val="003858BE"/>
    <w:rsid w:val="00396467"/>
    <w:rsid w:val="003E740C"/>
    <w:rsid w:val="003F7C9A"/>
    <w:rsid w:val="0040026F"/>
    <w:rsid w:val="0041388C"/>
    <w:rsid w:val="00443265"/>
    <w:rsid w:val="004672E5"/>
    <w:rsid w:val="004C25A1"/>
    <w:rsid w:val="004F37D8"/>
    <w:rsid w:val="00532BBB"/>
    <w:rsid w:val="00562D2F"/>
    <w:rsid w:val="00577910"/>
    <w:rsid w:val="00610C92"/>
    <w:rsid w:val="00651064"/>
    <w:rsid w:val="006623F0"/>
    <w:rsid w:val="0068777A"/>
    <w:rsid w:val="006C0660"/>
    <w:rsid w:val="006C6CA9"/>
    <w:rsid w:val="006D0B8E"/>
    <w:rsid w:val="006D58CB"/>
    <w:rsid w:val="006E589F"/>
    <w:rsid w:val="0070215E"/>
    <w:rsid w:val="00703472"/>
    <w:rsid w:val="00735761"/>
    <w:rsid w:val="00753781"/>
    <w:rsid w:val="00767D27"/>
    <w:rsid w:val="007B1B18"/>
    <w:rsid w:val="008271A7"/>
    <w:rsid w:val="00862681"/>
    <w:rsid w:val="008A44C0"/>
    <w:rsid w:val="008C2052"/>
    <w:rsid w:val="009252FE"/>
    <w:rsid w:val="00942B72"/>
    <w:rsid w:val="009714CC"/>
    <w:rsid w:val="00983583"/>
    <w:rsid w:val="009B0415"/>
    <w:rsid w:val="009B6AE3"/>
    <w:rsid w:val="009D3AB9"/>
    <w:rsid w:val="009F3EA6"/>
    <w:rsid w:val="00A203D6"/>
    <w:rsid w:val="00A47121"/>
    <w:rsid w:val="00A61F3D"/>
    <w:rsid w:val="00A71A4B"/>
    <w:rsid w:val="00AB25AD"/>
    <w:rsid w:val="00AC57EA"/>
    <w:rsid w:val="00AE05CE"/>
    <w:rsid w:val="00AE06DE"/>
    <w:rsid w:val="00B0750C"/>
    <w:rsid w:val="00B07FBA"/>
    <w:rsid w:val="00B11A68"/>
    <w:rsid w:val="00B551BF"/>
    <w:rsid w:val="00B83F54"/>
    <w:rsid w:val="00B93916"/>
    <w:rsid w:val="00BB2688"/>
    <w:rsid w:val="00C13BD6"/>
    <w:rsid w:val="00C703AC"/>
    <w:rsid w:val="00CA355F"/>
    <w:rsid w:val="00CB2827"/>
    <w:rsid w:val="00CD70D0"/>
    <w:rsid w:val="00CF4548"/>
    <w:rsid w:val="00D05053"/>
    <w:rsid w:val="00D27F5A"/>
    <w:rsid w:val="00D40174"/>
    <w:rsid w:val="00D463D3"/>
    <w:rsid w:val="00D51167"/>
    <w:rsid w:val="00D73B8A"/>
    <w:rsid w:val="00D8261F"/>
    <w:rsid w:val="00DA58D0"/>
    <w:rsid w:val="00DF23E4"/>
    <w:rsid w:val="00E2109C"/>
    <w:rsid w:val="00E36CC3"/>
    <w:rsid w:val="00E44549"/>
    <w:rsid w:val="00E451D4"/>
    <w:rsid w:val="00E513B4"/>
    <w:rsid w:val="00E657BB"/>
    <w:rsid w:val="00E90F8D"/>
    <w:rsid w:val="00E92217"/>
    <w:rsid w:val="00EA3D28"/>
    <w:rsid w:val="00EA5291"/>
    <w:rsid w:val="00EB723A"/>
    <w:rsid w:val="00EE2561"/>
    <w:rsid w:val="00F06E0B"/>
    <w:rsid w:val="00F83D08"/>
    <w:rsid w:val="00F86F2C"/>
    <w:rsid w:val="00FD48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94266B0"/>
  <w15:docId w15:val="{6B5B42F1-D5A6-418E-9829-F6A9B257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1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6D0B8E"/>
    <w:pPr>
      <w:tabs>
        <w:tab w:val="center" w:pos="4819"/>
        <w:tab w:val="right" w:pos="9638"/>
      </w:tabs>
      <w:spacing w:after="0" w:line="240" w:lineRule="auto"/>
    </w:pPr>
  </w:style>
  <w:style w:type="character" w:customStyle="1" w:styleId="SidehovedTegn">
    <w:name w:val="Sidehoved Tegn"/>
    <w:basedOn w:val="Standardskrifttypeiafsnit"/>
    <w:link w:val="Sidehoved"/>
    <w:rsid w:val="006D0B8E"/>
  </w:style>
  <w:style w:type="paragraph" w:styleId="Sidefod">
    <w:name w:val="footer"/>
    <w:basedOn w:val="Normal"/>
    <w:link w:val="SidefodTegn"/>
    <w:uiPriority w:val="99"/>
    <w:unhideWhenUsed/>
    <w:rsid w:val="006D0B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0B8E"/>
  </w:style>
  <w:style w:type="table" w:styleId="Tabel-Gitter">
    <w:name w:val="Table Grid"/>
    <w:basedOn w:val="Tabel-Normal"/>
    <w:uiPriority w:val="39"/>
    <w:rsid w:val="006D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4C25A1"/>
    <w:rPr>
      <w:color w:val="808080"/>
    </w:rPr>
  </w:style>
  <w:style w:type="paragraph" w:styleId="Listeafsnit">
    <w:name w:val="List Paragraph"/>
    <w:basedOn w:val="Normal"/>
    <w:uiPriority w:val="34"/>
    <w:qFormat/>
    <w:rsid w:val="002C51AE"/>
    <w:pPr>
      <w:spacing w:after="0" w:line="240" w:lineRule="exact"/>
      <w:ind w:left="720"/>
      <w:contextualSpacing/>
    </w:pPr>
    <w:rPr>
      <w:rFonts w:ascii="Verdana" w:eastAsia="Times New Roman" w:hAnsi="Verdana" w:cs="Times New Roman"/>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047">
      <w:bodyDiv w:val="1"/>
      <w:marLeft w:val="0"/>
      <w:marRight w:val="0"/>
      <w:marTop w:val="0"/>
      <w:marBottom w:val="0"/>
      <w:divBdr>
        <w:top w:val="none" w:sz="0" w:space="0" w:color="auto"/>
        <w:left w:val="none" w:sz="0" w:space="0" w:color="auto"/>
        <w:bottom w:val="none" w:sz="0" w:space="0" w:color="auto"/>
        <w:right w:val="none" w:sz="0" w:space="0" w:color="auto"/>
      </w:divBdr>
    </w:div>
    <w:div w:id="262155686">
      <w:bodyDiv w:val="1"/>
      <w:marLeft w:val="0"/>
      <w:marRight w:val="0"/>
      <w:marTop w:val="0"/>
      <w:marBottom w:val="0"/>
      <w:divBdr>
        <w:top w:val="none" w:sz="0" w:space="0" w:color="auto"/>
        <w:left w:val="none" w:sz="0" w:space="0" w:color="auto"/>
        <w:bottom w:val="none" w:sz="0" w:space="0" w:color="auto"/>
        <w:right w:val="none" w:sz="0" w:space="0" w:color="auto"/>
      </w:divBdr>
    </w:div>
    <w:div w:id="505873456">
      <w:bodyDiv w:val="1"/>
      <w:marLeft w:val="0"/>
      <w:marRight w:val="0"/>
      <w:marTop w:val="0"/>
      <w:marBottom w:val="0"/>
      <w:divBdr>
        <w:top w:val="none" w:sz="0" w:space="0" w:color="auto"/>
        <w:left w:val="none" w:sz="0" w:space="0" w:color="auto"/>
        <w:bottom w:val="none" w:sz="0" w:space="0" w:color="auto"/>
        <w:right w:val="none" w:sz="0" w:space="0" w:color="auto"/>
      </w:divBdr>
    </w:div>
    <w:div w:id="523909293">
      <w:bodyDiv w:val="1"/>
      <w:marLeft w:val="0"/>
      <w:marRight w:val="0"/>
      <w:marTop w:val="0"/>
      <w:marBottom w:val="0"/>
      <w:divBdr>
        <w:top w:val="none" w:sz="0" w:space="0" w:color="auto"/>
        <w:left w:val="none" w:sz="0" w:space="0" w:color="auto"/>
        <w:bottom w:val="none" w:sz="0" w:space="0" w:color="auto"/>
        <w:right w:val="none" w:sz="0" w:space="0" w:color="auto"/>
      </w:divBdr>
    </w:div>
    <w:div w:id="580406804">
      <w:bodyDiv w:val="1"/>
      <w:marLeft w:val="0"/>
      <w:marRight w:val="0"/>
      <w:marTop w:val="0"/>
      <w:marBottom w:val="0"/>
      <w:divBdr>
        <w:top w:val="none" w:sz="0" w:space="0" w:color="auto"/>
        <w:left w:val="none" w:sz="0" w:space="0" w:color="auto"/>
        <w:bottom w:val="none" w:sz="0" w:space="0" w:color="auto"/>
        <w:right w:val="none" w:sz="0" w:space="0" w:color="auto"/>
      </w:divBdr>
    </w:div>
    <w:div w:id="747117686">
      <w:bodyDiv w:val="1"/>
      <w:marLeft w:val="0"/>
      <w:marRight w:val="0"/>
      <w:marTop w:val="0"/>
      <w:marBottom w:val="0"/>
      <w:divBdr>
        <w:top w:val="none" w:sz="0" w:space="0" w:color="auto"/>
        <w:left w:val="none" w:sz="0" w:space="0" w:color="auto"/>
        <w:bottom w:val="none" w:sz="0" w:space="0" w:color="auto"/>
        <w:right w:val="none" w:sz="0" w:space="0" w:color="auto"/>
      </w:divBdr>
    </w:div>
    <w:div w:id="934703821">
      <w:bodyDiv w:val="1"/>
      <w:marLeft w:val="0"/>
      <w:marRight w:val="0"/>
      <w:marTop w:val="0"/>
      <w:marBottom w:val="0"/>
      <w:divBdr>
        <w:top w:val="none" w:sz="0" w:space="0" w:color="auto"/>
        <w:left w:val="none" w:sz="0" w:space="0" w:color="auto"/>
        <w:bottom w:val="none" w:sz="0" w:space="0" w:color="auto"/>
        <w:right w:val="none" w:sz="0" w:space="0" w:color="auto"/>
      </w:divBdr>
    </w:div>
    <w:div w:id="1018652337">
      <w:bodyDiv w:val="1"/>
      <w:marLeft w:val="0"/>
      <w:marRight w:val="0"/>
      <w:marTop w:val="0"/>
      <w:marBottom w:val="0"/>
      <w:divBdr>
        <w:top w:val="none" w:sz="0" w:space="0" w:color="auto"/>
        <w:left w:val="none" w:sz="0" w:space="0" w:color="auto"/>
        <w:bottom w:val="none" w:sz="0" w:space="0" w:color="auto"/>
        <w:right w:val="none" w:sz="0" w:space="0" w:color="auto"/>
      </w:divBdr>
    </w:div>
    <w:div w:id="1069232604">
      <w:bodyDiv w:val="1"/>
      <w:marLeft w:val="0"/>
      <w:marRight w:val="0"/>
      <w:marTop w:val="0"/>
      <w:marBottom w:val="0"/>
      <w:divBdr>
        <w:top w:val="none" w:sz="0" w:space="0" w:color="auto"/>
        <w:left w:val="none" w:sz="0" w:space="0" w:color="auto"/>
        <w:bottom w:val="none" w:sz="0" w:space="0" w:color="auto"/>
        <w:right w:val="none" w:sz="0" w:space="0" w:color="auto"/>
      </w:divBdr>
    </w:div>
    <w:div w:id="1149514015">
      <w:bodyDiv w:val="1"/>
      <w:marLeft w:val="0"/>
      <w:marRight w:val="0"/>
      <w:marTop w:val="0"/>
      <w:marBottom w:val="0"/>
      <w:divBdr>
        <w:top w:val="none" w:sz="0" w:space="0" w:color="auto"/>
        <w:left w:val="none" w:sz="0" w:space="0" w:color="auto"/>
        <w:bottom w:val="none" w:sz="0" w:space="0" w:color="auto"/>
        <w:right w:val="none" w:sz="0" w:space="0" w:color="auto"/>
      </w:divBdr>
    </w:div>
    <w:div w:id="1236162239">
      <w:bodyDiv w:val="1"/>
      <w:marLeft w:val="0"/>
      <w:marRight w:val="0"/>
      <w:marTop w:val="0"/>
      <w:marBottom w:val="0"/>
      <w:divBdr>
        <w:top w:val="none" w:sz="0" w:space="0" w:color="auto"/>
        <w:left w:val="none" w:sz="0" w:space="0" w:color="auto"/>
        <w:bottom w:val="none" w:sz="0" w:space="0" w:color="auto"/>
        <w:right w:val="none" w:sz="0" w:space="0" w:color="auto"/>
      </w:divBdr>
    </w:div>
    <w:div w:id="1430346147">
      <w:bodyDiv w:val="1"/>
      <w:marLeft w:val="0"/>
      <w:marRight w:val="0"/>
      <w:marTop w:val="0"/>
      <w:marBottom w:val="0"/>
      <w:divBdr>
        <w:top w:val="none" w:sz="0" w:space="0" w:color="auto"/>
        <w:left w:val="none" w:sz="0" w:space="0" w:color="auto"/>
        <w:bottom w:val="none" w:sz="0" w:space="0" w:color="auto"/>
        <w:right w:val="none" w:sz="0" w:space="0" w:color="auto"/>
      </w:divBdr>
    </w:div>
    <w:div w:id="1465810484">
      <w:bodyDiv w:val="1"/>
      <w:marLeft w:val="0"/>
      <w:marRight w:val="0"/>
      <w:marTop w:val="0"/>
      <w:marBottom w:val="0"/>
      <w:divBdr>
        <w:top w:val="none" w:sz="0" w:space="0" w:color="auto"/>
        <w:left w:val="none" w:sz="0" w:space="0" w:color="auto"/>
        <w:bottom w:val="none" w:sz="0" w:space="0" w:color="auto"/>
        <w:right w:val="none" w:sz="0" w:space="0" w:color="auto"/>
      </w:divBdr>
    </w:div>
    <w:div w:id="1497769198">
      <w:bodyDiv w:val="1"/>
      <w:marLeft w:val="0"/>
      <w:marRight w:val="0"/>
      <w:marTop w:val="0"/>
      <w:marBottom w:val="0"/>
      <w:divBdr>
        <w:top w:val="none" w:sz="0" w:space="0" w:color="auto"/>
        <w:left w:val="none" w:sz="0" w:space="0" w:color="auto"/>
        <w:bottom w:val="none" w:sz="0" w:space="0" w:color="auto"/>
        <w:right w:val="none" w:sz="0" w:space="0" w:color="auto"/>
      </w:divBdr>
    </w:div>
    <w:div w:id="1648821298">
      <w:bodyDiv w:val="1"/>
      <w:marLeft w:val="0"/>
      <w:marRight w:val="0"/>
      <w:marTop w:val="0"/>
      <w:marBottom w:val="0"/>
      <w:divBdr>
        <w:top w:val="none" w:sz="0" w:space="0" w:color="auto"/>
        <w:left w:val="none" w:sz="0" w:space="0" w:color="auto"/>
        <w:bottom w:val="none" w:sz="0" w:space="0" w:color="auto"/>
        <w:right w:val="none" w:sz="0" w:space="0" w:color="auto"/>
      </w:divBdr>
    </w:div>
    <w:div w:id="1673680975">
      <w:bodyDiv w:val="1"/>
      <w:marLeft w:val="0"/>
      <w:marRight w:val="0"/>
      <w:marTop w:val="0"/>
      <w:marBottom w:val="0"/>
      <w:divBdr>
        <w:top w:val="none" w:sz="0" w:space="0" w:color="auto"/>
        <w:left w:val="none" w:sz="0" w:space="0" w:color="auto"/>
        <w:bottom w:val="none" w:sz="0" w:space="0" w:color="auto"/>
        <w:right w:val="none" w:sz="0" w:space="0" w:color="auto"/>
      </w:divBdr>
    </w:div>
    <w:div w:id="1687175494">
      <w:bodyDiv w:val="1"/>
      <w:marLeft w:val="0"/>
      <w:marRight w:val="0"/>
      <w:marTop w:val="0"/>
      <w:marBottom w:val="0"/>
      <w:divBdr>
        <w:top w:val="none" w:sz="0" w:space="0" w:color="auto"/>
        <w:left w:val="none" w:sz="0" w:space="0" w:color="auto"/>
        <w:bottom w:val="none" w:sz="0" w:space="0" w:color="auto"/>
        <w:right w:val="none" w:sz="0" w:space="0" w:color="auto"/>
      </w:divBdr>
    </w:div>
    <w:div w:id="1697464344">
      <w:bodyDiv w:val="1"/>
      <w:marLeft w:val="0"/>
      <w:marRight w:val="0"/>
      <w:marTop w:val="0"/>
      <w:marBottom w:val="0"/>
      <w:divBdr>
        <w:top w:val="none" w:sz="0" w:space="0" w:color="auto"/>
        <w:left w:val="none" w:sz="0" w:space="0" w:color="auto"/>
        <w:bottom w:val="none" w:sz="0" w:space="0" w:color="auto"/>
        <w:right w:val="none" w:sz="0" w:space="0" w:color="auto"/>
      </w:divBdr>
    </w:div>
    <w:div w:id="2109042620">
      <w:bodyDiv w:val="1"/>
      <w:marLeft w:val="0"/>
      <w:marRight w:val="0"/>
      <w:marTop w:val="0"/>
      <w:marBottom w:val="0"/>
      <w:divBdr>
        <w:top w:val="none" w:sz="0" w:space="0" w:color="auto"/>
        <w:left w:val="none" w:sz="0" w:space="0" w:color="auto"/>
        <w:bottom w:val="none" w:sz="0" w:space="0" w:color="auto"/>
        <w:right w:val="none" w:sz="0" w:space="0" w:color="auto"/>
      </w:divBdr>
    </w:div>
    <w:div w:id="21395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AC27-13F9-46DA-A343-32B68AB0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486</Words>
  <Characters>2898</Characters>
  <Application>Microsoft Office Word</Application>
  <DocSecurity>0</DocSecurity>
  <Lines>87</Lines>
  <Paragraphs>35</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asbsv</dc:creator>
  <cp:keywords/>
  <dc:description/>
  <cp:lastModifiedBy>Henrik Verner Jensen</cp:lastModifiedBy>
  <cp:revision>3</cp:revision>
  <dcterms:created xsi:type="dcterms:W3CDTF">2025-03-20T12:32:00Z</dcterms:created>
  <dcterms:modified xsi:type="dcterms:W3CDTF">2025-03-20T12:49:00Z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{8923BEB7-47B7-47DA-ABA2-B6A008D14005}</vt:lpwstr>
  </property>
</Properties>
</file>